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6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F95B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8C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霍尔果斯市农业灌溉用水超定额累进加价</w:t>
      </w:r>
    </w:p>
    <w:p w14:paraId="199AF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实施方案（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宋体" w:hAnsi="宋体" w:eastAsia="方正小标宋简体" w:cs="方正小标宋简体"/>
          <w:sz w:val="44"/>
          <w:szCs w:val="44"/>
        </w:rPr>
        <w:t>）</w:t>
      </w:r>
    </w:p>
    <w:p w14:paraId="5991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29D756F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一、总则</w:t>
      </w:r>
    </w:p>
    <w:p w14:paraId="08AF97A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</w:rPr>
        <w:t>制定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lang w:val="en-US" w:eastAsia="zh-CN"/>
        </w:rPr>
        <w:t>目的</w:t>
      </w:r>
    </w:p>
    <w:p w14:paraId="001CBCE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为深入贯彻“节水优先、空间均衡、系统治理、两手发力”治水思路，落实国家、自治区关于农业水价综合改革的部署要求，依据《国务院办公厅关于推进农业水价综合改革的意见》（国办发〔2016〕2号）、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《关于印发〔新疆维吾尔自治区农业用水定额〕的通知》（新水厅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>〔2023〕67号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）等文件精神，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强化农业用水总量控制与定额管理，健全农业水价形成机制，引导用水户节约用水、高效用水，遏制不合理用水，促进水资源节约集约与可持续利用，结合我市实际，制定本方案。</w:t>
      </w:r>
    </w:p>
    <w:p w14:paraId="4A52D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（二）适用范围</w:t>
      </w:r>
    </w:p>
    <w:p w14:paraId="6F3AB2C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本方案适用于霍尔果斯市行政区域内，使用国有水利工程供水及从事农业灌溉生产的农户、农民用水合作组织、种植合作社、家庭农场、涉农企业等所有用水主体。</w:t>
      </w:r>
    </w:p>
    <w:p w14:paraId="73ADF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（三）实施主体</w:t>
      </w:r>
    </w:p>
    <w:p w14:paraId="7C86504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市水利局、农业农村局为本方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"/>
        </w:rPr>
        <w:t>案的实施与监管主体；市场监督管理局负责监督计量器具的量值准确性、强制检定执行情况，查处作弊、不合格、超期使用等计量违法行为；市水利事务服务中心承担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水费收缴、定额核定等具体工作；各乡（街道）、村集体经济合作社、农民用水组织配合做好定额核定、水费收缴、政策宣传等工作。</w:t>
      </w:r>
    </w:p>
    <w:p w14:paraId="7DF0913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二、用水定额与超定额累进加价标准</w:t>
      </w:r>
    </w:p>
    <w:p w14:paraId="2FDF9BF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（一）用水定额</w:t>
      </w:r>
    </w:p>
    <w:p w14:paraId="79FCE24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本次方案中各类种植作物的用水定额，严格遵循“标准引领、结合实际、合规管控”的原则确定，具体依据及执行方式如下：</w:t>
      </w:r>
    </w:p>
    <w:p w14:paraId="6C4A3DF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方正仿宋简体"/>
          <w:b w:val="0"/>
          <w:bCs/>
          <w:i w:val="0"/>
          <w:color w:val="000000"/>
          <w:sz w:val="32"/>
          <w:szCs w:val="32"/>
          <w:highlight w:val="none"/>
          <w:u w:val="none"/>
          <w:lang w:val="en-US" w:eastAsia="zh-CN"/>
        </w:rPr>
        <w:t xml:space="preserve">1. 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以《关于印发〔新疆维吾尔自治区农业用水定额〕的通知》（新水厅〔2023〕67号）为核心依据，明确各类种植类别的基准用水定额标准，确保定额标准符合自治区统一规范要求；</w:t>
      </w:r>
    </w:p>
    <w:p w14:paraId="5C1F92F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方正仿宋简体"/>
          <w:b w:val="0"/>
          <w:bCs/>
          <w:i w:val="0"/>
          <w:color w:val="00000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eastAsia="方正仿宋简体" w:cs="方正仿宋简体"/>
          <w:b/>
          <w:bCs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结合我市灌溉条件，综合考虑当前灌溉水利用系数的实际情况：霍开灌区灌溉水利用系数0.58；切德克苏灌区灌溉水利用系数0.63。对基准用水定额合理适配调整，确保定额贴合本地灌溉实际、具备可操作性，详见表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1和表2-2：</w:t>
      </w:r>
    </w:p>
    <w:p w14:paraId="48FFD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表2-1  霍开灌区</w:t>
      </w:r>
    </w:p>
    <w:p w14:paraId="7B53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灌溉水利用系数0.58   单位：立方米/亩</w:t>
      </w:r>
    </w:p>
    <w:tbl>
      <w:tblPr>
        <w:tblStyle w:val="6"/>
        <w:tblW w:w="90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15"/>
        <w:gridCol w:w="1026"/>
        <w:gridCol w:w="893"/>
        <w:gridCol w:w="978"/>
        <w:gridCol w:w="987"/>
        <w:gridCol w:w="971"/>
        <w:gridCol w:w="993"/>
        <w:gridCol w:w="949"/>
      </w:tblGrid>
      <w:tr w14:paraId="78DA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0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7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常规灌溉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F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膜上灌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F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E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8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常规灌溉（毛定额）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膜上灌（毛定额）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5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喷灌（毛定额）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0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微灌（毛定额）</w:t>
            </w:r>
          </w:p>
        </w:tc>
      </w:tr>
      <w:tr w14:paraId="2E05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64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D8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97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7E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E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A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冬小麦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7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1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D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E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</w:tr>
      <w:tr w14:paraId="059E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A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春小麦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F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6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1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3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</w:tr>
      <w:tr w14:paraId="4A01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2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春玉米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8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B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F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</w:tr>
      <w:tr w14:paraId="6A52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6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水稻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0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4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9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F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</w:tr>
      <w:tr w14:paraId="6EEE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9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谷子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D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D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D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E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</w:tr>
      <w:tr w14:paraId="7746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5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土豆、薯类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1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3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2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E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</w:tr>
      <w:tr w14:paraId="3632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8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大豆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7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5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E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9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</w:tr>
      <w:tr w14:paraId="5217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F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油菜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9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F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A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6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</w:tr>
      <w:tr w14:paraId="17C2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D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葵花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E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0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E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7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</w:tr>
      <w:tr w14:paraId="5FA7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F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棉花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E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0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8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E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</w:tr>
      <w:tr w14:paraId="579D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F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甜菜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5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A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3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F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</w:tr>
      <w:tr w14:paraId="670E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3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蕃茄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0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8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F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A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</w:tr>
      <w:tr w14:paraId="6251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辣椒、其它蔬菜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6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1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5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5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</w:tr>
      <w:tr w14:paraId="19B5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B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3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C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F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3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67D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B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打瓜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3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E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3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0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77E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E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西瓜、甜瓜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9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2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1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3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</w:tr>
      <w:tr w14:paraId="0061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6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苹果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F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F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8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8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</w:tr>
      <w:tr w14:paraId="51A3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7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葡萄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C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5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8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B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</w:tr>
      <w:tr w14:paraId="4FD3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5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其它果树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4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D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A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C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</w:tr>
      <w:tr w14:paraId="32D7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5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苜蓿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9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C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4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</w:tr>
      <w:tr w14:paraId="7169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7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林地（防护生态苗圃）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2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4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6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0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</w:tr>
    </w:tbl>
    <w:p w14:paraId="74A00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表2-2  切德克苏灌区</w:t>
      </w:r>
    </w:p>
    <w:p w14:paraId="09DDE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灌溉水利用系数0.63   单位：立方米/亩</w:t>
      </w:r>
    </w:p>
    <w:tbl>
      <w:tblPr>
        <w:tblStyle w:val="6"/>
        <w:tblW w:w="90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78"/>
        <w:gridCol w:w="978"/>
        <w:gridCol w:w="978"/>
        <w:gridCol w:w="978"/>
        <w:gridCol w:w="977"/>
        <w:gridCol w:w="977"/>
        <w:gridCol w:w="977"/>
        <w:gridCol w:w="978"/>
      </w:tblGrid>
      <w:tr w14:paraId="6914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8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0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常规灌溉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C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膜上灌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9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7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1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常规灌溉（毛定额）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D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膜上灌（毛定额）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7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喷灌（毛定额）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0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微灌（毛定额）</w:t>
            </w:r>
          </w:p>
        </w:tc>
      </w:tr>
      <w:tr w14:paraId="77C3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E9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8A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8A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34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F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7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冬小麦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F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7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F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3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</w:tr>
      <w:tr w14:paraId="14C2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B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春小麦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B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0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0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A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</w:tr>
      <w:tr w14:paraId="09D9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1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春玉米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7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5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9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7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</w:tr>
      <w:tr w14:paraId="3A74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7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水稻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B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8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3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5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</w:tr>
      <w:tr w14:paraId="6C16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0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C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E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8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</w:tr>
      <w:tr w14:paraId="59DD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A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土豆、薯类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1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F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9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3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</w:tr>
      <w:tr w14:paraId="2D80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大豆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3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1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A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9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</w:tr>
      <w:tr w14:paraId="2EB6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E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2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7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4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D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</w:tr>
      <w:tr w14:paraId="6DD7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6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葵花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4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6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3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0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</w:tr>
      <w:tr w14:paraId="3F2C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B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0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D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F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E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</w:tr>
      <w:tr w14:paraId="584B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D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甜菜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A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5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C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3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</w:tr>
      <w:tr w14:paraId="267A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F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蕃茄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8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0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F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2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</w:tr>
      <w:tr w14:paraId="6606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A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辣椒、其它蔬菜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1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4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3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0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</w:tr>
      <w:tr w14:paraId="1E4F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A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胡萝卜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6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0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C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B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</w:tr>
      <w:tr w14:paraId="07EA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A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打瓜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5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9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D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</w:tr>
      <w:tr w14:paraId="1C83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7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西瓜、甜瓜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2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4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9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F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</w:tr>
      <w:tr w14:paraId="1136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B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A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F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0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0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</w:tr>
      <w:tr w14:paraId="720B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B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葡萄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E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7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C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F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</w:tr>
      <w:tr w14:paraId="050D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0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其它果树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7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8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E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0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</w:tr>
      <w:tr w14:paraId="646B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8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苜蓿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B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C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F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</w:tr>
      <w:tr w14:paraId="2079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F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林地（防护生态苗圃）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C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B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4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A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</w:tr>
    </w:tbl>
    <w:p w14:paraId="78B6F31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eastAsia="方正仿宋简体" w:cs="方正仿宋简体"/>
          <w:b w:val="0"/>
          <w:bCs/>
          <w:i w:val="0"/>
          <w:color w:val="000000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eastAsia="方正仿宋简体" w:cs="方正仿宋简体"/>
          <w:b/>
          <w:bCs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严格对标水资源“三条红线”管控要求，将核定用水定额纳入区域水资源总量控制、用水效率管控体系，确保定额执行与水资源管控目标衔接统一，兼顾农业生产用水需求与水资源合理利用，最终确定并严格执行各类种植类别用水定额。</w:t>
      </w:r>
    </w:p>
    <w:p w14:paraId="6298F89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（二）定额内基础水价</w:t>
      </w:r>
    </w:p>
    <w:p w14:paraId="514F471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二轮承包地、牧民定居饲草料地、非二轮承包地农业灌溉用水，基础水价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按照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《关于同意调整霍尔果斯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市水利（含机电井）工程供水完全成本价格的批复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》（霍市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发改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〔202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〕5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号）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《关于同意调整霍尔果斯农村水利工程（农业灌溉）收费标准的批复》（霍市政发函〔2021〕52号）执行：粮食作物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国有水利工程完全成本水价为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0.09元/立方米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经济作物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国有水利工程完全成本水价为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0.16元/立方米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。</w:t>
      </w:r>
    </w:p>
    <w:p w14:paraId="7BCA509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（三）超定额累进加价分档</w:t>
      </w:r>
    </w:p>
    <w:p w14:paraId="3FEA463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超定额用水实行分档累进加价，仅对超出定额部分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>水量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加价，定额内水量执行基础水价：</w:t>
      </w:r>
    </w:p>
    <w:p w14:paraId="0E01BFB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第一档：超定额</w:t>
      </w:r>
      <w:r>
        <w:rPr>
          <w:rStyle w:val="9"/>
          <w:rFonts w:hint="eastAsia" w:ascii="宋体" w:hAnsi="宋体" w:eastAsia="方正仿宋简体" w:cs="方正仿宋简体"/>
          <w:b/>
          <w:bCs/>
          <w:color w:val="000000"/>
          <w:sz w:val="32"/>
          <w:szCs w:val="32"/>
        </w:rPr>
        <w:t>不足50%（含50%）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，超出部分按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lang w:val="en-US" w:eastAsia="zh-CN"/>
        </w:rPr>
        <w:t>基础水价</w:t>
      </w:r>
      <w:r>
        <w:rPr>
          <w:rStyle w:val="9"/>
          <w:rFonts w:hint="eastAsia" w:ascii="宋体" w:hAnsi="宋体" w:eastAsia="方正仿宋简体" w:cs="方正仿宋简体"/>
          <w:b/>
          <w:bCs/>
          <w:color w:val="000000"/>
          <w:sz w:val="32"/>
          <w:szCs w:val="32"/>
        </w:rPr>
        <w:t>1.5倍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执行；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二档：超定额</w:t>
      </w:r>
      <w:r>
        <w:rPr>
          <w:rStyle w:val="9"/>
          <w:rFonts w:hint="eastAsia" w:ascii="宋体" w:hAnsi="宋体" w:eastAsia="方正仿宋简体" w:cs="方正仿宋简体"/>
          <w:b/>
          <w:bCs/>
          <w:color w:val="000000"/>
          <w:sz w:val="32"/>
          <w:szCs w:val="32"/>
        </w:rPr>
        <w:t>50%—100%（含100%）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，超出部分按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lang w:val="en-US" w:eastAsia="zh-CN"/>
        </w:rPr>
        <w:t>基础水价</w:t>
      </w:r>
      <w:r>
        <w:rPr>
          <w:rStyle w:val="9"/>
          <w:rFonts w:hint="eastAsia" w:ascii="宋体" w:hAnsi="宋体" w:eastAsia="方正仿宋简体" w:cs="方正仿宋简体"/>
          <w:b/>
          <w:bCs/>
          <w:color w:val="000000"/>
          <w:sz w:val="32"/>
          <w:szCs w:val="32"/>
        </w:rPr>
        <w:t>2倍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执行；第三档：超定额</w:t>
      </w:r>
      <w:r>
        <w:rPr>
          <w:rStyle w:val="9"/>
          <w:rFonts w:hint="eastAsia" w:ascii="宋体" w:hAnsi="宋体" w:eastAsia="方正仿宋简体" w:cs="方正仿宋简体"/>
          <w:b/>
          <w:bCs/>
          <w:color w:val="000000"/>
          <w:sz w:val="32"/>
          <w:szCs w:val="32"/>
        </w:rPr>
        <w:t>100%以上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，超出部分按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lang w:val="en-US" w:eastAsia="zh-CN"/>
        </w:rPr>
        <w:t>基础水价</w:t>
      </w:r>
      <w:r>
        <w:rPr>
          <w:rStyle w:val="9"/>
          <w:rFonts w:hint="eastAsia" w:ascii="宋体" w:hAnsi="宋体" w:eastAsia="方正仿宋简体" w:cs="方正仿宋简体"/>
          <w:b/>
          <w:bCs/>
          <w:color w:val="000000"/>
          <w:sz w:val="32"/>
          <w:szCs w:val="32"/>
        </w:rPr>
        <w:t>2.5倍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执行。</w:t>
      </w:r>
    </w:p>
    <w:p w14:paraId="28E2D93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（四）分档加价后水价标准（单位：元/立方米）</w:t>
      </w:r>
    </w:p>
    <w:p w14:paraId="7A415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表2-3  超定额累进加价分档表</w:t>
      </w:r>
    </w:p>
    <w:tbl>
      <w:tblPr>
        <w:tblStyle w:val="7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010"/>
        <w:gridCol w:w="2385"/>
        <w:gridCol w:w="2040"/>
      </w:tblGrid>
      <w:tr w14:paraId="306C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</w:tcPr>
          <w:p w14:paraId="778EAC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textAlignment w:val="auto"/>
              <w:rPr>
                <w:rFonts w:ascii="宋体" w:hAnsi="宋体"/>
                <w:b w:val="0"/>
                <w:bCs w:val="0"/>
                <w:color w:val="000000"/>
                <w:sz w:val="19"/>
                <w:szCs w:val="19"/>
                <w:highlight w:val="none"/>
                <w:vertAlign w:val="baseline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  <w:t>用地类型作物</w:t>
            </w:r>
          </w:p>
        </w:tc>
        <w:tc>
          <w:tcPr>
            <w:tcW w:w="2010" w:type="dxa"/>
          </w:tcPr>
          <w:p w14:paraId="0E49ADE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textAlignment w:val="auto"/>
              <w:rPr>
                <w:rFonts w:hint="eastAsia" w:ascii="宋体" w:hAnsi="宋体" w:eastAsia="宋体"/>
                <w:b w:val="0"/>
                <w:bCs w:val="0"/>
                <w:color w:val="000000"/>
                <w:sz w:val="19"/>
                <w:szCs w:val="19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第一档（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≤50%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2385" w:type="dxa"/>
          </w:tcPr>
          <w:p w14:paraId="35653E5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textAlignment w:val="auto"/>
              <w:rPr>
                <w:rFonts w:ascii="宋体" w:hAnsi="宋体"/>
                <w:b w:val="0"/>
                <w:bCs w:val="0"/>
                <w:color w:val="000000"/>
                <w:sz w:val="19"/>
                <w:szCs w:val="19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第二档（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50%—100%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2040" w:type="dxa"/>
          </w:tcPr>
          <w:p w14:paraId="225943F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textAlignment w:val="auto"/>
              <w:rPr>
                <w:rFonts w:ascii="宋体" w:hAnsi="宋体"/>
                <w:b w:val="0"/>
                <w:bCs w:val="0"/>
                <w:color w:val="000000"/>
                <w:sz w:val="19"/>
                <w:szCs w:val="19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第三档（＞100%）</w:t>
            </w:r>
          </w:p>
        </w:tc>
      </w:tr>
      <w:tr w14:paraId="4576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</w:tcPr>
          <w:p w14:paraId="0559D00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textAlignment w:val="auto"/>
              <w:rPr>
                <w:rFonts w:ascii="宋体" w:hAnsi="宋体"/>
                <w:b w:val="0"/>
                <w:bCs w:val="0"/>
                <w:color w:val="000000"/>
                <w:sz w:val="19"/>
                <w:szCs w:val="19"/>
                <w:highlight w:val="none"/>
                <w:vertAlign w:val="baseline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  <w:t>二轮承包地/牧民定居饲草料地粮食作物</w:t>
            </w:r>
          </w:p>
        </w:tc>
        <w:tc>
          <w:tcPr>
            <w:tcW w:w="2010" w:type="dxa"/>
          </w:tcPr>
          <w:p w14:paraId="75E4AED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80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40"/>
                <w:szCs w:val="40"/>
                <w:highlight w:val="none"/>
              </w:rPr>
            </w:pPr>
          </w:p>
          <w:p w14:paraId="1CF724E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320" w:firstLineChars="100"/>
              <w:jc w:val="left"/>
              <w:textAlignment w:val="auto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olor w:val="000000"/>
                <w:sz w:val="32"/>
                <w:szCs w:val="32"/>
                <w:u w:val="none"/>
              </w:rPr>
              <w:t>0.135</w:t>
            </w:r>
          </w:p>
        </w:tc>
        <w:tc>
          <w:tcPr>
            <w:tcW w:w="2385" w:type="dxa"/>
          </w:tcPr>
          <w:p w14:paraId="1A98E8B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80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40"/>
                <w:szCs w:val="40"/>
                <w:highlight w:val="none"/>
              </w:rPr>
            </w:pPr>
          </w:p>
          <w:p w14:paraId="49A2F2C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640" w:firstLineChars="200"/>
              <w:jc w:val="left"/>
              <w:textAlignment w:val="auto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olor w:val="000000"/>
                <w:sz w:val="32"/>
                <w:szCs w:val="32"/>
                <w:u w:val="none"/>
              </w:rPr>
              <w:t>0.180</w:t>
            </w:r>
          </w:p>
        </w:tc>
        <w:tc>
          <w:tcPr>
            <w:tcW w:w="2040" w:type="dxa"/>
          </w:tcPr>
          <w:p w14:paraId="58C21D4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80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40"/>
                <w:szCs w:val="40"/>
                <w:highlight w:val="none"/>
              </w:rPr>
            </w:pPr>
          </w:p>
          <w:p w14:paraId="193A05B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640" w:firstLineChars="200"/>
              <w:jc w:val="left"/>
              <w:textAlignment w:val="auto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olor w:val="000000"/>
                <w:sz w:val="32"/>
                <w:szCs w:val="32"/>
                <w:u w:val="none"/>
              </w:rPr>
              <w:t>0.225</w:t>
            </w:r>
            <w:r>
              <w:rPr>
                <w:rFonts w:hint="eastAsia" w:ascii="宋体" w:hAnsi="宋体" w:eastAsia="方正仿宋简体" w:cs="方正仿宋简体"/>
                <w:sz w:val="32"/>
                <w:szCs w:val="32"/>
              </w:rPr>
              <w:br w:type="textWrapping"/>
            </w:r>
          </w:p>
        </w:tc>
      </w:tr>
      <w:tr w14:paraId="1FF2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</w:tcPr>
          <w:p w14:paraId="77862EB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textAlignment w:val="auto"/>
              <w:rPr>
                <w:rFonts w:ascii="宋体" w:hAnsi="宋体"/>
                <w:color w:val="000000"/>
                <w:sz w:val="19"/>
                <w:szCs w:val="19"/>
                <w:highlight w:val="none"/>
                <w:vertAlign w:val="baseline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olor w:val="000000"/>
                <w:sz w:val="32"/>
                <w:szCs w:val="32"/>
                <w:u w:val="none"/>
              </w:rPr>
              <w:t>二轮承包地/牧民定居饲草料地经济作物</w:t>
            </w:r>
          </w:p>
        </w:tc>
        <w:tc>
          <w:tcPr>
            <w:tcW w:w="2010" w:type="dxa"/>
          </w:tcPr>
          <w:p w14:paraId="792C47E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640" w:firstLineChars="200"/>
              <w:jc w:val="left"/>
              <w:textAlignment w:val="auto"/>
              <w:rPr>
                <w:rFonts w:hint="eastAsia" w:ascii="宋体" w:hAnsi="宋体" w:eastAsia="方正仿宋简体" w:cs="方正仿宋简体"/>
                <w:b w:val="0"/>
                <w:i w:val="0"/>
                <w:color w:val="000000"/>
                <w:sz w:val="32"/>
                <w:szCs w:val="32"/>
                <w:u w:val="none"/>
              </w:rPr>
            </w:pPr>
          </w:p>
          <w:p w14:paraId="2364C7F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320" w:firstLineChars="10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40"/>
                <w:szCs w:val="40"/>
                <w:highlight w:val="none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olor w:val="000000"/>
                <w:sz w:val="32"/>
                <w:szCs w:val="32"/>
                <w:u w:val="none"/>
              </w:rPr>
              <w:t>0.240</w:t>
            </w:r>
          </w:p>
          <w:p w14:paraId="4BE4F7D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left"/>
              <w:textAlignment w:val="auto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385" w:type="dxa"/>
          </w:tcPr>
          <w:p w14:paraId="4102451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80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40"/>
                <w:szCs w:val="40"/>
                <w:highlight w:val="none"/>
              </w:rPr>
            </w:pPr>
          </w:p>
          <w:p w14:paraId="50F0D33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640" w:firstLineChars="200"/>
              <w:jc w:val="left"/>
              <w:textAlignment w:val="auto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olor w:val="000000"/>
                <w:sz w:val="32"/>
                <w:szCs w:val="32"/>
                <w:u w:val="none"/>
              </w:rPr>
              <w:t>0.320</w:t>
            </w:r>
          </w:p>
        </w:tc>
        <w:tc>
          <w:tcPr>
            <w:tcW w:w="2040" w:type="dxa"/>
          </w:tcPr>
          <w:p w14:paraId="38604D4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80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40"/>
                <w:szCs w:val="40"/>
                <w:highlight w:val="none"/>
              </w:rPr>
            </w:pPr>
          </w:p>
          <w:p w14:paraId="77F8E87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640" w:firstLineChars="200"/>
              <w:jc w:val="left"/>
              <w:textAlignment w:val="auto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olor w:val="000000"/>
                <w:sz w:val="32"/>
                <w:szCs w:val="32"/>
                <w:u w:val="none"/>
              </w:rPr>
              <w:t>0.400</w:t>
            </w:r>
          </w:p>
        </w:tc>
      </w:tr>
    </w:tbl>
    <w:p w14:paraId="1BF777C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三、超定额用水认定资料及流程</w:t>
      </w:r>
    </w:p>
    <w:p w14:paraId="044C9D8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（一）认定所需资料</w:t>
      </w:r>
    </w:p>
    <w:p w14:paraId="412E292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1.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土地权属证明（二轮承包合同、土地流转协议、饲草料地确权证明等）；</w:t>
      </w:r>
    </w:p>
    <w:p w14:paraId="200F891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bCs/>
          <w:i w:val="0"/>
          <w:color w:val="000000"/>
          <w:spacing w:val="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bCs/>
          <w:i w:val="0"/>
          <w:color w:val="000000"/>
          <w:spacing w:val="0"/>
          <w:sz w:val="32"/>
          <w:szCs w:val="32"/>
          <w:u w:val="none"/>
        </w:rPr>
        <w:t>2.</w:t>
      </w:r>
      <w:r>
        <w:rPr>
          <w:rFonts w:hint="eastAsia" w:eastAsia="方正仿宋简体" w:cs="方正仿宋简体"/>
          <w:b w:val="0"/>
          <w:bCs/>
          <w:i w:val="0"/>
          <w:color w:val="000000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b w:val="0"/>
          <w:bCs/>
          <w:i w:val="0"/>
          <w:color w:val="000000"/>
          <w:spacing w:val="0"/>
          <w:sz w:val="32"/>
          <w:szCs w:val="32"/>
          <w:u w:val="none"/>
        </w:rPr>
        <w:t>种植结构申报表（作物种类、面积、灌溉方式</w:t>
      </w:r>
      <w:r>
        <w:rPr>
          <w:rFonts w:hint="eastAsia" w:eastAsia="方正仿宋简体" w:cs="方正仿宋简体"/>
          <w:b w:val="0"/>
          <w:bCs/>
          <w:i w:val="0"/>
          <w:color w:val="000000"/>
          <w:spacing w:val="0"/>
          <w:sz w:val="32"/>
          <w:szCs w:val="32"/>
          <w:u w:val="none"/>
          <w:lang w:val="en-US" w:eastAsia="zh-CN"/>
        </w:rPr>
        <w:t>等</w:t>
      </w:r>
      <w:r>
        <w:rPr>
          <w:rFonts w:hint="eastAsia" w:ascii="宋体" w:hAnsi="宋体" w:eastAsia="方正仿宋简体" w:cs="方正仿宋简体"/>
          <w:b w:val="0"/>
          <w:bCs/>
          <w:i w:val="0"/>
          <w:color w:val="000000"/>
          <w:spacing w:val="0"/>
          <w:sz w:val="32"/>
          <w:szCs w:val="32"/>
          <w:u w:val="none"/>
        </w:rPr>
        <w:t>）；</w:t>
      </w:r>
    </w:p>
    <w:p w14:paraId="3C2E0E9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3.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供水计量数据（水表读数、周期用水量）；</w:t>
      </w:r>
    </w:p>
    <w:p w14:paraId="0101861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4.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其他佐证材料（土地性质、历史用水记录等）。</w:t>
      </w:r>
    </w:p>
    <w:p w14:paraId="39306F0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（二）认定工作流程</w:t>
      </w:r>
    </w:p>
    <w:p w14:paraId="7A2646C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1.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数据采集：供水单位、乡（街道）按灌溉周期抄表，核定实际用水量；</w:t>
      </w:r>
    </w:p>
    <w:p w14:paraId="743C9D7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2.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定额核算：农业农村部门按作物、面积、灌溉方式核定用水定额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  <w:lang w:eastAsia="zh-CN"/>
        </w:rPr>
        <w:t>；</w:t>
      </w:r>
    </w:p>
    <w:p w14:paraId="500EEEC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3.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超额核定：对比实际用水与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>用水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定额，确定超额水量及分档；</w:t>
      </w:r>
    </w:p>
    <w:p w14:paraId="1608E8C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4.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公示告知：核定结果在村、合作社公示3个工作日，接受异议；</w:t>
      </w:r>
    </w:p>
    <w:p w14:paraId="66A462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5.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异议复核：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>对核定结果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有异议的，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>可在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公示期内向市水利局申请复核，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>市水利局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3个工作日内出具书面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>复核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结论；</w:t>
      </w:r>
    </w:p>
    <w:p w14:paraId="7CBA0E8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6.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确认执行：无异议或复核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>通过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后，按核定结果执行加价计费。</w:t>
      </w:r>
    </w:p>
    <w:p w14:paraId="2C624C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四、资金收缴与使用管理</w:t>
      </w:r>
    </w:p>
    <w:p w14:paraId="046523E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（一）资金收缴</w:t>
      </w:r>
    </w:p>
    <w:p w14:paraId="2860873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超定额累进加价水费与定额内水费同步收缴，由市水利事务服务中心统一收取，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开具正规票据，实行专账管理、专款专用；用水户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须在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规定缴费期限内足额缴纳水费，不得拖欠、拒缴。</w:t>
      </w:r>
    </w:p>
    <w:p w14:paraId="39C80B2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（二）资金使用范围</w:t>
      </w:r>
    </w:p>
    <w:p w14:paraId="497BD4C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超定额累进加价资金主要用于：</w:t>
      </w: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水利工程维修、养护、更新改造及末级渠系维护；农业节水技术推广、节水设施建设与改造；用水计量设施安装、检定、维护与管理；农业水价综合改革工作经费、政策宣传与培训；其他与农业节水和水利工程良性运行相关的支出。</w:t>
      </w:r>
    </w:p>
    <w:p w14:paraId="0DAC3D2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（三）资金监管</w:t>
      </w:r>
    </w:p>
    <w:p w14:paraId="5D9815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eastAsia="方正仿宋简体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</w:rPr>
        <w:t>加价资金实行收支两条线管理，严格执行财务制度，定期公开收支情况，接受财政、审计、群众监督；任何单位和个人不得截留、挤占、挪用、私分加价资金</w:t>
      </w:r>
      <w:r>
        <w:rPr>
          <w:rFonts w:hint="eastAsia" w:eastAsia="方正仿宋简体" w:cs="方正仿宋简体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。</w:t>
      </w:r>
    </w:p>
    <w:p w14:paraId="5FB04F4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五、违规处理措施</w:t>
      </w:r>
    </w:p>
    <w:p w14:paraId="74D944C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（一）违规用水处理</w:t>
      </w:r>
    </w:p>
    <w:p w14:paraId="755706B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擅自将粮食定额水量用于经济作物灌溉的，该地块全部按经济作物水价计费；无计量用水、擅自改装损坏计量设施、盗取水资源的，按历史最大用水量核定计费；情节严重的，可暂停供水；拖欠水费超过1个灌溉周期的，供水单位可暂停供水，缴清欠费后恢复供水。</w:t>
      </w:r>
    </w:p>
    <w:p w14:paraId="4E1CDB2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（二）违规收费与资金挪用处理</w:t>
      </w:r>
    </w:p>
    <w:p w14:paraId="60B6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擅自提高或降低水价、乱收费的，责令整改并退还违规所得；截留、挪用水费的，依纪依规追究责任；涉嫌违法的，移交司法机关处理。</w:t>
      </w:r>
    </w:p>
    <w:p w14:paraId="5B0F756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 w:bidi="ar"/>
        </w:rPr>
        <w:t>（三）工作责任追究</w:t>
      </w:r>
    </w:p>
    <w:p w14:paraId="21F32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</w:rPr>
        <w:t>相关工作人员在定额核定、加价认定、资金管理中滥用职权、玩忽职守、徇私舞弊的，依法依规给予处分；构成犯罪的，依法追究刑事责任。</w:t>
      </w:r>
    </w:p>
    <w:p w14:paraId="58ADE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六、附则</w:t>
      </w:r>
    </w:p>
    <w:p w14:paraId="64D2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 w:val="0"/>
          <w:i w:val="0"/>
          <w:color w:val="000000"/>
          <w:sz w:val="32"/>
          <w:szCs w:val="32"/>
          <w:u w:val="none"/>
          <w:lang w:val="en-US" w:eastAsia="zh-CN"/>
        </w:rPr>
        <w:t>本方案由霍尔果斯市水利局、农业农村局共同负责解释，实施期间若国家、自治区相关政策调整，按照上级最新规定执行，本方案自正式印发之日起试行，期满结合全市实施成效与实际情况修订完善。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230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629F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C629F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5EA1"/>
    <w:rsid w:val="01853E11"/>
    <w:rsid w:val="03443858"/>
    <w:rsid w:val="05CF7D50"/>
    <w:rsid w:val="069F5975"/>
    <w:rsid w:val="06BD404D"/>
    <w:rsid w:val="06EB6E0C"/>
    <w:rsid w:val="0AA82EB2"/>
    <w:rsid w:val="0AD83203"/>
    <w:rsid w:val="0BCB4B16"/>
    <w:rsid w:val="0C3B7EEE"/>
    <w:rsid w:val="0DFC4A65"/>
    <w:rsid w:val="0E56100F"/>
    <w:rsid w:val="11E20E0C"/>
    <w:rsid w:val="12E27D48"/>
    <w:rsid w:val="138008DC"/>
    <w:rsid w:val="14A32AD4"/>
    <w:rsid w:val="17463BEB"/>
    <w:rsid w:val="192658C3"/>
    <w:rsid w:val="1B34092A"/>
    <w:rsid w:val="1C657656"/>
    <w:rsid w:val="1D7D76F0"/>
    <w:rsid w:val="1D84721B"/>
    <w:rsid w:val="1DEC729A"/>
    <w:rsid w:val="1EFA1543"/>
    <w:rsid w:val="1F170346"/>
    <w:rsid w:val="24BB5C18"/>
    <w:rsid w:val="27E20D5D"/>
    <w:rsid w:val="28DC7F18"/>
    <w:rsid w:val="2E150147"/>
    <w:rsid w:val="31763C33"/>
    <w:rsid w:val="355E1D1F"/>
    <w:rsid w:val="36F33156"/>
    <w:rsid w:val="39D23390"/>
    <w:rsid w:val="3B8B4C32"/>
    <w:rsid w:val="3BA24FE4"/>
    <w:rsid w:val="3CC1149A"/>
    <w:rsid w:val="3CCF1E09"/>
    <w:rsid w:val="3D5347E8"/>
    <w:rsid w:val="3DF00289"/>
    <w:rsid w:val="3FD073F1"/>
    <w:rsid w:val="41680AF3"/>
    <w:rsid w:val="42022339"/>
    <w:rsid w:val="43E92D57"/>
    <w:rsid w:val="44955C03"/>
    <w:rsid w:val="44FC4022"/>
    <w:rsid w:val="49555444"/>
    <w:rsid w:val="4BAE41FE"/>
    <w:rsid w:val="4E7F3914"/>
    <w:rsid w:val="4EA76741"/>
    <w:rsid w:val="4FB8497E"/>
    <w:rsid w:val="4FBF5D0D"/>
    <w:rsid w:val="5099655E"/>
    <w:rsid w:val="53766F8D"/>
    <w:rsid w:val="551C775D"/>
    <w:rsid w:val="56682C5A"/>
    <w:rsid w:val="56A874FB"/>
    <w:rsid w:val="58156E12"/>
    <w:rsid w:val="59BA4A68"/>
    <w:rsid w:val="5E2C0A11"/>
    <w:rsid w:val="5EFD0600"/>
    <w:rsid w:val="61616C24"/>
    <w:rsid w:val="618943CD"/>
    <w:rsid w:val="62816E52"/>
    <w:rsid w:val="66782899"/>
    <w:rsid w:val="689E69AF"/>
    <w:rsid w:val="6BCB1551"/>
    <w:rsid w:val="6DF927B0"/>
    <w:rsid w:val="704E2A69"/>
    <w:rsid w:val="714A5429"/>
    <w:rsid w:val="74FE4CC0"/>
    <w:rsid w:val="75091655"/>
    <w:rsid w:val="758D4034"/>
    <w:rsid w:val="75B90231"/>
    <w:rsid w:val="7AB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1855</Words>
  <Characters>2622</Characters>
  <Lines>0</Lines>
  <Paragraphs>0</Paragraphs>
  <TotalTime>2</TotalTime>
  <ScaleCrop>false</ScaleCrop>
  <LinksUpToDate>false</LinksUpToDate>
  <CharactersWithSpaces>2971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2026-04-13T09:43:00Z</dcterms:created>
  <dc:creator>周</dc:creator>
  <cp:lastModifiedBy>周周周</cp:lastModifiedBy>
  <cp:lastPrinted>2026-06-25T08:55:14Z</cp:lastPrinted>
  <dcterms:modified xsi:type="dcterms:W3CDTF">2026-06-25T08:55:52Z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eyJoZGlkIjoiYzM3MDk1ZDhmOTcwODdmNWIxMTMyMzkyMWY4YzI3MjIiLCJ1c2VySWQiOiI1Njc4OTI5OTEifQ==</vt:lpwstr>
  </property>
  <property fmtid="{D5CDD505-2E9C-101B-9397-08002B2CF9AE}" pid="4" name="ICV">
    <vt:lpwstr>728F559353564ECBB61B1E3860D32CAA_13</vt:lpwstr>
  </property>
</Properties>
</file>