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全国法学会系统先进集体和先进个人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评选表彰活动组委会及办公室成员名单</w:t>
      </w:r>
    </w:p>
    <w:p>
      <w:pPr>
        <w:spacing w:line="600" w:lineRule="exact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一、评选表彰活动组委会</w:t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主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任：陈训秋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中国法学会党组书记、常务副会长</w:t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员：张鸣起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中国法学会党组成员、副会长兼秘书长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张文显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中国法学会党组成员、学术委员会主任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王其江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中国法学会党组成员、副会长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张苏军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中国法学会党组成员、副会长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李如林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中国法学会党组成员、副会长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朱孝清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中国法学会学术委员会副主任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林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中国法学会学术委员会副主任</w:t>
      </w:r>
    </w:p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二、组委会办公室成员名单</w:t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主  任：李如林（兼）</w:t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副主任：尹宝虎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副秘书长、办公室主任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阮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莹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研究部副主任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伶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机关党委副书记、机关纪委书记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吕兴焕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会员部主任</w:t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</w:t>
      </w:r>
      <w:r>
        <w:rPr>
          <w:rFonts w:ascii="Times New Roman" w:hAnsi="Times New Roman" w:eastAsia="仿宋_GB2312"/>
          <w:b/>
          <w:bCs/>
          <w:sz w:val="32"/>
          <w:szCs w:val="32"/>
        </w:rPr>
        <w:t>员：肖育斌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对外联络部一级巡视员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周占华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中国法学会法治研究所所长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黄文艺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《中国法学》杂志社总编辑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王增勇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中国法学会机关服务中心主任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林洪武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《民主与法制》社党委书记、社长</w:t>
      </w:r>
    </w:p>
    <w:p>
      <w:pPr>
        <w:spacing w:line="600" w:lineRule="exact"/>
        <w:ind w:left="2978" w:leftChars="612" w:hanging="1693" w:hangingChars="527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徐晓平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《中国法律年鉴》社（中国法学会网络中心）              副主编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杜　林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中国法律咨询中心副主任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潘新艳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中国法学学术交流中心副主任</w:t>
      </w:r>
    </w:p>
    <w:p>
      <w:pPr>
        <w:spacing w:line="600" w:lineRule="exact"/>
        <w:ind w:firstLine="1285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王　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　　</w:t>
      </w:r>
      <w:r>
        <w:rPr>
          <w:rFonts w:ascii="Times New Roman" w:hAnsi="Times New Roman" w:eastAsia="仿宋_GB2312"/>
          <w:b/>
          <w:bCs/>
          <w:sz w:val="32"/>
          <w:szCs w:val="32"/>
        </w:rPr>
        <w:t>中国法学会培训中心主任</w:t>
      </w:r>
    </w:p>
    <w:p>
      <w:pPr>
        <w:spacing w:line="600" w:lineRule="exact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spacing w:line="600" w:lineRule="exact"/>
        <w:rPr>
          <w:rFonts w:ascii="Times New Roman" w:hAnsi="Times New Roman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0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kYTZhY2M5MGFmYWMwODc3Y2I4MjkyMzAwYmQifQ=="/>
  </w:docVars>
  <w:rsids>
    <w:rsidRoot w:val="6F5B6099"/>
    <w:rsid w:val="6F5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2023-11-14T09:23:00Z</dcterms:created>
  <dc:creator>一天</dc:creator>
  <cp:lastModifiedBy>一天</cp:lastModifiedBy>
  <dcterms:modified xsi:type="dcterms:W3CDTF">2023-11-14T09:23:26Z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120272CBBA5A4153A523E141FF1E43B5_11</vt:lpwstr>
  </property>
</Properties>
</file>