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360" w:lineRule="auto"/>
        <w:ind w:firstLine="600" w:firstLineChars="200"/>
        <w:rPr>
          <w:rFonts w:hint="eastAsia" w:ascii="仿宋" w:hAnsi="仿宋" w:eastAsia="仿宋"/>
          <w:sz w:val="30"/>
          <w:szCs w:val="30"/>
        </w:rPr>
      </w:pPr>
    </w:p>
    <w:p>
      <w:pPr>
        <w:adjustRightInd w:val="0"/>
        <w:snapToGrid w:val="0"/>
        <w:spacing w:after="0" w:line="360" w:lineRule="auto"/>
        <w:rPr>
          <w:rFonts w:hint="eastAsia" w:ascii="华文中宋" w:hAnsi="华文中宋" w:eastAsia="华文中宋"/>
          <w:sz w:val="40"/>
          <w:szCs w:val="40"/>
        </w:rPr>
      </w:pPr>
    </w:p>
    <w:p>
      <w:pPr>
        <w:adjustRightInd w:val="0"/>
        <w:snapToGrid w:val="0"/>
        <w:spacing w:after="0" w:line="360" w:lineRule="auto"/>
        <w:rPr>
          <w:rFonts w:hint="eastAsia" w:ascii="华文中宋" w:hAnsi="华文中宋" w:eastAsia="华文中宋"/>
          <w:sz w:val="40"/>
          <w:szCs w:val="40"/>
        </w:rPr>
      </w:pPr>
    </w:p>
    <w:p>
      <w:pPr>
        <w:adjustRightInd w:val="0"/>
        <w:snapToGrid w:val="0"/>
        <w:spacing w:after="0" w:line="360" w:lineRule="auto"/>
        <w:rPr>
          <w:rFonts w:hint="eastAsia" w:ascii="华文中宋" w:hAnsi="华文中宋" w:eastAsia="华文中宋"/>
          <w:sz w:val="40"/>
          <w:szCs w:val="40"/>
        </w:rPr>
      </w:pPr>
    </w:p>
    <w:p>
      <w:pPr>
        <w:adjustRightInd w:val="0"/>
        <w:snapToGrid w:val="0"/>
        <w:spacing w:after="0" w:line="360" w:lineRule="auto"/>
        <w:jc w:val="center"/>
        <w:rPr>
          <w:rFonts w:hint="eastAsia" w:ascii="华文中宋" w:hAnsi="华文中宋" w:eastAsia="华文中宋"/>
          <w:sz w:val="40"/>
          <w:szCs w:val="40"/>
        </w:rPr>
      </w:pPr>
      <w:r>
        <w:rPr>
          <w:rFonts w:hint="eastAsia" w:ascii="华文中宋" w:hAnsi="华文中宋" w:eastAsia="华文中宋"/>
          <w:sz w:val="40"/>
          <w:szCs w:val="40"/>
        </w:rPr>
        <w:t>霍尔果斯市数字化发展十五个五年规划（2026-2030年）</w:t>
      </w:r>
    </w:p>
    <w:p>
      <w:pPr>
        <w:adjustRightInd w:val="0"/>
        <w:snapToGrid w:val="0"/>
        <w:spacing w:after="0" w:line="360" w:lineRule="auto"/>
        <w:jc w:val="center"/>
        <w:rPr>
          <w:rFonts w:hint="eastAsia" w:ascii="华文中宋" w:hAnsi="华文中宋" w:eastAsia="华文中宋"/>
          <w:sz w:val="40"/>
          <w:szCs w:val="40"/>
        </w:rPr>
      </w:pPr>
      <w:r>
        <w:rPr>
          <w:rFonts w:hint="eastAsia" w:ascii="华文中宋" w:hAnsi="华文中宋" w:eastAsia="华文中宋"/>
          <w:sz w:val="40"/>
          <w:szCs w:val="40"/>
        </w:rPr>
        <w:t>征求意见稿</w:t>
      </w:r>
    </w:p>
    <w:p>
      <w:pPr>
        <w:adjustRightInd w:val="0"/>
        <w:snapToGrid w:val="0"/>
        <w:spacing w:after="0" w:line="360" w:lineRule="auto"/>
        <w:ind w:firstLine="600" w:firstLineChars="200"/>
        <w:rPr>
          <w:rFonts w:hint="eastAsia" w:ascii="仿宋" w:hAnsi="仿宋" w:eastAsia="仿宋"/>
          <w:sz w:val="30"/>
          <w:szCs w:val="30"/>
        </w:rPr>
      </w:pPr>
    </w:p>
    <w:p>
      <w:pPr>
        <w:adjustRightInd w:val="0"/>
        <w:snapToGrid w:val="0"/>
        <w:spacing w:after="0" w:line="360" w:lineRule="auto"/>
        <w:ind w:firstLine="600" w:firstLineChars="200"/>
        <w:rPr>
          <w:rFonts w:hint="eastAsia" w:ascii="仿宋" w:hAnsi="仿宋" w:eastAsia="仿宋"/>
          <w:sz w:val="30"/>
          <w:szCs w:val="30"/>
        </w:rPr>
      </w:pPr>
    </w:p>
    <w:p>
      <w:pPr>
        <w:adjustRightInd w:val="0"/>
        <w:snapToGrid w:val="0"/>
        <w:spacing w:after="0" w:line="360" w:lineRule="auto"/>
        <w:ind w:firstLine="600" w:firstLineChars="200"/>
        <w:rPr>
          <w:rFonts w:hint="eastAsia" w:ascii="仿宋" w:hAnsi="仿宋" w:eastAsia="仿宋"/>
          <w:sz w:val="30"/>
          <w:szCs w:val="30"/>
        </w:rPr>
      </w:pPr>
    </w:p>
    <w:p>
      <w:pPr>
        <w:adjustRightInd w:val="0"/>
        <w:snapToGrid w:val="0"/>
        <w:spacing w:after="0" w:line="360" w:lineRule="auto"/>
        <w:ind w:firstLine="600" w:firstLineChars="200"/>
        <w:rPr>
          <w:rFonts w:hint="eastAsia" w:ascii="仿宋" w:hAnsi="仿宋" w:eastAsia="仿宋"/>
          <w:sz w:val="30"/>
          <w:szCs w:val="30"/>
        </w:rPr>
      </w:pPr>
    </w:p>
    <w:p>
      <w:pPr>
        <w:adjustRightInd w:val="0"/>
        <w:snapToGrid w:val="0"/>
        <w:spacing w:after="0" w:line="360" w:lineRule="auto"/>
        <w:ind w:firstLine="600" w:firstLineChars="200"/>
        <w:rPr>
          <w:rFonts w:hint="eastAsia" w:ascii="仿宋" w:hAnsi="仿宋" w:eastAsia="仿宋"/>
          <w:sz w:val="30"/>
          <w:szCs w:val="30"/>
        </w:rPr>
      </w:pPr>
    </w:p>
    <w:p>
      <w:pPr>
        <w:adjustRightInd w:val="0"/>
        <w:snapToGrid w:val="0"/>
        <w:spacing w:after="0" w:line="360" w:lineRule="auto"/>
        <w:jc w:val="center"/>
        <w:rPr>
          <w:rFonts w:hint="eastAsia" w:ascii="仿宋" w:hAnsi="仿宋" w:eastAsia="仿宋"/>
          <w:sz w:val="30"/>
          <w:szCs w:val="30"/>
        </w:rPr>
      </w:pPr>
    </w:p>
    <w:p>
      <w:pPr>
        <w:adjustRightInd w:val="0"/>
        <w:snapToGrid w:val="0"/>
        <w:spacing w:after="0" w:line="360" w:lineRule="auto"/>
        <w:jc w:val="center"/>
        <w:rPr>
          <w:rFonts w:hint="eastAsia" w:ascii="仿宋" w:hAnsi="仿宋" w:eastAsia="仿宋"/>
          <w:sz w:val="30"/>
          <w:szCs w:val="30"/>
        </w:rPr>
      </w:pPr>
      <w:r>
        <w:rPr>
          <w:rFonts w:hint="eastAsia" w:ascii="仿宋" w:hAnsi="仿宋" w:eastAsia="仿宋"/>
          <w:sz w:val="30"/>
          <w:szCs w:val="30"/>
        </w:rPr>
        <w:t>霍尔果斯市数字化发展局</w:t>
      </w:r>
    </w:p>
    <w:p>
      <w:pPr>
        <w:adjustRightInd w:val="0"/>
        <w:snapToGrid w:val="0"/>
        <w:spacing w:after="0" w:line="360" w:lineRule="auto"/>
        <w:jc w:val="center"/>
        <w:rPr>
          <w:rFonts w:hint="eastAsia" w:ascii="仿宋" w:hAnsi="仿宋" w:eastAsia="仿宋"/>
          <w:sz w:val="30"/>
          <w:szCs w:val="30"/>
        </w:rPr>
      </w:pPr>
      <w:r>
        <w:rPr>
          <w:rFonts w:hint="eastAsia" w:ascii="仿宋" w:hAnsi="仿宋" w:eastAsia="仿宋"/>
          <w:sz w:val="30"/>
          <w:szCs w:val="30"/>
        </w:rPr>
        <w:t>2026年5月</w:t>
      </w:r>
    </w:p>
    <w:p>
      <w:pPr>
        <w:adjustRightInd w:val="0"/>
        <w:snapToGrid w:val="0"/>
        <w:spacing w:after="0" w:line="360" w:lineRule="auto"/>
        <w:ind w:firstLine="600" w:firstLineChars="200"/>
        <w:jc w:val="center"/>
        <w:rPr>
          <w:rFonts w:hint="eastAsia" w:ascii="仿宋" w:hAnsi="仿宋" w:eastAsia="仿宋"/>
          <w:sz w:val="30"/>
          <w:szCs w:val="30"/>
        </w:rPr>
      </w:pPr>
    </w:p>
    <w:p>
      <w:pPr>
        <w:adjustRightInd w:val="0"/>
        <w:snapToGrid w:val="0"/>
        <w:spacing w:after="0" w:line="360" w:lineRule="auto"/>
        <w:ind w:firstLine="600" w:firstLineChars="200"/>
        <w:rPr>
          <w:rFonts w:hint="eastAsia" w:ascii="仿宋" w:hAnsi="仿宋" w:eastAsia="仿宋"/>
          <w:sz w:val="30"/>
          <w:szCs w:val="30"/>
        </w:rPr>
        <w:sectPr>
          <w:footerReference r:id="rId5" w:type="default"/>
          <w:pgSz w:w="11906" w:h="16838"/>
          <w:pgMar w:top="2098" w:right="1531" w:bottom="1984" w:left="1531" w:header="851" w:footer="992" w:gutter="0"/>
          <w:pgNumType w:fmt="decimal"/>
          <w:cols w:space="425" w:num="1"/>
          <w:docGrid w:type="lines" w:linePitch="312" w:charSpace="0"/>
        </w:sectPr>
      </w:pPr>
    </w:p>
    <w:sdt>
      <w:sdtPr>
        <w:rPr>
          <w:rFonts w:ascii="仿宋" w:hAnsi="仿宋" w:eastAsia="仿宋"/>
          <w:sz w:val="30"/>
          <w:szCs w:val="30"/>
        </w:rPr>
        <w:id w:val="271487156"/>
        <w:docPartObj>
          <w:docPartGallery w:val="Table of Contents"/>
          <w:docPartUnique/>
        </w:docPartObj>
      </w:sdtPr>
      <w:sdtEndPr>
        <w:rPr>
          <w:rFonts w:ascii="仿宋" w:hAnsi="仿宋" w:eastAsia="仿宋"/>
          <w:sz w:val="30"/>
          <w:szCs w:val="30"/>
        </w:rPr>
      </w:sdtEndPr>
      <w:sdtContent>
        <w:p>
          <w:pPr>
            <w:spacing w:before="0" w:beforeLines="0" w:after="0" w:afterLines="0" w:line="240" w:lineRule="auto"/>
            <w:ind w:left="0" w:leftChars="0" w:right="0" w:rightChars="0" w:firstLine="0" w:firstLineChars="0"/>
            <w:jc w:val="center"/>
          </w:pPr>
          <w:bookmarkStart w:id="0" w:name="_Toc1554839747"/>
          <w:bookmarkEnd w:id="0"/>
          <w:r>
            <w:rPr>
              <w:rFonts w:ascii="宋体" w:hAnsi="宋体" w:eastAsia="宋体"/>
              <w:sz w:val="21"/>
            </w:rPr>
            <w:t>目录</w:t>
          </w:r>
        </w:p>
        <w:p>
          <w:pPr>
            <w:pStyle w:val="19"/>
            <w:tabs>
              <w:tab w:val="right" w:leader="dot" w:pos="8306"/>
            </w:tabs>
          </w:pPr>
          <w:r>
            <w:rPr>
              <w:rFonts w:ascii="仿宋" w:hAnsi="仿宋" w:eastAsia="仿宋"/>
              <w:sz w:val="30"/>
              <w:szCs w:val="30"/>
            </w:rPr>
            <w:fldChar w:fldCharType="begin"/>
          </w:r>
          <w:r>
            <w:rPr>
              <w:rFonts w:hint="eastAsia" w:ascii="仿宋" w:hAnsi="仿宋" w:eastAsia="仿宋"/>
              <w:sz w:val="30"/>
              <w:szCs w:val="30"/>
            </w:rPr>
            <w:instrText xml:space="preserve">TOC \u \o "1-3" \z \h \tdkey mzy36i</w:instrText>
          </w:r>
          <w:r>
            <w:rPr>
              <w:rFonts w:ascii="仿宋" w:hAnsi="仿宋" w:eastAsia="仿宋"/>
              <w:sz w:val="30"/>
              <w:szCs w:val="30"/>
            </w:rPr>
            <w:fldChar w:fldCharType="separate"/>
          </w:r>
          <w:r>
            <w:rPr>
              <w:rFonts w:ascii="仿宋" w:hAnsi="仿宋" w:eastAsia="仿宋"/>
              <w:szCs w:val="30"/>
            </w:rPr>
            <w:fldChar w:fldCharType="begin"/>
          </w:r>
          <w:r>
            <w:rPr>
              <w:rFonts w:ascii="仿宋" w:hAnsi="仿宋" w:eastAsia="仿宋"/>
              <w:szCs w:val="30"/>
            </w:rPr>
            <w:instrText xml:space="preserve"> HYPERLINK \l _Toc1331305362 </w:instrText>
          </w:r>
          <w:r>
            <w:rPr>
              <w:rFonts w:ascii="仿宋" w:hAnsi="仿宋" w:eastAsia="仿宋"/>
              <w:szCs w:val="30"/>
            </w:rPr>
            <w:fldChar w:fldCharType="separate"/>
          </w:r>
          <w:r>
            <w:rPr>
              <w:rFonts w:hint="eastAsia" w:ascii="黑体" w:hAnsi="黑体" w:eastAsia="黑体"/>
              <w:szCs w:val="30"/>
            </w:rPr>
            <w:t>一、发展基础</w:t>
          </w:r>
          <w:r>
            <w:tab/>
          </w:r>
          <w:r>
            <w:fldChar w:fldCharType="begin"/>
          </w:r>
          <w:r>
            <w:instrText xml:space="preserve"> PAGEREF _Toc1331305362 </w:instrText>
          </w:r>
          <w:r>
            <w:fldChar w:fldCharType="separate"/>
          </w:r>
          <w:r>
            <w:t>1</w:t>
          </w:r>
          <w:r>
            <w:fldChar w:fldCharType="end"/>
          </w:r>
          <w:r>
            <w:rPr>
              <w:rFonts w:ascii="仿宋" w:hAnsi="仿宋" w:eastAsia="仿宋"/>
              <w:szCs w:val="30"/>
            </w:rPr>
            <w:fldChar w:fldCharType="end"/>
          </w:r>
        </w:p>
        <w:p>
          <w:pPr>
            <w:pStyle w:val="19"/>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_Toc1754801597 </w:instrText>
          </w:r>
          <w:r>
            <w:rPr>
              <w:rFonts w:ascii="仿宋" w:hAnsi="仿宋" w:eastAsia="仿宋"/>
              <w:szCs w:val="30"/>
            </w:rPr>
            <w:fldChar w:fldCharType="separate"/>
          </w:r>
          <w:r>
            <w:rPr>
              <w:rFonts w:hint="eastAsia" w:ascii="黑体" w:hAnsi="黑体" w:eastAsia="黑体"/>
              <w:szCs w:val="30"/>
            </w:rPr>
            <w:t>二、发展机遇</w:t>
          </w:r>
          <w:r>
            <w:tab/>
          </w:r>
          <w:r>
            <w:fldChar w:fldCharType="begin"/>
          </w:r>
          <w:r>
            <w:instrText xml:space="preserve"> PAGEREF _Toc1754801597 </w:instrText>
          </w:r>
          <w:r>
            <w:fldChar w:fldCharType="separate"/>
          </w:r>
          <w:r>
            <w:t>2</w:t>
          </w:r>
          <w:r>
            <w:fldChar w:fldCharType="end"/>
          </w:r>
          <w:r>
            <w:rPr>
              <w:rFonts w:ascii="仿宋" w:hAnsi="仿宋" w:eastAsia="仿宋"/>
              <w:szCs w:val="30"/>
            </w:rPr>
            <w:fldChar w:fldCharType="end"/>
          </w:r>
        </w:p>
        <w:p>
          <w:pPr>
            <w:pStyle w:val="19"/>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_Toc1867450410 </w:instrText>
          </w:r>
          <w:r>
            <w:rPr>
              <w:rFonts w:ascii="仿宋" w:hAnsi="仿宋" w:eastAsia="仿宋"/>
              <w:szCs w:val="30"/>
            </w:rPr>
            <w:fldChar w:fldCharType="separate"/>
          </w:r>
          <w:r>
            <w:rPr>
              <w:rFonts w:hint="eastAsia" w:ascii="黑体" w:hAnsi="黑体" w:eastAsia="黑体"/>
              <w:szCs w:val="30"/>
            </w:rPr>
            <w:t>三、挑战与问题</w:t>
          </w:r>
          <w:r>
            <w:tab/>
          </w:r>
          <w:r>
            <w:fldChar w:fldCharType="begin"/>
          </w:r>
          <w:r>
            <w:instrText xml:space="preserve"> PAGEREF _Toc1867450410 </w:instrText>
          </w:r>
          <w:r>
            <w:fldChar w:fldCharType="separate"/>
          </w:r>
          <w:r>
            <w:t>3</w:t>
          </w:r>
          <w:r>
            <w:fldChar w:fldCharType="end"/>
          </w:r>
          <w:r>
            <w:rPr>
              <w:rFonts w:ascii="仿宋" w:hAnsi="仿宋" w:eastAsia="仿宋"/>
              <w:szCs w:val="30"/>
            </w:rPr>
            <w:fldChar w:fldCharType="end"/>
          </w:r>
        </w:p>
        <w:p>
          <w:pPr>
            <w:pStyle w:val="19"/>
            <w:tabs>
              <w:tab w:val="right" w:leader="dot" w:pos="8306"/>
            </w:tabs>
          </w:pPr>
          <w:r>
            <w:rPr>
              <w:rFonts w:ascii="仿宋" w:hAnsi="仿宋" w:eastAsia="仿宋"/>
              <w:szCs w:val="30"/>
            </w:rPr>
            <w:fldChar w:fldCharType="begin"/>
          </w:r>
          <w:r>
            <w:rPr>
              <w:rFonts w:ascii="仿宋" w:hAnsi="仿宋" w:eastAsia="仿宋"/>
              <w:szCs w:val="30"/>
            </w:rPr>
            <w:instrText xml:space="preserve"> HYPERLINK \l _Toc511445419 </w:instrText>
          </w:r>
          <w:r>
            <w:rPr>
              <w:rFonts w:ascii="仿宋" w:hAnsi="仿宋" w:eastAsia="仿宋"/>
              <w:szCs w:val="30"/>
            </w:rPr>
            <w:fldChar w:fldCharType="separate"/>
          </w:r>
          <w:r>
            <w:rPr>
              <w:rFonts w:hint="eastAsia" w:ascii="黑体" w:hAnsi="黑体" w:eastAsia="黑体"/>
              <w:szCs w:val="30"/>
            </w:rPr>
            <w:t>四、总体要求</w:t>
          </w:r>
          <w:r>
            <w:tab/>
          </w:r>
          <w:r>
            <w:fldChar w:fldCharType="begin"/>
          </w:r>
          <w:r>
            <w:instrText xml:space="preserve"> PAGEREF _Toc511445419 </w:instrText>
          </w:r>
          <w:r>
            <w:fldChar w:fldCharType="separate"/>
          </w:r>
          <w:r>
            <w:t>5</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_Toc1096533674 </w:instrText>
          </w:r>
          <w:r>
            <w:rPr>
              <w:rFonts w:ascii="仿宋" w:hAnsi="仿宋" w:eastAsia="仿宋"/>
              <w:szCs w:val="30"/>
            </w:rPr>
            <w:fldChar w:fldCharType="separate"/>
          </w:r>
          <w:r>
            <w:rPr>
              <w:rFonts w:hint="eastAsia" w:ascii="仿宋" w:hAnsi="仿宋" w:eastAsia="仿宋"/>
              <w:bCs/>
              <w:szCs w:val="30"/>
            </w:rPr>
            <w:t>（一）指导思想</w:t>
          </w:r>
          <w:r>
            <w:tab/>
          </w:r>
          <w:r>
            <w:fldChar w:fldCharType="begin"/>
          </w:r>
          <w:r>
            <w:instrText xml:space="preserve"> PAGEREF _Toc1096533674 </w:instrText>
          </w:r>
          <w:r>
            <w:fldChar w:fldCharType="separate"/>
          </w:r>
          <w:r>
            <w:t>5</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_Toc1591979506 </w:instrText>
          </w:r>
          <w:r>
            <w:rPr>
              <w:rFonts w:ascii="仿宋" w:hAnsi="仿宋" w:eastAsia="仿宋"/>
              <w:szCs w:val="30"/>
            </w:rPr>
            <w:fldChar w:fldCharType="separate"/>
          </w:r>
          <w:r>
            <w:rPr>
              <w:rFonts w:hint="eastAsia" w:ascii="仿宋" w:hAnsi="仿宋" w:eastAsia="仿宋"/>
              <w:bCs/>
              <w:szCs w:val="30"/>
            </w:rPr>
            <w:t>（二）基本原则</w:t>
          </w:r>
          <w:r>
            <w:tab/>
          </w:r>
          <w:r>
            <w:fldChar w:fldCharType="begin"/>
          </w:r>
          <w:r>
            <w:instrText xml:space="preserve"> PAGEREF _Toc1591979506 </w:instrText>
          </w:r>
          <w:r>
            <w:fldChar w:fldCharType="separate"/>
          </w:r>
          <w:r>
            <w:t>5</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_Toc1953490662 </w:instrText>
          </w:r>
          <w:r>
            <w:rPr>
              <w:rFonts w:ascii="仿宋" w:hAnsi="仿宋" w:eastAsia="仿宋"/>
              <w:szCs w:val="30"/>
            </w:rPr>
            <w:fldChar w:fldCharType="separate"/>
          </w:r>
          <w:r>
            <w:rPr>
              <w:rFonts w:hint="eastAsia" w:ascii="仿宋" w:hAnsi="仿宋" w:eastAsia="仿宋"/>
              <w:bCs/>
              <w:szCs w:val="30"/>
            </w:rPr>
            <w:t>（三）规划思路</w:t>
          </w:r>
          <w:r>
            <w:tab/>
          </w:r>
          <w:r>
            <w:fldChar w:fldCharType="begin"/>
          </w:r>
          <w:r>
            <w:instrText xml:space="preserve"> PAGEREF _Toc1953490662 </w:instrText>
          </w:r>
          <w:r>
            <w:fldChar w:fldCharType="separate"/>
          </w:r>
          <w:r>
            <w:t>7</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_Toc1998818681 </w:instrText>
          </w:r>
          <w:r>
            <w:rPr>
              <w:rFonts w:ascii="仿宋" w:hAnsi="仿宋" w:eastAsia="仿宋"/>
              <w:szCs w:val="30"/>
            </w:rPr>
            <w:fldChar w:fldCharType="separate"/>
          </w:r>
          <w:r>
            <w:rPr>
              <w:rFonts w:hint="eastAsia" w:ascii="仿宋" w:hAnsi="仿宋" w:eastAsia="仿宋"/>
              <w:bCs/>
              <w:szCs w:val="30"/>
            </w:rPr>
            <w:t>（四）总体目标</w:t>
          </w:r>
          <w:r>
            <w:tab/>
          </w:r>
          <w:r>
            <w:fldChar w:fldCharType="begin"/>
          </w:r>
          <w:r>
            <w:instrText xml:space="preserve"> PAGEREF _Toc1998818681 </w:instrText>
          </w:r>
          <w:r>
            <w:fldChar w:fldCharType="separate"/>
          </w:r>
          <w:r>
            <w:t>7</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_Toc1266547133 </w:instrText>
          </w:r>
          <w:r>
            <w:rPr>
              <w:rFonts w:ascii="仿宋" w:hAnsi="仿宋" w:eastAsia="仿宋"/>
              <w:szCs w:val="30"/>
            </w:rPr>
            <w:fldChar w:fldCharType="separate"/>
          </w:r>
          <w:r>
            <w:rPr>
              <w:rFonts w:hint="eastAsia" w:ascii="仿宋" w:hAnsi="仿宋" w:eastAsia="仿宋"/>
              <w:bCs/>
              <w:szCs w:val="30"/>
            </w:rPr>
            <w:t>（五）具体目标</w:t>
          </w:r>
          <w:r>
            <w:tab/>
          </w:r>
          <w:r>
            <w:fldChar w:fldCharType="begin"/>
          </w:r>
          <w:r>
            <w:instrText xml:space="preserve"> PAGEREF _Toc1266547133 </w:instrText>
          </w:r>
          <w:r>
            <w:fldChar w:fldCharType="separate"/>
          </w:r>
          <w:r>
            <w:t>9</w:t>
          </w:r>
          <w:r>
            <w:fldChar w:fldCharType="end"/>
          </w:r>
          <w:r>
            <w:rPr>
              <w:rFonts w:ascii="仿宋" w:hAnsi="仿宋" w:eastAsia="仿宋"/>
              <w:szCs w:val="30"/>
            </w:rPr>
            <w:fldChar w:fldCharType="end"/>
          </w:r>
        </w:p>
        <w:p>
          <w:pPr>
            <w:pStyle w:val="19"/>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_Toc1250081716 </w:instrText>
          </w:r>
          <w:r>
            <w:rPr>
              <w:rFonts w:ascii="仿宋" w:hAnsi="仿宋" w:eastAsia="仿宋"/>
              <w:szCs w:val="30"/>
            </w:rPr>
            <w:fldChar w:fldCharType="separate"/>
          </w:r>
          <w:r>
            <w:rPr>
              <w:rFonts w:hint="eastAsia" w:ascii="黑体" w:hAnsi="黑体" w:eastAsia="黑体"/>
              <w:szCs w:val="30"/>
            </w:rPr>
            <w:t>五、体系架构</w:t>
          </w:r>
          <w:r>
            <w:tab/>
          </w:r>
          <w:r>
            <w:fldChar w:fldCharType="begin"/>
          </w:r>
          <w:r>
            <w:instrText xml:space="preserve"> PAGEREF _Toc1250081716 </w:instrText>
          </w:r>
          <w:r>
            <w:fldChar w:fldCharType="separate"/>
          </w:r>
          <w:r>
            <w:t>10</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_Toc755716603 </w:instrText>
          </w:r>
          <w:r>
            <w:rPr>
              <w:rFonts w:ascii="仿宋" w:hAnsi="仿宋" w:eastAsia="仿宋"/>
              <w:szCs w:val="30"/>
            </w:rPr>
            <w:fldChar w:fldCharType="separate"/>
          </w:r>
          <w:r>
            <w:rPr>
              <w:rFonts w:hint="eastAsia" w:ascii="仿宋" w:hAnsi="仿宋" w:eastAsia="仿宋"/>
              <w:bCs/>
              <w:szCs w:val="30"/>
            </w:rPr>
            <w:t>（一）层级架构</w:t>
          </w:r>
          <w:r>
            <w:tab/>
          </w:r>
          <w:r>
            <w:fldChar w:fldCharType="begin"/>
          </w:r>
          <w:r>
            <w:instrText xml:space="preserve"> PAGEREF _Toc755716603 </w:instrText>
          </w:r>
          <w:r>
            <w:fldChar w:fldCharType="separate"/>
          </w:r>
          <w:r>
            <w:t>10</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_Toc325858553 </w:instrText>
          </w:r>
          <w:r>
            <w:rPr>
              <w:rFonts w:ascii="仿宋" w:hAnsi="仿宋" w:eastAsia="仿宋"/>
              <w:szCs w:val="30"/>
            </w:rPr>
            <w:fldChar w:fldCharType="separate"/>
          </w:r>
          <w:r>
            <w:rPr>
              <w:rFonts w:hint="eastAsia" w:ascii="仿宋" w:hAnsi="仿宋" w:eastAsia="仿宋"/>
              <w:bCs/>
              <w:szCs w:val="30"/>
            </w:rPr>
            <w:t>（二）业务架构</w:t>
          </w:r>
          <w:r>
            <w:tab/>
          </w:r>
          <w:r>
            <w:fldChar w:fldCharType="begin"/>
          </w:r>
          <w:r>
            <w:instrText xml:space="preserve"> PAGEREF _Toc325858553 </w:instrText>
          </w:r>
          <w:r>
            <w:fldChar w:fldCharType="separate"/>
          </w:r>
          <w:r>
            <w:t>10</w:t>
          </w:r>
          <w:r>
            <w:fldChar w:fldCharType="end"/>
          </w:r>
          <w:r>
            <w:rPr>
              <w:rFonts w:ascii="仿宋" w:hAnsi="仿宋" w:eastAsia="仿宋"/>
              <w:szCs w:val="30"/>
            </w:rPr>
            <w:fldChar w:fldCharType="end"/>
          </w:r>
        </w:p>
        <w:p>
          <w:pPr>
            <w:pStyle w:val="19"/>
            <w:tabs>
              <w:tab w:val="right" w:leader="dot" w:pos="8306"/>
            </w:tabs>
          </w:pPr>
          <w:r>
            <w:rPr>
              <w:rFonts w:ascii="仿宋" w:hAnsi="仿宋" w:eastAsia="仿宋"/>
              <w:szCs w:val="30"/>
            </w:rPr>
            <w:fldChar w:fldCharType="begin"/>
          </w:r>
          <w:r>
            <w:rPr>
              <w:rFonts w:ascii="仿宋" w:hAnsi="仿宋" w:eastAsia="仿宋"/>
              <w:szCs w:val="30"/>
            </w:rPr>
            <w:instrText xml:space="preserve"> HYPERLINK \l _Toc297565811 </w:instrText>
          </w:r>
          <w:r>
            <w:rPr>
              <w:rFonts w:ascii="仿宋" w:hAnsi="仿宋" w:eastAsia="仿宋"/>
              <w:szCs w:val="30"/>
            </w:rPr>
            <w:fldChar w:fldCharType="separate"/>
          </w:r>
          <w:r>
            <w:rPr>
              <w:rFonts w:hint="eastAsia" w:ascii="黑体" w:hAnsi="黑体" w:eastAsia="黑体"/>
              <w:szCs w:val="30"/>
            </w:rPr>
            <w:t>六、重点任务</w:t>
          </w:r>
          <w:r>
            <w:tab/>
          </w:r>
          <w:r>
            <w:fldChar w:fldCharType="begin"/>
          </w:r>
          <w:r>
            <w:instrText xml:space="preserve"> PAGEREF _Toc297565811 </w:instrText>
          </w:r>
          <w:r>
            <w:fldChar w:fldCharType="separate"/>
          </w:r>
          <w:r>
            <w:t>11</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_Toc1171488445 </w:instrText>
          </w:r>
          <w:r>
            <w:rPr>
              <w:rFonts w:ascii="仿宋" w:hAnsi="仿宋" w:eastAsia="仿宋"/>
              <w:szCs w:val="30"/>
            </w:rPr>
            <w:fldChar w:fldCharType="separate"/>
          </w:r>
          <w:r>
            <w:rPr>
              <w:rFonts w:hint="eastAsia" w:ascii="仿宋" w:hAnsi="仿宋" w:eastAsia="仿宋"/>
              <w:bCs/>
              <w:szCs w:val="30"/>
            </w:rPr>
            <w:t>（一）夯实数字底座</w:t>
          </w:r>
          <w:r>
            <w:tab/>
          </w:r>
          <w:r>
            <w:fldChar w:fldCharType="begin"/>
          </w:r>
          <w:r>
            <w:instrText xml:space="preserve"> PAGEREF _Toc1171488445 </w:instrText>
          </w:r>
          <w:r>
            <w:fldChar w:fldCharType="separate"/>
          </w:r>
          <w:r>
            <w:t>11</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_Toc572654095 </w:instrText>
          </w:r>
          <w:r>
            <w:rPr>
              <w:rFonts w:ascii="仿宋" w:hAnsi="仿宋" w:eastAsia="仿宋"/>
              <w:szCs w:val="30"/>
            </w:rPr>
            <w:fldChar w:fldCharType="separate"/>
          </w:r>
          <w:r>
            <w:rPr>
              <w:rFonts w:hint="eastAsia" w:ascii="仿宋" w:hAnsi="仿宋" w:eastAsia="仿宋"/>
              <w:bCs/>
              <w:szCs w:val="30"/>
            </w:rPr>
            <w:t>1.加快数字基建升级</w:t>
          </w:r>
          <w:r>
            <w:tab/>
          </w:r>
          <w:r>
            <w:fldChar w:fldCharType="begin"/>
          </w:r>
          <w:r>
            <w:instrText xml:space="preserve"> PAGEREF _Toc572654095 </w:instrText>
          </w:r>
          <w:r>
            <w:fldChar w:fldCharType="separate"/>
          </w:r>
          <w:r>
            <w:t>11</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_Toc1127786389 </w:instrText>
          </w:r>
          <w:r>
            <w:rPr>
              <w:rFonts w:ascii="仿宋" w:hAnsi="仿宋" w:eastAsia="仿宋"/>
              <w:szCs w:val="30"/>
            </w:rPr>
            <w:fldChar w:fldCharType="separate"/>
          </w:r>
          <w:r>
            <w:rPr>
              <w:rFonts w:hint="eastAsia" w:ascii="仿宋" w:hAnsi="仿宋" w:eastAsia="仿宋"/>
              <w:bCs/>
              <w:szCs w:val="30"/>
            </w:rPr>
            <w:t>2.夯实数据协同中枢</w:t>
          </w:r>
          <w:r>
            <w:tab/>
          </w:r>
          <w:r>
            <w:fldChar w:fldCharType="begin"/>
          </w:r>
          <w:r>
            <w:instrText xml:space="preserve"> PAGEREF _Toc1127786389 </w:instrText>
          </w:r>
          <w:r>
            <w:fldChar w:fldCharType="separate"/>
          </w:r>
          <w:r>
            <w:t>12</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_Toc1631057709 </w:instrText>
          </w:r>
          <w:r>
            <w:rPr>
              <w:rFonts w:ascii="仿宋" w:hAnsi="仿宋" w:eastAsia="仿宋"/>
              <w:szCs w:val="30"/>
            </w:rPr>
            <w:fldChar w:fldCharType="separate"/>
          </w:r>
          <w:r>
            <w:rPr>
              <w:rFonts w:hint="eastAsia" w:ascii="仿宋" w:hAnsi="仿宋" w:eastAsia="仿宋"/>
              <w:bCs/>
              <w:szCs w:val="30"/>
            </w:rPr>
            <w:t>3.健全数字运行体系</w:t>
          </w:r>
          <w:r>
            <w:tab/>
          </w:r>
          <w:r>
            <w:fldChar w:fldCharType="begin"/>
          </w:r>
          <w:r>
            <w:instrText xml:space="preserve"> PAGEREF _Toc1631057709 </w:instrText>
          </w:r>
          <w:r>
            <w:fldChar w:fldCharType="separate"/>
          </w:r>
          <w:r>
            <w:t>13</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_Toc835811937 </w:instrText>
          </w:r>
          <w:r>
            <w:rPr>
              <w:rFonts w:ascii="仿宋" w:hAnsi="仿宋" w:eastAsia="仿宋"/>
              <w:szCs w:val="30"/>
            </w:rPr>
            <w:fldChar w:fldCharType="separate"/>
          </w:r>
          <w:r>
            <w:rPr>
              <w:rFonts w:hint="eastAsia" w:ascii="仿宋" w:hAnsi="仿宋" w:eastAsia="仿宋"/>
              <w:bCs/>
              <w:szCs w:val="30"/>
            </w:rPr>
            <w:t>（二）壮大数字产业</w:t>
          </w:r>
          <w:r>
            <w:tab/>
          </w:r>
          <w:r>
            <w:fldChar w:fldCharType="begin"/>
          </w:r>
          <w:r>
            <w:instrText xml:space="preserve"> PAGEREF _Toc835811937 </w:instrText>
          </w:r>
          <w:r>
            <w:fldChar w:fldCharType="separate"/>
          </w:r>
          <w:r>
            <w:t>14</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_Toc953797202 </w:instrText>
          </w:r>
          <w:r>
            <w:rPr>
              <w:rFonts w:ascii="仿宋" w:hAnsi="仿宋" w:eastAsia="仿宋"/>
              <w:szCs w:val="30"/>
            </w:rPr>
            <w:fldChar w:fldCharType="separate"/>
          </w:r>
          <w:r>
            <w:rPr>
              <w:rFonts w:hint="eastAsia" w:ascii="仿宋" w:hAnsi="仿宋" w:eastAsia="仿宋"/>
              <w:bCs/>
              <w:szCs w:val="30"/>
            </w:rPr>
            <w:t>1.加快制造业数智化转型</w:t>
          </w:r>
          <w:r>
            <w:tab/>
          </w:r>
          <w:r>
            <w:fldChar w:fldCharType="begin"/>
          </w:r>
          <w:r>
            <w:instrText xml:space="preserve"> PAGEREF _Toc953797202 </w:instrText>
          </w:r>
          <w:r>
            <w:fldChar w:fldCharType="separate"/>
          </w:r>
          <w:r>
            <w:t>14</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_Toc1367362515 </w:instrText>
          </w:r>
          <w:r>
            <w:rPr>
              <w:rFonts w:ascii="仿宋" w:hAnsi="仿宋" w:eastAsia="仿宋"/>
              <w:szCs w:val="30"/>
            </w:rPr>
            <w:fldChar w:fldCharType="separate"/>
          </w:r>
          <w:r>
            <w:rPr>
              <w:rFonts w:hint="eastAsia" w:ascii="仿宋" w:hAnsi="仿宋" w:eastAsia="仿宋"/>
              <w:bCs/>
              <w:szCs w:val="30"/>
            </w:rPr>
            <w:t>2.打造数字服务新高地</w:t>
          </w:r>
          <w:r>
            <w:tab/>
          </w:r>
          <w:r>
            <w:fldChar w:fldCharType="begin"/>
          </w:r>
          <w:r>
            <w:instrText xml:space="preserve"> PAGEREF _Toc1367362515 </w:instrText>
          </w:r>
          <w:r>
            <w:fldChar w:fldCharType="separate"/>
          </w:r>
          <w:r>
            <w:t>15</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_Toc745182978 </w:instrText>
          </w:r>
          <w:r>
            <w:rPr>
              <w:rFonts w:ascii="仿宋" w:hAnsi="仿宋" w:eastAsia="仿宋"/>
              <w:szCs w:val="30"/>
            </w:rPr>
            <w:fldChar w:fldCharType="separate"/>
          </w:r>
          <w:r>
            <w:rPr>
              <w:rFonts w:hint="eastAsia" w:ascii="仿宋" w:hAnsi="仿宋" w:eastAsia="仿宋"/>
              <w:bCs/>
              <w:szCs w:val="30"/>
            </w:rPr>
            <w:t>3.发展数字技术深应用</w:t>
          </w:r>
          <w:r>
            <w:tab/>
          </w:r>
          <w:r>
            <w:fldChar w:fldCharType="begin"/>
          </w:r>
          <w:r>
            <w:instrText xml:space="preserve"> PAGEREF _Toc745182978 </w:instrText>
          </w:r>
          <w:r>
            <w:fldChar w:fldCharType="separate"/>
          </w:r>
          <w:r>
            <w:t>15</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_Toc1414100634 </w:instrText>
          </w:r>
          <w:r>
            <w:rPr>
              <w:rFonts w:ascii="仿宋" w:hAnsi="仿宋" w:eastAsia="仿宋"/>
              <w:szCs w:val="30"/>
            </w:rPr>
            <w:fldChar w:fldCharType="separate"/>
          </w:r>
          <w:r>
            <w:rPr>
              <w:rFonts w:hint="eastAsia" w:ascii="仿宋" w:hAnsi="仿宋" w:eastAsia="仿宋"/>
              <w:bCs/>
              <w:szCs w:val="30"/>
            </w:rPr>
            <w:t>4.提升数字要素驱动力</w:t>
          </w:r>
          <w:r>
            <w:tab/>
          </w:r>
          <w:r>
            <w:fldChar w:fldCharType="begin"/>
          </w:r>
          <w:r>
            <w:instrText xml:space="preserve"> PAGEREF _Toc1414100634 </w:instrText>
          </w:r>
          <w:r>
            <w:fldChar w:fldCharType="separate"/>
          </w:r>
          <w:r>
            <w:t>16</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_Toc491330926 </w:instrText>
          </w:r>
          <w:r>
            <w:rPr>
              <w:rFonts w:ascii="仿宋" w:hAnsi="仿宋" w:eastAsia="仿宋"/>
              <w:szCs w:val="30"/>
            </w:rPr>
            <w:fldChar w:fldCharType="separate"/>
          </w:r>
          <w:r>
            <w:rPr>
              <w:rFonts w:hint="eastAsia" w:ascii="仿宋" w:hAnsi="仿宋" w:eastAsia="仿宋"/>
              <w:bCs/>
              <w:szCs w:val="30"/>
            </w:rPr>
            <w:t>（三）深化数实融合</w:t>
          </w:r>
          <w:r>
            <w:tab/>
          </w:r>
          <w:r>
            <w:fldChar w:fldCharType="begin"/>
          </w:r>
          <w:r>
            <w:instrText xml:space="preserve"> PAGEREF _Toc491330926 </w:instrText>
          </w:r>
          <w:r>
            <w:fldChar w:fldCharType="separate"/>
          </w:r>
          <w:r>
            <w:t>16</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_Toc2129278961 </w:instrText>
          </w:r>
          <w:r>
            <w:rPr>
              <w:rFonts w:ascii="仿宋" w:hAnsi="仿宋" w:eastAsia="仿宋"/>
              <w:szCs w:val="30"/>
            </w:rPr>
            <w:fldChar w:fldCharType="separate"/>
          </w:r>
          <w:r>
            <w:rPr>
              <w:rFonts w:hint="eastAsia" w:ascii="仿宋" w:hAnsi="仿宋" w:eastAsia="仿宋"/>
              <w:bCs/>
              <w:szCs w:val="30"/>
            </w:rPr>
            <w:t>1.推进数字旅游新突破</w:t>
          </w:r>
          <w:r>
            <w:tab/>
          </w:r>
          <w:r>
            <w:fldChar w:fldCharType="begin"/>
          </w:r>
          <w:r>
            <w:instrText xml:space="preserve"> PAGEREF _Toc2129278961 </w:instrText>
          </w:r>
          <w:r>
            <w:fldChar w:fldCharType="separate"/>
          </w:r>
          <w:r>
            <w:t>16</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_Toc1339556418 </w:instrText>
          </w:r>
          <w:r>
            <w:rPr>
              <w:rFonts w:ascii="仿宋" w:hAnsi="仿宋" w:eastAsia="仿宋"/>
              <w:szCs w:val="30"/>
            </w:rPr>
            <w:fldChar w:fldCharType="separate"/>
          </w:r>
          <w:r>
            <w:rPr>
              <w:rFonts w:hint="eastAsia" w:ascii="仿宋" w:hAnsi="仿宋" w:eastAsia="仿宋"/>
              <w:bCs/>
              <w:szCs w:val="30"/>
            </w:rPr>
            <w:t>2.建设丝路文化新枢纽</w:t>
          </w:r>
          <w:r>
            <w:tab/>
          </w:r>
          <w:r>
            <w:fldChar w:fldCharType="begin"/>
          </w:r>
          <w:r>
            <w:instrText xml:space="preserve"> PAGEREF _Toc1339556418 </w:instrText>
          </w:r>
          <w:r>
            <w:fldChar w:fldCharType="separate"/>
          </w:r>
          <w:r>
            <w:t>17</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_Toc483896424 </w:instrText>
          </w:r>
          <w:r>
            <w:rPr>
              <w:rFonts w:ascii="仿宋" w:hAnsi="仿宋" w:eastAsia="仿宋"/>
              <w:szCs w:val="30"/>
            </w:rPr>
            <w:fldChar w:fldCharType="separate"/>
          </w:r>
          <w:r>
            <w:rPr>
              <w:rFonts w:hint="eastAsia" w:ascii="仿宋" w:hAnsi="仿宋" w:eastAsia="仿宋"/>
              <w:bCs/>
              <w:szCs w:val="30"/>
            </w:rPr>
            <w:t>3.发展数字会展新经济</w:t>
          </w:r>
          <w:r>
            <w:tab/>
          </w:r>
          <w:r>
            <w:fldChar w:fldCharType="begin"/>
          </w:r>
          <w:r>
            <w:instrText xml:space="preserve"> PAGEREF _Toc483896424 </w:instrText>
          </w:r>
          <w:r>
            <w:fldChar w:fldCharType="separate"/>
          </w:r>
          <w:r>
            <w:t>18</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_Toc49937697 </w:instrText>
          </w:r>
          <w:r>
            <w:rPr>
              <w:rFonts w:ascii="仿宋" w:hAnsi="仿宋" w:eastAsia="仿宋"/>
              <w:szCs w:val="30"/>
            </w:rPr>
            <w:fldChar w:fldCharType="separate"/>
          </w:r>
          <w:r>
            <w:rPr>
              <w:rFonts w:hint="eastAsia" w:ascii="仿宋" w:hAnsi="仿宋" w:eastAsia="仿宋"/>
              <w:bCs/>
              <w:szCs w:val="30"/>
            </w:rPr>
            <w:t>4.升级重点产业数智化</w:t>
          </w:r>
          <w:r>
            <w:tab/>
          </w:r>
          <w:r>
            <w:fldChar w:fldCharType="begin"/>
          </w:r>
          <w:r>
            <w:instrText xml:space="preserve"> PAGEREF _Toc49937697 </w:instrText>
          </w:r>
          <w:r>
            <w:fldChar w:fldCharType="separate"/>
          </w:r>
          <w:r>
            <w:t>19</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_Toc1477911772 </w:instrText>
          </w:r>
          <w:r>
            <w:rPr>
              <w:rFonts w:ascii="仿宋" w:hAnsi="仿宋" w:eastAsia="仿宋"/>
              <w:szCs w:val="30"/>
            </w:rPr>
            <w:fldChar w:fldCharType="separate"/>
          </w:r>
          <w:r>
            <w:rPr>
              <w:rFonts w:hint="eastAsia" w:ascii="仿宋" w:hAnsi="仿宋" w:eastAsia="仿宋"/>
              <w:bCs/>
              <w:szCs w:val="30"/>
            </w:rPr>
            <w:t>（四）优化数字金融</w:t>
          </w:r>
          <w:r>
            <w:tab/>
          </w:r>
          <w:r>
            <w:fldChar w:fldCharType="begin"/>
          </w:r>
          <w:r>
            <w:instrText xml:space="preserve"> PAGEREF _Toc1477911772 </w:instrText>
          </w:r>
          <w:r>
            <w:fldChar w:fldCharType="separate"/>
          </w:r>
          <w:r>
            <w:t>19</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_Toc231924581 </w:instrText>
          </w:r>
          <w:r>
            <w:rPr>
              <w:rFonts w:ascii="仿宋" w:hAnsi="仿宋" w:eastAsia="仿宋"/>
              <w:szCs w:val="30"/>
            </w:rPr>
            <w:fldChar w:fldCharType="separate"/>
          </w:r>
          <w:r>
            <w:rPr>
              <w:rFonts w:hint="eastAsia" w:ascii="仿宋" w:hAnsi="仿宋" w:eastAsia="仿宋"/>
              <w:bCs/>
              <w:szCs w:val="30"/>
            </w:rPr>
            <w:t>1.加快金融服务数字转型</w:t>
          </w:r>
          <w:r>
            <w:tab/>
          </w:r>
          <w:r>
            <w:fldChar w:fldCharType="begin"/>
          </w:r>
          <w:r>
            <w:instrText xml:space="preserve"> PAGEREF _Toc231924581 </w:instrText>
          </w:r>
          <w:r>
            <w:fldChar w:fldCharType="separate"/>
          </w:r>
          <w:r>
            <w:t>19</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_Toc1001272334 </w:instrText>
          </w:r>
          <w:r>
            <w:rPr>
              <w:rFonts w:ascii="仿宋" w:hAnsi="仿宋" w:eastAsia="仿宋"/>
              <w:szCs w:val="30"/>
            </w:rPr>
            <w:fldChar w:fldCharType="separate"/>
          </w:r>
          <w:r>
            <w:rPr>
              <w:rFonts w:hint="eastAsia" w:ascii="仿宋" w:hAnsi="仿宋" w:eastAsia="仿宋"/>
              <w:bCs/>
              <w:szCs w:val="30"/>
            </w:rPr>
            <w:t>2.拓展跨境金融业务</w:t>
          </w:r>
          <w:r>
            <w:tab/>
          </w:r>
          <w:r>
            <w:fldChar w:fldCharType="begin"/>
          </w:r>
          <w:r>
            <w:instrText xml:space="preserve"> PAGEREF _Toc1001272334 </w:instrText>
          </w:r>
          <w:r>
            <w:fldChar w:fldCharType="separate"/>
          </w:r>
          <w:r>
            <w:t>19</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_Toc1360147258 </w:instrText>
          </w:r>
          <w:r>
            <w:rPr>
              <w:rFonts w:ascii="仿宋" w:hAnsi="仿宋" w:eastAsia="仿宋"/>
              <w:szCs w:val="30"/>
            </w:rPr>
            <w:fldChar w:fldCharType="separate"/>
          </w:r>
          <w:r>
            <w:rPr>
              <w:rFonts w:hint="eastAsia" w:ascii="仿宋" w:hAnsi="仿宋" w:eastAsia="仿宋"/>
              <w:bCs/>
              <w:szCs w:val="30"/>
            </w:rPr>
            <w:t>3.强化金融科技赋能</w:t>
          </w:r>
          <w:r>
            <w:tab/>
          </w:r>
          <w:r>
            <w:fldChar w:fldCharType="begin"/>
          </w:r>
          <w:r>
            <w:instrText xml:space="preserve"> PAGEREF _Toc1360147258 </w:instrText>
          </w:r>
          <w:r>
            <w:fldChar w:fldCharType="separate"/>
          </w:r>
          <w:r>
            <w:t>20</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_Toc1563229943 </w:instrText>
          </w:r>
          <w:r>
            <w:rPr>
              <w:rFonts w:ascii="仿宋" w:hAnsi="仿宋" w:eastAsia="仿宋"/>
              <w:szCs w:val="30"/>
            </w:rPr>
            <w:fldChar w:fldCharType="separate"/>
          </w:r>
          <w:r>
            <w:rPr>
              <w:rFonts w:hint="eastAsia" w:ascii="仿宋" w:hAnsi="仿宋" w:eastAsia="仿宋"/>
              <w:bCs/>
              <w:szCs w:val="30"/>
            </w:rPr>
            <w:t>4.推动数据资产转化</w:t>
          </w:r>
          <w:r>
            <w:tab/>
          </w:r>
          <w:r>
            <w:fldChar w:fldCharType="begin"/>
          </w:r>
          <w:r>
            <w:instrText xml:space="preserve"> PAGEREF _Toc1563229943 </w:instrText>
          </w:r>
          <w:r>
            <w:fldChar w:fldCharType="separate"/>
          </w:r>
          <w:r>
            <w:t>20</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_Toc608590283 </w:instrText>
          </w:r>
          <w:r>
            <w:rPr>
              <w:rFonts w:ascii="仿宋" w:hAnsi="仿宋" w:eastAsia="仿宋"/>
              <w:szCs w:val="30"/>
            </w:rPr>
            <w:fldChar w:fldCharType="separate"/>
          </w:r>
          <w:r>
            <w:rPr>
              <w:rFonts w:hint="eastAsia" w:ascii="仿宋" w:hAnsi="仿宋" w:eastAsia="仿宋"/>
              <w:bCs/>
              <w:szCs w:val="30"/>
            </w:rPr>
            <w:t>5.构建口岸金融生态</w:t>
          </w:r>
          <w:r>
            <w:tab/>
          </w:r>
          <w:r>
            <w:fldChar w:fldCharType="begin"/>
          </w:r>
          <w:r>
            <w:instrText xml:space="preserve"> PAGEREF _Toc608590283 </w:instrText>
          </w:r>
          <w:r>
            <w:fldChar w:fldCharType="separate"/>
          </w:r>
          <w:r>
            <w:t>21</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_Toc1080114020 </w:instrText>
          </w:r>
          <w:r>
            <w:rPr>
              <w:rFonts w:ascii="仿宋" w:hAnsi="仿宋" w:eastAsia="仿宋"/>
              <w:szCs w:val="30"/>
            </w:rPr>
            <w:fldChar w:fldCharType="separate"/>
          </w:r>
          <w:r>
            <w:rPr>
              <w:rFonts w:hint="eastAsia" w:ascii="仿宋" w:hAnsi="仿宋" w:eastAsia="仿宋"/>
              <w:bCs/>
              <w:szCs w:val="30"/>
            </w:rPr>
            <w:t>（五）提升数字治理</w:t>
          </w:r>
          <w:r>
            <w:tab/>
          </w:r>
          <w:r>
            <w:fldChar w:fldCharType="begin"/>
          </w:r>
          <w:r>
            <w:instrText xml:space="preserve"> PAGEREF _Toc1080114020 </w:instrText>
          </w:r>
          <w:r>
            <w:fldChar w:fldCharType="separate"/>
          </w:r>
          <w:r>
            <w:t>21</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_Toc2074675363 </w:instrText>
          </w:r>
          <w:r>
            <w:rPr>
              <w:rFonts w:ascii="仿宋" w:hAnsi="仿宋" w:eastAsia="仿宋"/>
              <w:szCs w:val="30"/>
            </w:rPr>
            <w:fldChar w:fldCharType="separate"/>
          </w:r>
          <w:r>
            <w:rPr>
              <w:rFonts w:hint="eastAsia" w:ascii="仿宋" w:hAnsi="仿宋" w:eastAsia="仿宋"/>
              <w:bCs/>
              <w:szCs w:val="30"/>
            </w:rPr>
            <w:t>1.提升城市智治水平</w:t>
          </w:r>
          <w:r>
            <w:tab/>
          </w:r>
          <w:r>
            <w:fldChar w:fldCharType="begin"/>
          </w:r>
          <w:r>
            <w:instrText xml:space="preserve"> PAGEREF _Toc2074675363 </w:instrText>
          </w:r>
          <w:r>
            <w:fldChar w:fldCharType="separate"/>
          </w:r>
          <w:r>
            <w:t>21</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_Toc1705123958 </w:instrText>
          </w:r>
          <w:r>
            <w:rPr>
              <w:rFonts w:ascii="仿宋" w:hAnsi="仿宋" w:eastAsia="仿宋"/>
              <w:szCs w:val="30"/>
            </w:rPr>
            <w:fldChar w:fldCharType="separate"/>
          </w:r>
          <w:r>
            <w:rPr>
              <w:rFonts w:hint="eastAsia" w:ascii="仿宋" w:hAnsi="仿宋" w:eastAsia="仿宋"/>
              <w:bCs/>
              <w:szCs w:val="30"/>
            </w:rPr>
            <w:t>2.建设精细智慧交通</w:t>
          </w:r>
          <w:r>
            <w:tab/>
          </w:r>
          <w:r>
            <w:fldChar w:fldCharType="begin"/>
          </w:r>
          <w:r>
            <w:instrText xml:space="preserve"> PAGEREF _Toc1705123958 </w:instrText>
          </w:r>
          <w:r>
            <w:fldChar w:fldCharType="separate"/>
          </w:r>
          <w:r>
            <w:t>22</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_Toc524609878 </w:instrText>
          </w:r>
          <w:r>
            <w:rPr>
              <w:rFonts w:ascii="仿宋" w:hAnsi="仿宋" w:eastAsia="仿宋"/>
              <w:szCs w:val="30"/>
            </w:rPr>
            <w:fldChar w:fldCharType="separate"/>
          </w:r>
          <w:r>
            <w:rPr>
              <w:rFonts w:hint="eastAsia" w:ascii="仿宋" w:hAnsi="仿宋" w:eastAsia="仿宋"/>
              <w:bCs/>
              <w:szCs w:val="30"/>
            </w:rPr>
            <w:t>3.推动自然资源数智升级</w:t>
          </w:r>
          <w:r>
            <w:tab/>
          </w:r>
          <w:r>
            <w:fldChar w:fldCharType="begin"/>
          </w:r>
          <w:r>
            <w:instrText xml:space="preserve"> PAGEREF _Toc524609878 </w:instrText>
          </w:r>
          <w:r>
            <w:fldChar w:fldCharType="separate"/>
          </w:r>
          <w:r>
            <w:t>22</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_Toc1880682377 </w:instrText>
          </w:r>
          <w:r>
            <w:rPr>
              <w:rFonts w:ascii="仿宋" w:hAnsi="仿宋" w:eastAsia="仿宋"/>
              <w:szCs w:val="30"/>
            </w:rPr>
            <w:fldChar w:fldCharType="separate"/>
          </w:r>
          <w:r>
            <w:rPr>
              <w:rFonts w:hint="eastAsia" w:ascii="仿宋" w:hAnsi="仿宋" w:eastAsia="仿宋"/>
              <w:bCs/>
              <w:szCs w:val="30"/>
            </w:rPr>
            <w:t>4.提高生态综合监管</w:t>
          </w:r>
          <w:r>
            <w:tab/>
          </w:r>
          <w:r>
            <w:fldChar w:fldCharType="begin"/>
          </w:r>
          <w:r>
            <w:instrText xml:space="preserve"> PAGEREF _Toc1880682377 </w:instrText>
          </w:r>
          <w:r>
            <w:fldChar w:fldCharType="separate"/>
          </w:r>
          <w:r>
            <w:t>23</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_Toc1556458991 </w:instrText>
          </w:r>
          <w:r>
            <w:rPr>
              <w:rFonts w:ascii="仿宋" w:hAnsi="仿宋" w:eastAsia="仿宋"/>
              <w:szCs w:val="30"/>
            </w:rPr>
            <w:fldChar w:fldCharType="separate"/>
          </w:r>
          <w:r>
            <w:rPr>
              <w:rFonts w:hint="eastAsia" w:ascii="仿宋" w:hAnsi="仿宋" w:eastAsia="仿宋"/>
              <w:bCs/>
              <w:szCs w:val="30"/>
            </w:rPr>
            <w:t>（六）提升数字政务</w:t>
          </w:r>
          <w:r>
            <w:tab/>
          </w:r>
          <w:r>
            <w:fldChar w:fldCharType="begin"/>
          </w:r>
          <w:r>
            <w:instrText xml:space="preserve"> PAGEREF _Toc1556458991 </w:instrText>
          </w:r>
          <w:r>
            <w:fldChar w:fldCharType="separate"/>
          </w:r>
          <w:r>
            <w:t>24</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_Toc1791157012 </w:instrText>
          </w:r>
          <w:r>
            <w:rPr>
              <w:rFonts w:ascii="仿宋" w:hAnsi="仿宋" w:eastAsia="仿宋"/>
              <w:szCs w:val="30"/>
            </w:rPr>
            <w:fldChar w:fldCharType="separate"/>
          </w:r>
          <w:r>
            <w:rPr>
              <w:rFonts w:hint="eastAsia" w:ascii="仿宋" w:hAnsi="仿宋" w:eastAsia="仿宋"/>
              <w:bCs/>
              <w:szCs w:val="30"/>
            </w:rPr>
            <w:t>1.推进政务跨域协同</w:t>
          </w:r>
          <w:r>
            <w:tab/>
          </w:r>
          <w:r>
            <w:fldChar w:fldCharType="begin"/>
          </w:r>
          <w:r>
            <w:instrText xml:space="preserve"> PAGEREF _Toc1791157012 </w:instrText>
          </w:r>
          <w:r>
            <w:fldChar w:fldCharType="separate"/>
          </w:r>
          <w:r>
            <w:t>24</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_Toc983280445 </w:instrText>
          </w:r>
          <w:r>
            <w:rPr>
              <w:rFonts w:ascii="仿宋" w:hAnsi="仿宋" w:eastAsia="仿宋"/>
              <w:szCs w:val="30"/>
            </w:rPr>
            <w:fldChar w:fldCharType="separate"/>
          </w:r>
          <w:r>
            <w:rPr>
              <w:rFonts w:hint="eastAsia" w:ascii="仿宋" w:hAnsi="仿宋" w:eastAsia="仿宋"/>
              <w:bCs/>
              <w:szCs w:val="30"/>
            </w:rPr>
            <w:t>2.推动政务智能升级</w:t>
          </w:r>
          <w:r>
            <w:tab/>
          </w:r>
          <w:r>
            <w:fldChar w:fldCharType="begin"/>
          </w:r>
          <w:r>
            <w:instrText xml:space="preserve"> PAGEREF _Toc983280445 </w:instrText>
          </w:r>
          <w:r>
            <w:fldChar w:fldCharType="separate"/>
          </w:r>
          <w:r>
            <w:t>25</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_Toc164691947 </w:instrText>
          </w:r>
          <w:r>
            <w:rPr>
              <w:rFonts w:ascii="仿宋" w:hAnsi="仿宋" w:eastAsia="仿宋"/>
              <w:szCs w:val="30"/>
            </w:rPr>
            <w:fldChar w:fldCharType="separate"/>
          </w:r>
          <w:r>
            <w:rPr>
              <w:rFonts w:hint="eastAsia" w:ascii="仿宋" w:hAnsi="仿宋" w:eastAsia="仿宋"/>
              <w:bCs/>
              <w:szCs w:val="30"/>
            </w:rPr>
            <w:t>3.推动数据驱动政务服务</w:t>
          </w:r>
          <w:r>
            <w:tab/>
          </w:r>
          <w:r>
            <w:fldChar w:fldCharType="begin"/>
          </w:r>
          <w:r>
            <w:instrText xml:space="preserve"> PAGEREF _Toc164691947 </w:instrText>
          </w:r>
          <w:r>
            <w:fldChar w:fldCharType="separate"/>
          </w:r>
          <w:r>
            <w:t>26</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_Toc2117015565 </w:instrText>
          </w:r>
          <w:r>
            <w:rPr>
              <w:rFonts w:ascii="仿宋" w:hAnsi="仿宋" w:eastAsia="仿宋"/>
              <w:szCs w:val="30"/>
            </w:rPr>
            <w:fldChar w:fldCharType="separate"/>
          </w:r>
          <w:r>
            <w:rPr>
              <w:rFonts w:hint="eastAsia" w:ascii="仿宋" w:hAnsi="仿宋" w:eastAsia="仿宋"/>
              <w:bCs/>
              <w:szCs w:val="30"/>
            </w:rPr>
            <w:t>4.优化“指尖办”办事效能</w:t>
          </w:r>
          <w:r>
            <w:tab/>
          </w:r>
          <w:r>
            <w:fldChar w:fldCharType="begin"/>
          </w:r>
          <w:r>
            <w:instrText xml:space="preserve"> PAGEREF _Toc2117015565 </w:instrText>
          </w:r>
          <w:r>
            <w:fldChar w:fldCharType="separate"/>
          </w:r>
          <w:r>
            <w:t>26</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_Toc1280846256 </w:instrText>
          </w:r>
          <w:r>
            <w:rPr>
              <w:rFonts w:ascii="仿宋" w:hAnsi="仿宋" w:eastAsia="仿宋"/>
              <w:szCs w:val="30"/>
            </w:rPr>
            <w:fldChar w:fldCharType="separate"/>
          </w:r>
          <w:r>
            <w:rPr>
              <w:rFonts w:hint="eastAsia" w:ascii="仿宋" w:hAnsi="仿宋" w:eastAsia="仿宋"/>
              <w:bCs/>
              <w:szCs w:val="30"/>
            </w:rPr>
            <w:t>（七）优化数字便民</w:t>
          </w:r>
          <w:r>
            <w:tab/>
          </w:r>
          <w:r>
            <w:fldChar w:fldCharType="begin"/>
          </w:r>
          <w:r>
            <w:instrText xml:space="preserve"> PAGEREF _Toc1280846256 </w:instrText>
          </w:r>
          <w:r>
            <w:fldChar w:fldCharType="separate"/>
          </w:r>
          <w:r>
            <w:t>27</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_Toc1336180392 </w:instrText>
          </w:r>
          <w:r>
            <w:rPr>
              <w:rFonts w:ascii="仿宋" w:hAnsi="仿宋" w:eastAsia="仿宋"/>
              <w:szCs w:val="30"/>
            </w:rPr>
            <w:fldChar w:fldCharType="separate"/>
          </w:r>
          <w:r>
            <w:rPr>
              <w:rFonts w:hint="eastAsia" w:ascii="仿宋" w:hAnsi="仿宋" w:eastAsia="仿宋"/>
              <w:bCs/>
              <w:szCs w:val="30"/>
            </w:rPr>
            <w:t>1.打造安全智慧社区</w:t>
          </w:r>
          <w:r>
            <w:tab/>
          </w:r>
          <w:r>
            <w:fldChar w:fldCharType="begin"/>
          </w:r>
          <w:r>
            <w:instrText xml:space="preserve"> PAGEREF _Toc1336180392 </w:instrText>
          </w:r>
          <w:r>
            <w:fldChar w:fldCharType="separate"/>
          </w:r>
          <w:r>
            <w:t>27</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_Toc542186012 </w:instrText>
          </w:r>
          <w:r>
            <w:rPr>
              <w:rFonts w:ascii="仿宋" w:hAnsi="仿宋" w:eastAsia="仿宋"/>
              <w:szCs w:val="30"/>
            </w:rPr>
            <w:fldChar w:fldCharType="separate"/>
          </w:r>
          <w:r>
            <w:rPr>
              <w:rFonts w:hint="eastAsia" w:ascii="仿宋" w:hAnsi="仿宋" w:eastAsia="仿宋"/>
              <w:bCs/>
              <w:szCs w:val="30"/>
            </w:rPr>
            <w:t>2.提升智慧健康服务</w:t>
          </w:r>
          <w:r>
            <w:tab/>
          </w:r>
          <w:r>
            <w:fldChar w:fldCharType="begin"/>
          </w:r>
          <w:r>
            <w:instrText xml:space="preserve"> PAGEREF _Toc542186012 </w:instrText>
          </w:r>
          <w:r>
            <w:fldChar w:fldCharType="separate"/>
          </w:r>
          <w:r>
            <w:t>28</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_Toc261148997 </w:instrText>
          </w:r>
          <w:r>
            <w:rPr>
              <w:rFonts w:ascii="仿宋" w:hAnsi="仿宋" w:eastAsia="仿宋"/>
              <w:szCs w:val="30"/>
            </w:rPr>
            <w:fldChar w:fldCharType="separate"/>
          </w:r>
          <w:r>
            <w:rPr>
              <w:rFonts w:hint="eastAsia" w:ascii="仿宋" w:hAnsi="仿宋" w:eastAsia="仿宋"/>
              <w:bCs/>
              <w:szCs w:val="30"/>
            </w:rPr>
            <w:t>3.发展智慧教育服务</w:t>
          </w:r>
          <w:r>
            <w:tab/>
          </w:r>
          <w:r>
            <w:fldChar w:fldCharType="begin"/>
          </w:r>
          <w:r>
            <w:instrText xml:space="preserve"> PAGEREF _Toc261148997 </w:instrText>
          </w:r>
          <w:r>
            <w:fldChar w:fldCharType="separate"/>
          </w:r>
          <w:r>
            <w:t>29</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_Toc819754453 </w:instrText>
          </w:r>
          <w:r>
            <w:rPr>
              <w:rFonts w:ascii="仿宋" w:hAnsi="仿宋" w:eastAsia="仿宋"/>
              <w:szCs w:val="30"/>
            </w:rPr>
            <w:fldChar w:fldCharType="separate"/>
          </w:r>
          <w:r>
            <w:rPr>
              <w:rFonts w:hint="eastAsia" w:ascii="仿宋" w:hAnsi="仿宋" w:eastAsia="仿宋"/>
              <w:bCs/>
              <w:szCs w:val="30"/>
            </w:rPr>
            <w:t>4.发展智慧医养服务</w:t>
          </w:r>
          <w:r>
            <w:tab/>
          </w:r>
          <w:r>
            <w:fldChar w:fldCharType="begin"/>
          </w:r>
          <w:r>
            <w:instrText xml:space="preserve"> PAGEREF _Toc819754453 </w:instrText>
          </w:r>
          <w:r>
            <w:fldChar w:fldCharType="separate"/>
          </w:r>
          <w:r>
            <w:t>29</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_Toc1377997949 </w:instrText>
          </w:r>
          <w:r>
            <w:rPr>
              <w:rFonts w:ascii="仿宋" w:hAnsi="仿宋" w:eastAsia="仿宋"/>
              <w:szCs w:val="30"/>
            </w:rPr>
            <w:fldChar w:fldCharType="separate"/>
          </w:r>
          <w:r>
            <w:rPr>
              <w:rFonts w:hint="eastAsia" w:ascii="仿宋" w:hAnsi="仿宋" w:eastAsia="仿宋"/>
              <w:bCs/>
              <w:szCs w:val="30"/>
            </w:rPr>
            <w:t>（八）提升数字贸易</w:t>
          </w:r>
          <w:r>
            <w:tab/>
          </w:r>
          <w:r>
            <w:fldChar w:fldCharType="begin"/>
          </w:r>
          <w:r>
            <w:instrText xml:space="preserve"> PAGEREF _Toc1377997949 </w:instrText>
          </w:r>
          <w:r>
            <w:fldChar w:fldCharType="separate"/>
          </w:r>
          <w:r>
            <w:t>30</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_Toc1214946200 </w:instrText>
          </w:r>
          <w:r>
            <w:rPr>
              <w:rFonts w:ascii="仿宋" w:hAnsi="仿宋" w:eastAsia="仿宋"/>
              <w:szCs w:val="30"/>
            </w:rPr>
            <w:fldChar w:fldCharType="separate"/>
          </w:r>
          <w:r>
            <w:rPr>
              <w:rFonts w:hint="eastAsia" w:ascii="仿宋" w:hAnsi="仿宋" w:eastAsia="仿宋"/>
              <w:bCs/>
              <w:szCs w:val="30"/>
            </w:rPr>
            <w:t>1.打造一站式外贸综合服务平台</w:t>
          </w:r>
          <w:r>
            <w:tab/>
          </w:r>
          <w:r>
            <w:fldChar w:fldCharType="begin"/>
          </w:r>
          <w:r>
            <w:instrText xml:space="preserve"> PAGEREF _Toc1214946200 </w:instrText>
          </w:r>
          <w:r>
            <w:fldChar w:fldCharType="separate"/>
          </w:r>
          <w:r>
            <w:t>30</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_Toc39633320 </w:instrText>
          </w:r>
          <w:r>
            <w:rPr>
              <w:rFonts w:ascii="仿宋" w:hAnsi="仿宋" w:eastAsia="仿宋"/>
              <w:szCs w:val="30"/>
            </w:rPr>
            <w:fldChar w:fldCharType="separate"/>
          </w:r>
          <w:r>
            <w:rPr>
              <w:rFonts w:hint="eastAsia" w:ascii="仿宋" w:hAnsi="仿宋" w:eastAsia="仿宋"/>
              <w:bCs/>
              <w:szCs w:val="30"/>
            </w:rPr>
            <w:t>2.提升智慧口岸服务</w:t>
          </w:r>
          <w:r>
            <w:tab/>
          </w:r>
          <w:r>
            <w:fldChar w:fldCharType="begin"/>
          </w:r>
          <w:r>
            <w:instrText xml:space="preserve"> PAGEREF _Toc39633320 </w:instrText>
          </w:r>
          <w:r>
            <w:fldChar w:fldCharType="separate"/>
          </w:r>
          <w:r>
            <w:t>31</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_Toc2123180928 </w:instrText>
          </w:r>
          <w:r>
            <w:rPr>
              <w:rFonts w:ascii="仿宋" w:hAnsi="仿宋" w:eastAsia="仿宋"/>
              <w:szCs w:val="30"/>
            </w:rPr>
            <w:fldChar w:fldCharType="separate"/>
          </w:r>
          <w:r>
            <w:rPr>
              <w:rFonts w:hint="eastAsia" w:ascii="仿宋" w:hAnsi="仿宋" w:eastAsia="仿宋"/>
              <w:bCs/>
              <w:szCs w:val="30"/>
            </w:rPr>
            <w:t>3.发展智慧物流服务</w:t>
          </w:r>
          <w:r>
            <w:tab/>
          </w:r>
          <w:r>
            <w:fldChar w:fldCharType="begin"/>
          </w:r>
          <w:r>
            <w:instrText xml:space="preserve"> PAGEREF _Toc2123180928 </w:instrText>
          </w:r>
          <w:r>
            <w:fldChar w:fldCharType="separate"/>
          </w:r>
          <w:r>
            <w:t>32</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_Toc481563186 </w:instrText>
          </w:r>
          <w:r>
            <w:rPr>
              <w:rFonts w:ascii="仿宋" w:hAnsi="仿宋" w:eastAsia="仿宋"/>
              <w:szCs w:val="30"/>
            </w:rPr>
            <w:fldChar w:fldCharType="separate"/>
          </w:r>
          <w:r>
            <w:rPr>
              <w:rFonts w:hint="eastAsia" w:ascii="仿宋" w:hAnsi="仿宋" w:eastAsia="仿宋"/>
              <w:bCs/>
              <w:szCs w:val="30"/>
            </w:rPr>
            <w:t>4.完善跨境电商服务</w:t>
          </w:r>
          <w:r>
            <w:tab/>
          </w:r>
          <w:r>
            <w:fldChar w:fldCharType="begin"/>
          </w:r>
          <w:r>
            <w:instrText xml:space="preserve"> PAGEREF _Toc481563186 </w:instrText>
          </w:r>
          <w:r>
            <w:fldChar w:fldCharType="separate"/>
          </w:r>
          <w:r>
            <w:t>33</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_Toc530964246 </w:instrText>
          </w:r>
          <w:r>
            <w:rPr>
              <w:rFonts w:ascii="仿宋" w:hAnsi="仿宋" w:eastAsia="仿宋"/>
              <w:szCs w:val="30"/>
            </w:rPr>
            <w:fldChar w:fldCharType="separate"/>
          </w:r>
          <w:r>
            <w:rPr>
              <w:rFonts w:hint="eastAsia" w:ascii="仿宋" w:hAnsi="仿宋" w:eastAsia="仿宋"/>
              <w:bCs/>
              <w:szCs w:val="30"/>
            </w:rPr>
            <w:t>5.发展智慧合作中心服务</w:t>
          </w:r>
          <w:r>
            <w:tab/>
          </w:r>
          <w:r>
            <w:fldChar w:fldCharType="begin"/>
          </w:r>
          <w:r>
            <w:instrText xml:space="preserve"> PAGEREF _Toc530964246 </w:instrText>
          </w:r>
          <w:r>
            <w:fldChar w:fldCharType="separate"/>
          </w:r>
          <w:r>
            <w:t>33</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_Toc2104976241 </w:instrText>
          </w:r>
          <w:r>
            <w:rPr>
              <w:rFonts w:ascii="仿宋" w:hAnsi="仿宋" w:eastAsia="仿宋"/>
              <w:szCs w:val="30"/>
            </w:rPr>
            <w:fldChar w:fldCharType="separate"/>
          </w:r>
          <w:r>
            <w:rPr>
              <w:rFonts w:hint="eastAsia" w:ascii="仿宋" w:hAnsi="仿宋" w:eastAsia="仿宋"/>
              <w:bCs/>
              <w:szCs w:val="30"/>
            </w:rPr>
            <w:t>6.发展智慧边民互市服务</w:t>
          </w:r>
          <w:r>
            <w:tab/>
          </w:r>
          <w:r>
            <w:fldChar w:fldCharType="begin"/>
          </w:r>
          <w:r>
            <w:instrText xml:space="preserve"> PAGEREF _Toc2104976241 </w:instrText>
          </w:r>
          <w:r>
            <w:fldChar w:fldCharType="separate"/>
          </w:r>
          <w:r>
            <w:t>35</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_Toc1821119604 </w:instrText>
          </w:r>
          <w:r>
            <w:rPr>
              <w:rFonts w:ascii="仿宋" w:hAnsi="仿宋" w:eastAsia="仿宋"/>
              <w:szCs w:val="30"/>
            </w:rPr>
            <w:fldChar w:fldCharType="separate"/>
          </w:r>
          <w:r>
            <w:rPr>
              <w:rFonts w:hint="eastAsia" w:ascii="仿宋" w:hAnsi="仿宋" w:eastAsia="仿宋"/>
              <w:bCs/>
              <w:szCs w:val="30"/>
            </w:rPr>
            <w:t>（九）畅通数字枢纽</w:t>
          </w:r>
          <w:r>
            <w:tab/>
          </w:r>
          <w:r>
            <w:fldChar w:fldCharType="begin"/>
          </w:r>
          <w:r>
            <w:instrText xml:space="preserve"> PAGEREF _Toc1821119604 </w:instrText>
          </w:r>
          <w:r>
            <w:fldChar w:fldCharType="separate"/>
          </w:r>
          <w:r>
            <w:t>35</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_Toc1014860671 </w:instrText>
          </w:r>
          <w:r>
            <w:rPr>
              <w:rFonts w:ascii="仿宋" w:hAnsi="仿宋" w:eastAsia="仿宋"/>
              <w:szCs w:val="30"/>
            </w:rPr>
            <w:fldChar w:fldCharType="separate"/>
          </w:r>
          <w:r>
            <w:rPr>
              <w:rFonts w:hint="eastAsia" w:ascii="仿宋" w:hAnsi="仿宋" w:eastAsia="仿宋"/>
              <w:bCs/>
              <w:szCs w:val="30"/>
            </w:rPr>
            <w:t>1.打造霍尔果斯可信数据空间</w:t>
          </w:r>
          <w:r>
            <w:tab/>
          </w:r>
          <w:r>
            <w:fldChar w:fldCharType="begin"/>
          </w:r>
          <w:r>
            <w:instrText xml:space="preserve"> PAGEREF _Toc1014860671 </w:instrText>
          </w:r>
          <w:r>
            <w:fldChar w:fldCharType="separate"/>
          </w:r>
          <w:r>
            <w:t>36</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_Toc7430290 </w:instrText>
          </w:r>
          <w:r>
            <w:rPr>
              <w:rFonts w:ascii="仿宋" w:hAnsi="仿宋" w:eastAsia="仿宋"/>
              <w:szCs w:val="30"/>
            </w:rPr>
            <w:fldChar w:fldCharType="separate"/>
          </w:r>
          <w:r>
            <w:rPr>
              <w:rFonts w:hint="eastAsia" w:ascii="仿宋" w:hAnsi="仿宋" w:eastAsia="仿宋"/>
              <w:bCs/>
              <w:szCs w:val="30"/>
            </w:rPr>
            <w:t>2.建设国际数据走廊核心枢纽</w:t>
          </w:r>
          <w:r>
            <w:tab/>
          </w:r>
          <w:r>
            <w:fldChar w:fldCharType="begin"/>
          </w:r>
          <w:r>
            <w:instrText xml:space="preserve"> PAGEREF _Toc7430290 </w:instrText>
          </w:r>
          <w:r>
            <w:fldChar w:fldCharType="separate"/>
          </w:r>
          <w:r>
            <w:t>37</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_Toc1151547728 </w:instrText>
          </w:r>
          <w:r>
            <w:rPr>
              <w:rFonts w:ascii="仿宋" w:hAnsi="仿宋" w:eastAsia="仿宋"/>
              <w:szCs w:val="30"/>
            </w:rPr>
            <w:fldChar w:fldCharType="separate"/>
          </w:r>
          <w:r>
            <w:rPr>
              <w:rFonts w:hint="eastAsia" w:ascii="仿宋" w:hAnsi="仿宋" w:eastAsia="仿宋"/>
              <w:bCs/>
              <w:szCs w:val="30"/>
            </w:rPr>
            <w:t>3.构建丝路数据交易流通体系</w:t>
          </w:r>
          <w:r>
            <w:tab/>
          </w:r>
          <w:r>
            <w:fldChar w:fldCharType="begin"/>
          </w:r>
          <w:r>
            <w:instrText xml:space="preserve"> PAGEREF _Toc1151547728 </w:instrText>
          </w:r>
          <w:r>
            <w:fldChar w:fldCharType="separate"/>
          </w:r>
          <w:r>
            <w:t>39</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_Toc1246785252 </w:instrText>
          </w:r>
          <w:r>
            <w:rPr>
              <w:rFonts w:ascii="仿宋" w:hAnsi="仿宋" w:eastAsia="仿宋"/>
              <w:szCs w:val="30"/>
            </w:rPr>
            <w:fldChar w:fldCharType="separate"/>
          </w:r>
          <w:r>
            <w:rPr>
              <w:rFonts w:hint="eastAsia" w:ascii="仿宋" w:hAnsi="仿宋" w:eastAsia="仿宋"/>
              <w:bCs/>
              <w:szCs w:val="30"/>
            </w:rPr>
            <w:t>（十）引育数字人才</w:t>
          </w:r>
          <w:r>
            <w:tab/>
          </w:r>
          <w:r>
            <w:fldChar w:fldCharType="begin"/>
          </w:r>
          <w:r>
            <w:instrText xml:space="preserve"> PAGEREF _Toc1246785252 </w:instrText>
          </w:r>
          <w:r>
            <w:fldChar w:fldCharType="separate"/>
          </w:r>
          <w:r>
            <w:t>41</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_Toc1008702625 </w:instrText>
          </w:r>
          <w:r>
            <w:rPr>
              <w:rFonts w:ascii="仿宋" w:hAnsi="仿宋" w:eastAsia="仿宋"/>
              <w:szCs w:val="30"/>
            </w:rPr>
            <w:fldChar w:fldCharType="separate"/>
          </w:r>
          <w:r>
            <w:rPr>
              <w:rFonts w:hint="eastAsia" w:ascii="仿宋" w:hAnsi="仿宋" w:eastAsia="仿宋"/>
              <w:bCs/>
              <w:szCs w:val="30"/>
            </w:rPr>
            <w:t>1.强化数字人才引育</w:t>
          </w:r>
          <w:r>
            <w:tab/>
          </w:r>
          <w:r>
            <w:fldChar w:fldCharType="begin"/>
          </w:r>
          <w:r>
            <w:instrText xml:space="preserve"> PAGEREF _Toc1008702625 </w:instrText>
          </w:r>
          <w:r>
            <w:fldChar w:fldCharType="separate"/>
          </w:r>
          <w:r>
            <w:t>41</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_Toc364211339 </w:instrText>
          </w:r>
          <w:r>
            <w:rPr>
              <w:rFonts w:ascii="仿宋" w:hAnsi="仿宋" w:eastAsia="仿宋"/>
              <w:szCs w:val="30"/>
            </w:rPr>
            <w:fldChar w:fldCharType="separate"/>
          </w:r>
          <w:r>
            <w:rPr>
              <w:rFonts w:hint="eastAsia" w:ascii="仿宋" w:hAnsi="仿宋" w:eastAsia="仿宋"/>
              <w:bCs/>
              <w:szCs w:val="30"/>
            </w:rPr>
            <w:t>2.拓展人才应用场景</w:t>
          </w:r>
          <w:r>
            <w:tab/>
          </w:r>
          <w:r>
            <w:fldChar w:fldCharType="begin"/>
          </w:r>
          <w:r>
            <w:instrText xml:space="preserve"> PAGEREF _Toc364211339 </w:instrText>
          </w:r>
          <w:r>
            <w:fldChar w:fldCharType="separate"/>
          </w:r>
          <w:r>
            <w:t>42</w:t>
          </w:r>
          <w:r>
            <w:fldChar w:fldCharType="end"/>
          </w:r>
          <w:r>
            <w:rPr>
              <w:rFonts w:ascii="仿宋" w:hAnsi="仿宋" w:eastAsia="仿宋"/>
              <w:szCs w:val="30"/>
            </w:rPr>
            <w:fldChar w:fldCharType="end"/>
          </w:r>
        </w:p>
        <w:p>
          <w:pPr>
            <w:pStyle w:val="15"/>
            <w:tabs>
              <w:tab w:val="right" w:leader="dot" w:pos="8306"/>
            </w:tabs>
          </w:pPr>
          <w:r>
            <w:rPr>
              <w:rFonts w:ascii="仿宋" w:hAnsi="仿宋" w:eastAsia="仿宋"/>
              <w:szCs w:val="30"/>
            </w:rPr>
            <w:fldChar w:fldCharType="begin"/>
          </w:r>
          <w:r>
            <w:rPr>
              <w:rFonts w:ascii="仿宋" w:hAnsi="仿宋" w:eastAsia="仿宋"/>
              <w:szCs w:val="30"/>
            </w:rPr>
            <w:instrText xml:space="preserve"> HYPERLINK \l _Toc662531548 </w:instrText>
          </w:r>
          <w:r>
            <w:rPr>
              <w:rFonts w:ascii="仿宋" w:hAnsi="仿宋" w:eastAsia="仿宋"/>
              <w:szCs w:val="30"/>
            </w:rPr>
            <w:fldChar w:fldCharType="separate"/>
          </w:r>
          <w:r>
            <w:rPr>
              <w:rFonts w:hint="eastAsia" w:ascii="仿宋" w:hAnsi="仿宋" w:eastAsia="仿宋"/>
              <w:bCs/>
              <w:szCs w:val="30"/>
            </w:rPr>
            <w:t>3.健全人才留用保障</w:t>
          </w:r>
          <w:r>
            <w:tab/>
          </w:r>
          <w:r>
            <w:fldChar w:fldCharType="begin"/>
          </w:r>
          <w:r>
            <w:instrText xml:space="preserve"> PAGEREF _Toc662531548 </w:instrText>
          </w:r>
          <w:r>
            <w:fldChar w:fldCharType="separate"/>
          </w:r>
          <w:r>
            <w:t>42</w:t>
          </w:r>
          <w:r>
            <w:fldChar w:fldCharType="end"/>
          </w:r>
          <w:r>
            <w:rPr>
              <w:rFonts w:ascii="仿宋" w:hAnsi="仿宋" w:eastAsia="仿宋"/>
              <w:szCs w:val="30"/>
            </w:rPr>
            <w:fldChar w:fldCharType="end"/>
          </w:r>
        </w:p>
        <w:p>
          <w:pPr>
            <w:pStyle w:val="19"/>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_Toc1617292908 </w:instrText>
          </w:r>
          <w:r>
            <w:rPr>
              <w:rFonts w:ascii="仿宋" w:hAnsi="仿宋" w:eastAsia="仿宋"/>
              <w:szCs w:val="30"/>
            </w:rPr>
            <w:fldChar w:fldCharType="separate"/>
          </w:r>
          <w:r>
            <w:rPr>
              <w:rFonts w:hint="eastAsia" w:ascii="黑体" w:hAnsi="黑体" w:eastAsia="黑体"/>
              <w:szCs w:val="30"/>
            </w:rPr>
            <w:t>七、保障措施</w:t>
          </w:r>
          <w:r>
            <w:tab/>
          </w:r>
          <w:r>
            <w:fldChar w:fldCharType="begin"/>
          </w:r>
          <w:r>
            <w:instrText xml:space="preserve"> PAGEREF _Toc1617292908 </w:instrText>
          </w:r>
          <w:r>
            <w:fldChar w:fldCharType="separate"/>
          </w:r>
          <w:r>
            <w:t>42</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_Toc1444325359 </w:instrText>
          </w:r>
          <w:r>
            <w:rPr>
              <w:rFonts w:ascii="仿宋" w:hAnsi="仿宋" w:eastAsia="仿宋"/>
              <w:szCs w:val="30"/>
            </w:rPr>
            <w:fldChar w:fldCharType="separate"/>
          </w:r>
          <w:r>
            <w:rPr>
              <w:rFonts w:hint="eastAsia" w:ascii="仿宋" w:hAnsi="仿宋" w:eastAsia="仿宋"/>
              <w:bCs/>
              <w:szCs w:val="30"/>
            </w:rPr>
            <w:t>（一）加强组织领导</w:t>
          </w:r>
          <w:r>
            <w:tab/>
          </w:r>
          <w:r>
            <w:fldChar w:fldCharType="begin"/>
          </w:r>
          <w:r>
            <w:instrText xml:space="preserve"> PAGEREF _Toc1444325359 </w:instrText>
          </w:r>
          <w:r>
            <w:fldChar w:fldCharType="separate"/>
          </w:r>
          <w:r>
            <w:t>43</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_Toc589723263 </w:instrText>
          </w:r>
          <w:r>
            <w:rPr>
              <w:rFonts w:ascii="仿宋" w:hAnsi="仿宋" w:eastAsia="仿宋"/>
              <w:szCs w:val="30"/>
            </w:rPr>
            <w:fldChar w:fldCharType="separate"/>
          </w:r>
          <w:r>
            <w:rPr>
              <w:rFonts w:hint="eastAsia" w:ascii="仿宋" w:hAnsi="仿宋" w:eastAsia="仿宋"/>
              <w:bCs/>
              <w:szCs w:val="30"/>
            </w:rPr>
            <w:t>（二）强化政策扶持</w:t>
          </w:r>
          <w:r>
            <w:tab/>
          </w:r>
          <w:r>
            <w:fldChar w:fldCharType="begin"/>
          </w:r>
          <w:r>
            <w:instrText xml:space="preserve"> PAGEREF _Toc589723263 </w:instrText>
          </w:r>
          <w:r>
            <w:fldChar w:fldCharType="separate"/>
          </w:r>
          <w:r>
            <w:t>43</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_Toc1174933218 </w:instrText>
          </w:r>
          <w:r>
            <w:rPr>
              <w:rFonts w:ascii="仿宋" w:hAnsi="仿宋" w:eastAsia="仿宋"/>
              <w:szCs w:val="30"/>
            </w:rPr>
            <w:fldChar w:fldCharType="separate"/>
          </w:r>
          <w:r>
            <w:rPr>
              <w:rFonts w:hint="eastAsia" w:ascii="仿宋" w:hAnsi="仿宋" w:eastAsia="仿宋"/>
              <w:bCs/>
              <w:szCs w:val="30"/>
            </w:rPr>
            <w:t>（三）加大资金保障</w:t>
          </w:r>
          <w:r>
            <w:tab/>
          </w:r>
          <w:r>
            <w:fldChar w:fldCharType="begin"/>
          </w:r>
          <w:r>
            <w:instrText xml:space="preserve"> PAGEREF _Toc1174933218 </w:instrText>
          </w:r>
          <w:r>
            <w:fldChar w:fldCharType="separate"/>
          </w:r>
          <w:r>
            <w:t>43</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_Toc1968935238 </w:instrText>
          </w:r>
          <w:r>
            <w:rPr>
              <w:rFonts w:ascii="仿宋" w:hAnsi="仿宋" w:eastAsia="仿宋"/>
              <w:szCs w:val="30"/>
            </w:rPr>
            <w:fldChar w:fldCharType="separate"/>
          </w:r>
          <w:r>
            <w:rPr>
              <w:rFonts w:hint="eastAsia" w:ascii="仿宋" w:hAnsi="仿宋" w:eastAsia="仿宋"/>
              <w:bCs/>
              <w:szCs w:val="30"/>
            </w:rPr>
            <w:t>（四）规范平台建设</w:t>
          </w:r>
          <w:r>
            <w:tab/>
          </w:r>
          <w:r>
            <w:fldChar w:fldCharType="begin"/>
          </w:r>
          <w:r>
            <w:instrText xml:space="preserve"> PAGEREF _Toc1968935238 </w:instrText>
          </w:r>
          <w:r>
            <w:fldChar w:fldCharType="separate"/>
          </w:r>
          <w:r>
            <w:t>44</w:t>
          </w:r>
          <w:r>
            <w:fldChar w:fldCharType="end"/>
          </w:r>
          <w:r>
            <w:rPr>
              <w:rFonts w:ascii="仿宋" w:hAnsi="仿宋" w:eastAsia="仿宋"/>
              <w:szCs w:val="30"/>
            </w:rPr>
            <w:fldChar w:fldCharType="end"/>
          </w:r>
        </w:p>
        <w:p>
          <w:pPr>
            <w:pStyle w:val="24"/>
            <w:tabs>
              <w:tab w:val="right" w:leader="dot" w:pos="8306"/>
            </w:tabs>
          </w:pPr>
          <w:r>
            <w:rPr>
              <w:rFonts w:ascii="仿宋" w:hAnsi="仿宋" w:eastAsia="仿宋"/>
              <w:szCs w:val="30"/>
            </w:rPr>
            <w:fldChar w:fldCharType="begin"/>
          </w:r>
          <w:r>
            <w:rPr>
              <w:rFonts w:ascii="仿宋" w:hAnsi="仿宋" w:eastAsia="仿宋"/>
              <w:szCs w:val="30"/>
            </w:rPr>
            <w:instrText xml:space="preserve"> HYPERLINK \l _Toc322921992 </w:instrText>
          </w:r>
          <w:r>
            <w:rPr>
              <w:rFonts w:ascii="仿宋" w:hAnsi="仿宋" w:eastAsia="仿宋"/>
              <w:szCs w:val="30"/>
            </w:rPr>
            <w:fldChar w:fldCharType="separate"/>
          </w:r>
          <w:r>
            <w:rPr>
              <w:rFonts w:hint="eastAsia" w:ascii="仿宋" w:hAnsi="仿宋" w:eastAsia="仿宋"/>
              <w:bCs/>
              <w:szCs w:val="30"/>
            </w:rPr>
            <w:t>（五）</w:t>
          </w:r>
          <w:bookmarkStart w:id="88" w:name="_GoBack"/>
          <w:r>
            <w:rPr>
              <w:rFonts w:hint="eastAsia" w:ascii="仿宋" w:hAnsi="仿宋" w:eastAsia="仿宋"/>
              <w:bCs/>
              <w:szCs w:val="30"/>
            </w:rPr>
            <w:t>健全绩效评估</w:t>
          </w:r>
          <w:bookmarkEnd w:id="88"/>
          <w:r>
            <w:tab/>
          </w:r>
          <w:r>
            <w:fldChar w:fldCharType="begin"/>
          </w:r>
          <w:r>
            <w:instrText xml:space="preserve"> PAGEREF _Toc322921992 </w:instrText>
          </w:r>
          <w:r>
            <w:fldChar w:fldCharType="separate"/>
          </w:r>
          <w:r>
            <w:t>44</w:t>
          </w:r>
          <w:r>
            <w:fldChar w:fldCharType="end"/>
          </w:r>
          <w:r>
            <w:rPr>
              <w:rFonts w:ascii="仿宋" w:hAnsi="仿宋" w:eastAsia="仿宋"/>
              <w:szCs w:val="30"/>
            </w:rPr>
            <w:fldChar w:fldCharType="end"/>
          </w:r>
        </w:p>
        <w:p>
          <w:pPr>
            <w:adjustRightInd w:val="0"/>
            <w:snapToGrid w:val="0"/>
            <w:spacing w:after="0" w:line="240" w:lineRule="auto"/>
            <w:ind w:firstLine="420" w:firstLineChars="200"/>
            <w:rPr>
              <w:rFonts w:hint="eastAsia" w:ascii="仿宋" w:hAnsi="仿宋" w:eastAsia="仿宋"/>
              <w:sz w:val="30"/>
              <w:szCs w:val="30"/>
            </w:rPr>
          </w:pPr>
          <w:r>
            <w:rPr>
              <w:rFonts w:ascii="仿宋" w:hAnsi="仿宋" w:eastAsia="仿宋"/>
              <w:szCs w:val="30"/>
            </w:rPr>
            <w:fldChar w:fldCharType="end"/>
          </w:r>
        </w:p>
      </w:sdtContent>
    </w:sdt>
    <w:p>
      <w:pPr>
        <w:adjustRightInd w:val="0"/>
        <w:snapToGrid w:val="0"/>
        <w:spacing w:after="0" w:line="360" w:lineRule="auto"/>
        <w:ind w:firstLine="600" w:firstLineChars="200"/>
        <w:rPr>
          <w:rFonts w:hint="eastAsia" w:ascii="仿宋" w:hAnsi="仿宋" w:eastAsia="仿宋"/>
          <w:sz w:val="30"/>
          <w:szCs w:val="30"/>
        </w:rPr>
        <w:sectPr>
          <w:footerReference r:id="rId6" w:type="default"/>
          <w:pgSz w:w="11906" w:h="16838"/>
          <w:pgMar w:top="1440" w:right="1800" w:bottom="1440" w:left="1800" w:header="851" w:footer="992" w:gutter="0"/>
          <w:pgNumType w:fmt="decimal" w:start="1"/>
          <w:cols w:space="425" w:num="1"/>
          <w:docGrid w:type="lines" w:linePitch="312" w:charSpace="0"/>
        </w:sectPr>
      </w:pP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为融入“数字中国”建设布局，抢抓“一带一路”核心区建设、中国（新疆）自由贸易试验区霍尔果斯片区建设的重大历史机遇，充分发挥数字化驱动引领作用，根据《数字中国建设整体布局规划》《中共中央国务院关于构建数据基础制度更好发挥数据要素作用的意见》《新疆维吾尔自治区数字政府改革建设方案》以及伊犁哈萨克自治州、霍尔果斯相关规划要求，结合霍尔果斯发展实际，编制本规划，规划期限为2026—2030年。</w:t>
      </w:r>
    </w:p>
    <w:p>
      <w:pPr>
        <w:adjustRightInd w:val="0"/>
        <w:snapToGrid w:val="0"/>
        <w:spacing w:after="0" w:line="560" w:lineRule="exact"/>
        <w:ind w:firstLine="600" w:firstLineChars="200"/>
        <w:outlineLvl w:val="0"/>
        <w:rPr>
          <w:rFonts w:hint="eastAsia" w:ascii="黑体" w:hAnsi="黑体" w:eastAsia="黑体"/>
          <w:sz w:val="30"/>
          <w:szCs w:val="30"/>
        </w:rPr>
      </w:pPr>
      <w:bookmarkStart w:id="1" w:name="_Toc1331305362"/>
      <w:r>
        <w:rPr>
          <w:rFonts w:hint="eastAsia" w:ascii="黑体" w:hAnsi="黑体" w:eastAsia="黑体"/>
          <w:sz w:val="30"/>
          <w:szCs w:val="30"/>
        </w:rPr>
        <w:t>一、发展基础</w:t>
      </w:r>
      <w:bookmarkEnd w:id="1"/>
    </w:p>
    <w:p>
      <w:pPr>
        <w:adjustRightInd w:val="0"/>
        <w:snapToGrid w:val="0"/>
        <w:spacing w:after="0" w:line="560" w:lineRule="exact"/>
        <w:ind w:firstLine="602" w:firstLineChars="200"/>
        <w:rPr>
          <w:rFonts w:hint="eastAsia" w:ascii="仿宋" w:hAnsi="仿宋" w:eastAsia="仿宋"/>
          <w:sz w:val="30"/>
          <w:szCs w:val="30"/>
        </w:rPr>
      </w:pPr>
      <w:bookmarkStart w:id="2" w:name="OLE_LINK22"/>
      <w:r>
        <w:rPr>
          <w:rFonts w:hint="eastAsia" w:ascii="仿宋" w:hAnsi="仿宋" w:eastAsia="仿宋"/>
          <w:b/>
          <w:bCs/>
          <w:sz w:val="30"/>
          <w:szCs w:val="30"/>
        </w:rPr>
        <w:t>数字基础设施建设成效显著。</w:t>
      </w:r>
      <w:r>
        <w:rPr>
          <w:rFonts w:hint="eastAsia" w:ascii="仿宋" w:hAnsi="仿宋" w:eastAsia="仿宋"/>
          <w:sz w:val="30"/>
          <w:szCs w:val="30"/>
        </w:rPr>
        <w:t>网络层面，已建成5G基站332个，实现主城区全覆盖。作为亚欧陆地光缆（TAE）重要节点，国际通</w:t>
      </w:r>
      <w:bookmarkStart w:id="3" w:name="OLE_LINK2"/>
      <w:r>
        <w:rPr>
          <w:rFonts w:hint="eastAsia" w:ascii="仿宋" w:hAnsi="仿宋" w:eastAsia="仿宋"/>
          <w:sz w:val="30"/>
          <w:szCs w:val="30"/>
        </w:rPr>
        <w:t>信出口带宽达55T</w:t>
      </w:r>
      <w:bookmarkEnd w:id="3"/>
      <w:r>
        <w:rPr>
          <w:rFonts w:hint="eastAsia" w:ascii="仿宋" w:hAnsi="仿宋" w:eastAsia="仿宋"/>
          <w:sz w:val="30"/>
          <w:szCs w:val="30"/>
        </w:rPr>
        <w:t>。霍尔果斯云港国际数据中心已稳定运行，为全市政务平台提供云服务。口岸通关效率提升项目正加快建设，将为各业务场景提供统一的数智化公共底座。</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数据资源汇聚与开发已有进展</w:t>
      </w:r>
      <w:r>
        <w:rPr>
          <w:rFonts w:hint="eastAsia" w:ascii="仿宋" w:hAnsi="仿宋" w:eastAsia="仿宋"/>
          <w:sz w:val="30"/>
          <w:szCs w:val="30"/>
        </w:rPr>
        <w:t>。现有76个业务应用系统（平台）和13个APP（小程序）。原霍尔果斯大数据中心已存储全市</w:t>
      </w:r>
      <w:bookmarkEnd w:id="2"/>
      <w:r>
        <w:rPr>
          <w:rFonts w:hint="eastAsia" w:ascii="仿宋" w:hAnsi="仿宋" w:eastAsia="仿宋"/>
          <w:sz w:val="30"/>
          <w:szCs w:val="30"/>
        </w:rPr>
        <w:t>47个应用平台的政务数据。作为国家物流数据开放互联试点城市，霍尔果斯已与武汉、临沂、郑州、合肥、乌鲁木齐等城市实现数据互联互通，与连云港实现跨境数据交互，合作共建“陆海联运数据大通道”。口岸信息综合服务平台已与国家“单一窗口”数据对接，并与部分试点城市实现业务协同。</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数字应用建设已见成效。</w:t>
      </w:r>
      <w:r>
        <w:rPr>
          <w:rFonts w:hint="eastAsia" w:ascii="仿宋" w:hAnsi="仿宋" w:eastAsia="仿宋"/>
          <w:sz w:val="30"/>
          <w:szCs w:val="30"/>
        </w:rPr>
        <w:t>口岸通关效能实现大幅跃升，出境货物流程精简60%、效率提升80%、成本降低50%，单日最大通关能力由1500辆增至3000辆以上。在社会治理与公共服务领域，智慧城管、智慧交通、智慧社区等应用发挥重要作用。“中哈霍尔果斯国际边境合作中心联网监管平台”等行业标杆项目已稳定运行。</w:t>
      </w:r>
    </w:p>
    <w:p>
      <w:pPr>
        <w:adjustRightInd w:val="0"/>
        <w:snapToGrid w:val="0"/>
        <w:spacing w:after="0" w:line="560" w:lineRule="exact"/>
        <w:ind w:firstLine="602" w:firstLineChars="200"/>
        <w:rPr>
          <w:rFonts w:hint="default" w:ascii="仿宋" w:hAnsi="仿宋" w:eastAsia="仿宋"/>
          <w:sz w:val="30"/>
          <w:szCs w:val="30"/>
          <w:lang w:val="en-US" w:eastAsia="zh-CN"/>
        </w:rPr>
      </w:pPr>
      <w:r>
        <w:rPr>
          <w:rFonts w:hint="eastAsia" w:ascii="仿宋" w:hAnsi="仿宋" w:eastAsia="仿宋"/>
          <w:b/>
          <w:bCs/>
          <w:sz w:val="30"/>
          <w:szCs w:val="30"/>
          <w:highlight w:val="none"/>
        </w:rPr>
        <w:t>数字经济产业</w:t>
      </w:r>
      <w:r>
        <w:rPr>
          <w:rFonts w:hint="eastAsia" w:ascii="仿宋" w:hAnsi="仿宋" w:eastAsia="仿宋"/>
          <w:b/>
          <w:bCs/>
          <w:sz w:val="30"/>
          <w:szCs w:val="30"/>
          <w:highlight w:val="none"/>
          <w:lang w:eastAsia="zh-CN"/>
        </w:rPr>
        <w:t>与</w:t>
      </w:r>
      <w:r>
        <w:rPr>
          <w:rFonts w:hint="eastAsia" w:ascii="仿宋" w:hAnsi="仿宋" w:eastAsia="仿宋"/>
          <w:b/>
          <w:bCs/>
          <w:sz w:val="30"/>
          <w:szCs w:val="30"/>
          <w:highlight w:val="none"/>
        </w:rPr>
        <w:t>生态发展稳步提升。</w:t>
      </w:r>
      <w:r>
        <w:rPr>
          <w:rFonts w:hint="eastAsia" w:ascii="仿宋" w:hAnsi="仿宋" w:eastAsia="仿宋"/>
          <w:sz w:val="30"/>
          <w:szCs w:val="30"/>
        </w:rPr>
        <w:t>传统产业升级与新兴业态培育双向发力。数字技术赋能传统业态成效显著，以跨境电商、跨境直播为代表的新型贸易发展迅猛，2025年跨境电商贸易额达309.7亿元。依托国联股份“涂多多”等平台推动物流数字化转型，通过数字云仓，实现货物仓储、调配与运输全链路智能化。新兴数字产业实现突破，版权交易平台</w:t>
      </w:r>
      <w:r>
        <w:rPr>
          <w:rFonts w:hint="eastAsia" w:ascii="仿宋" w:hAnsi="仿宋" w:eastAsia="仿宋"/>
          <w:sz w:val="30"/>
          <w:szCs w:val="30"/>
          <w:lang w:eastAsia="zh-CN"/>
        </w:rPr>
        <w:t>累计上传作品</w:t>
      </w:r>
      <w:r>
        <w:rPr>
          <w:rFonts w:hint="eastAsia" w:ascii="仿宋" w:hAnsi="仿宋" w:eastAsia="仿宋"/>
          <w:sz w:val="30"/>
          <w:szCs w:val="30"/>
          <w:lang w:val="en-US" w:eastAsia="zh-CN"/>
        </w:rPr>
        <w:t>1万余件。</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数字化发展推进机制已建立。</w:t>
      </w:r>
      <w:r>
        <w:rPr>
          <w:rFonts w:hint="eastAsia" w:ascii="仿宋" w:hAnsi="仿宋" w:eastAsia="仿宋"/>
          <w:sz w:val="30"/>
          <w:szCs w:val="30"/>
        </w:rPr>
        <w:t>霍尔果斯市成立数字化发展局、数字化发展服务中心统筹全市数字化发展。已与连云港市政府签署战略合作协议，合资组建“霍尔果斯电子口岸科技有限公司”，推进智慧口岸建设。已联合西安交通大学建成丝绸之路数字经济研究院，携手中国科学院自动化研究所等科研机构，推进区块链技术在跨境贸易等领域的应用探索。</w:t>
      </w:r>
    </w:p>
    <w:p>
      <w:pPr>
        <w:adjustRightInd w:val="0"/>
        <w:snapToGrid w:val="0"/>
        <w:spacing w:after="0" w:line="560" w:lineRule="exact"/>
        <w:ind w:firstLine="600" w:firstLineChars="200"/>
        <w:outlineLvl w:val="0"/>
        <w:rPr>
          <w:rFonts w:hint="eastAsia" w:ascii="黑体" w:hAnsi="黑体" w:eastAsia="黑体"/>
          <w:sz w:val="30"/>
          <w:szCs w:val="30"/>
        </w:rPr>
      </w:pPr>
      <w:bookmarkStart w:id="4" w:name="_Toc1754801597"/>
      <w:r>
        <w:rPr>
          <w:rFonts w:hint="eastAsia" w:ascii="黑体" w:hAnsi="黑体" w:eastAsia="黑体"/>
          <w:sz w:val="30"/>
          <w:szCs w:val="30"/>
        </w:rPr>
        <w:t>二、发展机遇</w:t>
      </w:r>
      <w:bookmarkEnd w:id="4"/>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从国际看</w:t>
      </w:r>
      <w:r>
        <w:rPr>
          <w:rFonts w:hint="eastAsia" w:ascii="仿宋" w:hAnsi="仿宋" w:eastAsia="仿宋"/>
          <w:sz w:val="30"/>
          <w:szCs w:val="30"/>
        </w:rPr>
        <w:t>，全球格局重塑为霍尔果斯赋予新使命，霍尔果斯的“一带一路”核心枢纽地位日益凸显。全球产业链供应链加速重构，为数据驱动的新业态发展提供广阔空间。中亚国家向东合作意愿增强，对跨境通关、多式联运、支付结算等领域的数据互认、规则互通和标准互联提出迫切需求，为霍尔果斯跨境数字化协同发展创造机遇。</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从全国看</w:t>
      </w:r>
      <w:r>
        <w:rPr>
          <w:rFonts w:hint="eastAsia" w:ascii="仿宋" w:hAnsi="仿宋" w:eastAsia="仿宋"/>
          <w:sz w:val="30"/>
          <w:szCs w:val="30"/>
        </w:rPr>
        <w:t>，“数字中国”与“一带一路”倡议等国家战略部署赋予霍尔果斯建设“数字丝路”枢纽的历史使命。习近平总书记明确要求将“连云港—霍尔果斯”新亚欧大陆桥通道打造为“一带一路”合作倡议的标杆示范项目，要求霍尔果斯以“数据流”引领“商流、物流、信息流、资金流”，在智慧口岸、国际数据光缆、离岸数据中心等重大数字基础设施方面先行一步。霍尔果斯集国家首批智慧口岸试点、物流数据开放互联试点、自由贸易试验区于一体，在跨境数据流动和数据标准对接等领域享有先行先试政策红利。</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从全疆全州看</w:t>
      </w:r>
      <w:r>
        <w:rPr>
          <w:rFonts w:hint="eastAsia" w:ascii="仿宋" w:hAnsi="仿宋" w:eastAsia="仿宋"/>
          <w:sz w:val="30"/>
          <w:szCs w:val="30"/>
        </w:rPr>
        <w:t>，自治区及伊犁州的顶层设计提供清晰路线和政策保障。同时，新疆作为承接东部产业转移新高地，资本、技术和人才等要素加速集聚。霍尔果斯自贸片区挂牌以来，新增企业超2000家，其中来自北京、上海、深圳等数字经济高地的企业占比达36%。</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从自身看</w:t>
      </w:r>
      <w:r>
        <w:rPr>
          <w:rFonts w:hint="eastAsia" w:ascii="仿宋" w:hAnsi="仿宋" w:eastAsia="仿宋"/>
          <w:sz w:val="30"/>
          <w:szCs w:val="30"/>
        </w:rPr>
        <w:t>，战略先行与禀赋优势奠定霍尔果斯数字化发展基础。一是市委、市政府先后出台的《霍尔果斯市国民经济和社会发展第十四个五年规划和二〇三五年远景目标纲要》、《霍尔果斯市产业发展规划（2024—2030年）》、《霍尔果斯推进数字政府建设实施方案》等政策文件，将数字化融入城市发展顶层设计。二是 “9+X+N”产业建设体系叠加“一区三园”政策优势，为数字化改革创新提供空间。三是海量贸易数据为培育数据要素市场、发展数字经济新业态提供要素支撑。</w:t>
      </w:r>
    </w:p>
    <w:p>
      <w:pPr>
        <w:adjustRightInd w:val="0"/>
        <w:snapToGrid w:val="0"/>
        <w:spacing w:after="0" w:line="560" w:lineRule="exact"/>
        <w:ind w:firstLine="600" w:firstLineChars="200"/>
        <w:outlineLvl w:val="0"/>
        <w:rPr>
          <w:rFonts w:hint="eastAsia" w:ascii="黑体" w:hAnsi="黑体" w:eastAsia="黑体"/>
          <w:sz w:val="30"/>
          <w:szCs w:val="30"/>
        </w:rPr>
      </w:pPr>
      <w:bookmarkStart w:id="5" w:name="_Toc1867450410"/>
      <w:r>
        <w:rPr>
          <w:rFonts w:hint="eastAsia" w:ascii="黑体" w:hAnsi="黑体" w:eastAsia="黑体"/>
          <w:sz w:val="30"/>
          <w:szCs w:val="30"/>
        </w:rPr>
        <w:t>三、挑战与问题</w:t>
      </w:r>
      <w:bookmarkEnd w:id="5"/>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顶层设计系统性与统筹性有待强化。</w:t>
      </w:r>
      <w:r>
        <w:rPr>
          <w:rFonts w:hint="eastAsia" w:ascii="仿宋" w:hAnsi="仿宋" w:eastAsia="仿宋"/>
          <w:sz w:val="30"/>
          <w:szCs w:val="30"/>
        </w:rPr>
        <w:t>全市数字化发展全局性和一体化布局尚需深化。各部门数字化建设标准不统一、各自为政。跨部门、跨领域统筹协调机制有待健全，重复投资和“信息孤岛”问题还较多。</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项目“投建管运”模式亟待优化。</w:t>
      </w:r>
      <w:r>
        <w:rPr>
          <w:rFonts w:hint="eastAsia" w:ascii="仿宋" w:hAnsi="仿宋" w:eastAsia="仿宋"/>
          <w:sz w:val="30"/>
          <w:szCs w:val="30"/>
        </w:rPr>
        <w:t>数字化项目建设、运营管理模式不健全。项目前期论证不够深入、中期监管不够精细、后期评价不够科学，“重建设、轻运营”问题突出。部分已建系统因缺乏稳定运维经费保障与专业运营主体，面临技术迭代迟缓、服务能力衰减的风险。数字化项目缺乏全生命周期统筹规划与效益追踪，难以沉淀可复用的数据资产和可持续的服务能力。</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数字基础设施集约化水平有待提升。</w:t>
      </w:r>
      <w:r>
        <w:rPr>
          <w:rFonts w:hint="eastAsia" w:ascii="仿宋" w:hAnsi="仿宋" w:eastAsia="仿宋"/>
          <w:sz w:val="30"/>
          <w:szCs w:val="30"/>
        </w:rPr>
        <w:t>现有数字基础设施的集约共享水平和公共支撑能力有待提升。公共技术支撑体系建设相对滞后，全市应用系统尚未完全接入“一朵云”。</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数据治理与价值释放有待突破。</w:t>
      </w:r>
      <w:r>
        <w:rPr>
          <w:rFonts w:hint="eastAsia" w:ascii="仿宋" w:hAnsi="仿宋" w:eastAsia="仿宋"/>
          <w:sz w:val="30"/>
          <w:szCs w:val="30"/>
        </w:rPr>
        <w:t>数据治理标准与工作体系尚未健全，数据质量和共享效率有待提高，部分关键业务系统间数据壁垒依然存在，数据驱动的科学决策、精准治理和个性化服务模式创新面临瓶颈，制约更深层次的融合分析与创新应用。</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智慧应用深度与广度有待拓展。</w:t>
      </w:r>
      <w:r>
        <w:rPr>
          <w:rFonts w:hint="eastAsia" w:ascii="仿宋" w:hAnsi="仿宋" w:eastAsia="仿宋"/>
          <w:sz w:val="30"/>
          <w:szCs w:val="30"/>
        </w:rPr>
        <w:t>全市缺乏统一城市运行“一网统管”体系，跨部门和跨领域的全局性态势感知、智能化决策和协同调度能力不足。跨部门应用场景仍较少。</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数实融合有待提升。</w:t>
      </w:r>
      <w:r>
        <w:rPr>
          <w:rFonts w:hint="eastAsia" w:ascii="仿宋" w:hAnsi="仿宋" w:eastAsia="仿宋"/>
          <w:sz w:val="30"/>
          <w:szCs w:val="30"/>
        </w:rPr>
        <w:t>数字技术与实体经济深度融合尚有巨大空间。在数字金融、商贸物流、跨境数据服务等高附加值新业态培育上，探索性应用和场景创新不足。数字金融服务、数字枢纽建设等仍处于初步阶段，尚未形成成熟商业模式和产业生态。</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专业人才队伍建设有待增强。</w:t>
      </w:r>
      <w:r>
        <w:rPr>
          <w:rFonts w:hint="eastAsia" w:ascii="仿宋" w:hAnsi="仿宋" w:eastAsia="仿宋"/>
          <w:sz w:val="30"/>
          <w:szCs w:val="30"/>
        </w:rPr>
        <w:t>本地数字化人才储备和支撑体系不健全，部分信息化项目建设、运维高度依赖第三方机构，项目功能模糊失准、管理“空心化”,内生发展动力不足。</w:t>
      </w:r>
    </w:p>
    <w:p>
      <w:pPr>
        <w:adjustRightInd w:val="0"/>
        <w:snapToGrid w:val="0"/>
        <w:spacing w:after="0" w:line="560" w:lineRule="exact"/>
        <w:ind w:firstLine="600" w:firstLineChars="200"/>
        <w:outlineLvl w:val="0"/>
        <w:rPr>
          <w:rFonts w:hint="eastAsia" w:ascii="黑体" w:hAnsi="黑体" w:eastAsia="黑体"/>
          <w:sz w:val="30"/>
          <w:szCs w:val="30"/>
        </w:rPr>
      </w:pPr>
      <w:bookmarkStart w:id="6" w:name="_Toc511445419"/>
      <w:r>
        <w:rPr>
          <w:rFonts w:hint="eastAsia" w:ascii="黑体" w:hAnsi="黑体" w:eastAsia="黑体"/>
          <w:sz w:val="30"/>
          <w:szCs w:val="30"/>
        </w:rPr>
        <w:t>四、总体要求</w:t>
      </w:r>
      <w:bookmarkEnd w:id="6"/>
    </w:p>
    <w:p>
      <w:pPr>
        <w:adjustRightInd w:val="0"/>
        <w:snapToGrid w:val="0"/>
        <w:spacing w:after="0" w:line="560" w:lineRule="exact"/>
        <w:ind w:firstLine="602" w:firstLineChars="200"/>
        <w:outlineLvl w:val="1"/>
        <w:rPr>
          <w:rFonts w:hint="eastAsia" w:ascii="仿宋" w:hAnsi="仿宋" w:eastAsia="仿宋"/>
          <w:b/>
          <w:bCs/>
          <w:sz w:val="30"/>
          <w:szCs w:val="30"/>
        </w:rPr>
      </w:pPr>
      <w:bookmarkStart w:id="7" w:name="_Toc1096533674"/>
      <w:r>
        <w:rPr>
          <w:rFonts w:hint="eastAsia" w:ascii="仿宋" w:hAnsi="仿宋" w:eastAsia="仿宋"/>
          <w:b/>
          <w:bCs/>
          <w:sz w:val="30"/>
          <w:szCs w:val="30"/>
        </w:rPr>
        <w:t>（一）指导思想</w:t>
      </w:r>
      <w:bookmarkEnd w:id="7"/>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以习近平新时代中国特色社会主义思想为指导，贯彻落实习近平总书记关于数字中国建设的重要论述和关于新疆工作的重要讲话精神，落实</w:t>
      </w:r>
      <w:bookmarkStart w:id="8" w:name="OLE_LINK5"/>
      <w:r>
        <w:rPr>
          <w:rFonts w:hint="eastAsia" w:ascii="仿宋" w:hAnsi="仿宋" w:eastAsia="仿宋"/>
          <w:sz w:val="30"/>
          <w:szCs w:val="30"/>
        </w:rPr>
        <w:t>自治区党委十届十五次全会</w:t>
      </w:r>
      <w:bookmarkEnd w:id="8"/>
      <w:r>
        <w:rPr>
          <w:rFonts w:hint="eastAsia" w:ascii="仿宋" w:hAnsi="仿宋" w:eastAsia="仿宋"/>
          <w:sz w:val="30"/>
          <w:szCs w:val="30"/>
        </w:rPr>
        <w:t>精神，完整准确贯彻新发展理念和新时代党的治疆方略，以铸牢中华民族共同体意识为主线，紧密围绕数字新疆建设重点任务，以“数据驱动、开放引领、融合创新、安全有序”为核心理念，紧密衔接国家向西开放总体布局。</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9" w:name="_Toc1591979506"/>
      <w:r>
        <w:rPr>
          <w:rFonts w:hint="eastAsia" w:ascii="仿宋" w:hAnsi="仿宋" w:eastAsia="仿宋"/>
          <w:b/>
          <w:bCs/>
          <w:sz w:val="30"/>
          <w:szCs w:val="30"/>
        </w:rPr>
        <w:t>（二）基本原则</w:t>
      </w:r>
      <w:bookmarkEnd w:id="9"/>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党的领导，全面引领</w:t>
      </w:r>
      <w:r>
        <w:rPr>
          <w:rFonts w:hint="eastAsia" w:ascii="仿宋" w:hAnsi="仿宋" w:eastAsia="仿宋"/>
          <w:sz w:val="30"/>
          <w:szCs w:val="30"/>
        </w:rPr>
        <w:t>。紧密围绕高质量共建“一带一路”、新疆工作总目标和新疆自贸试验区霍尔果斯片区建设等国家战略。以数字化赋能“丝绸之路经济带核心区重要支点”建设，将区位优势、政策优势转化为发展优势，为国家向西开放和新疆社会稳定发展与长治久安总目标贡献“数字力量”。</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创新驱动，特色发展</w:t>
      </w:r>
      <w:r>
        <w:rPr>
          <w:rFonts w:hint="eastAsia" w:ascii="仿宋" w:hAnsi="仿宋" w:eastAsia="仿宋"/>
          <w:sz w:val="30"/>
          <w:szCs w:val="30"/>
        </w:rPr>
        <w:t>。坚持创新引领，走特色差异化发展之路。吸收国内外先进数字技术与管理经验，强化集成创新和协同创新，推进人工智能和区块链等前沿技术的融</w:t>
      </w:r>
      <w:bookmarkStart w:id="10" w:name="OLE_LINK6"/>
      <w:r>
        <w:rPr>
          <w:rFonts w:hint="eastAsia" w:ascii="仿宋" w:hAnsi="仿宋" w:eastAsia="仿宋"/>
          <w:sz w:val="30"/>
          <w:szCs w:val="30"/>
        </w:rPr>
        <w:t>合应用</w:t>
      </w:r>
      <w:bookmarkEnd w:id="10"/>
      <w:r>
        <w:rPr>
          <w:rFonts w:hint="eastAsia" w:ascii="仿宋" w:hAnsi="仿宋" w:eastAsia="仿宋"/>
          <w:sz w:val="30"/>
          <w:szCs w:val="30"/>
        </w:rPr>
        <w:t>。推进典型应用场景与标杆项目建设，塑造区域竞争新优势。</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数据赋能，融合共进</w:t>
      </w:r>
      <w:r>
        <w:rPr>
          <w:rFonts w:hint="eastAsia" w:ascii="仿宋" w:hAnsi="仿宋" w:eastAsia="仿宋"/>
          <w:sz w:val="30"/>
          <w:szCs w:val="30"/>
        </w:rPr>
        <w:t xml:space="preserve">。发挥数据作为关键生产要素的驱动作用，推进数据资源汇聚、贯通、应用与治理。破除部门壁垒和行业阻隔，推动政务数据、社会数据与行业数据有序共享融合。拓展数据在宏观决策、产业发展、民生服务和跨境协作等领域的赋能效应。 </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基础先行，筑牢底座</w:t>
      </w:r>
      <w:r>
        <w:rPr>
          <w:rFonts w:hint="eastAsia" w:ascii="仿宋" w:hAnsi="仿宋" w:eastAsia="仿宋"/>
          <w:sz w:val="30"/>
          <w:szCs w:val="30"/>
        </w:rPr>
        <w:t>。推进5G网络、千兆光网、物联网、工业互联网、数据中心等数字基础设施规划建设与迭代升级。构建云网端一体、高速泛在的综合性数字信息基础设施体系，为各领域数字化应用提供稳定、高效、安全的底层支撑。</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产业融合，聚焦实体</w:t>
      </w:r>
      <w:r>
        <w:rPr>
          <w:rFonts w:hint="eastAsia" w:ascii="仿宋" w:hAnsi="仿宋" w:eastAsia="仿宋"/>
          <w:sz w:val="30"/>
          <w:szCs w:val="30"/>
        </w:rPr>
        <w:t>。推进数字技术与实体经济融合发展，加快企业智能化改造和数字化转型，培育新经济增长点，构建具有霍尔果斯特色的现代化产业体系。</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协同联动，开放合作。</w:t>
      </w:r>
      <w:r>
        <w:rPr>
          <w:rFonts w:hint="eastAsia" w:ascii="仿宋" w:hAnsi="仿宋" w:eastAsia="仿宋"/>
          <w:sz w:val="30"/>
          <w:szCs w:val="30"/>
        </w:rPr>
        <w:t>强化政府引导、市场主导、社会参与的多方协作机制。推动跨部门、跨层级、跨区域的系统联通与数据共享。深化国内发达省市和中亚与欧洲市场对接，推进数字领域国际交流合作，增强霍尔果斯数字互联互通的区域枢纽功能。</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安全可控，保障有力。</w:t>
      </w:r>
      <w:r>
        <w:rPr>
          <w:rFonts w:hint="eastAsia" w:ascii="仿宋" w:hAnsi="仿宋" w:eastAsia="仿宋"/>
          <w:sz w:val="30"/>
          <w:szCs w:val="30"/>
        </w:rPr>
        <w:t>贯彻总体国家安全观，全面落实网络安全、数据安全、个人信息保护等法律法规要求，构建覆盖技术、管理、运营全过程的安全防护体系。增强关键信息基础设施和重要数据资源的安全保障能力，防范化解各类数字安全风险，高水平护航高质量发展。</w:t>
      </w:r>
    </w:p>
    <w:p>
      <w:pPr>
        <w:adjustRightInd w:val="0"/>
        <w:snapToGrid w:val="0"/>
        <w:spacing w:after="0" w:line="560" w:lineRule="exact"/>
        <w:ind w:firstLine="602" w:firstLineChars="200"/>
        <w:rPr>
          <w:rFonts w:hint="eastAsia" w:ascii="仿宋" w:hAnsi="仿宋" w:eastAsia="仿宋"/>
          <w:sz w:val="30"/>
          <w:szCs w:val="30"/>
        </w:rPr>
      </w:pPr>
      <w:r>
        <w:rPr>
          <w:rFonts w:hint="eastAsia" w:ascii="仿宋" w:hAnsi="仿宋" w:eastAsia="仿宋"/>
          <w:b/>
          <w:bCs/>
          <w:sz w:val="30"/>
          <w:szCs w:val="30"/>
        </w:rPr>
        <w:t>普惠包容，以人为本。</w:t>
      </w:r>
      <w:r>
        <w:rPr>
          <w:rFonts w:hint="eastAsia" w:ascii="仿宋" w:hAnsi="仿宋" w:eastAsia="仿宋"/>
          <w:sz w:val="30"/>
          <w:szCs w:val="30"/>
        </w:rPr>
        <w:t>坚持以人民为中心，推动数字技术在公共服务领域的普惠应用。优化数字服务平台功能与用户体验，打造市场化、法治化、国际化数字化发展环境，提升公共服务效率与群众满意度。</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11" w:name="_Toc1953490662"/>
      <w:r>
        <w:rPr>
          <w:rFonts w:hint="eastAsia" w:ascii="仿宋" w:hAnsi="仿宋" w:eastAsia="仿宋"/>
          <w:b/>
          <w:bCs/>
          <w:sz w:val="30"/>
          <w:szCs w:val="30"/>
        </w:rPr>
        <w:t>（三）规划思路</w:t>
      </w:r>
      <w:bookmarkEnd w:id="11"/>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遵循“筑基础、强口岸、兴产业、促开放、保安全”的发展理念，围绕自治州“2+10+X+N”产业体系和霍尔果斯市“9+X+N”产业体系，提出霍尔果斯市数字化发展“1+8+2”总体思路：“1”即夯实一体化数字底座，“8”即八大应用场景——数字产业、数实融合、数字金融、数字治理、数字政务、数字便民、数字商贸和数字枢纽，“2”即数字安全和数字人才保障体系。</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12" w:name="_Toc1998818681"/>
      <w:r>
        <w:rPr>
          <w:rFonts w:hint="eastAsia" w:ascii="仿宋" w:hAnsi="仿宋" w:eastAsia="仿宋"/>
          <w:b/>
          <w:bCs/>
          <w:sz w:val="30"/>
          <w:szCs w:val="30"/>
        </w:rPr>
        <w:t>（四）总体目标</w:t>
      </w:r>
      <w:bookmarkEnd w:id="12"/>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力争到2030年，全市数字经济发展水平显著提升，将霍尔果斯打造成“一带一路”数字枢纽和数字贸易赋能基地，形成数字基础设施集约高效、数字政府协同智能、数字经济融合开放、数字社会普惠便捷的数字化发展新格局。打造辐射中亚、贯通欧亚的“数字丝绸之路”核心战略节点，以高水平数字化引领区域经济社会高质量发展，为服务国家向西开放大局提供强大支撑。</w:t>
      </w:r>
    </w:p>
    <w:p>
      <w:pPr>
        <w:tabs>
          <w:tab w:val="left" w:pos="630"/>
        </w:tabs>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1.数字基础设施达到新水平。建成全域覆盖、云网融合、智能敏捷的智能化综合性数字信息基础设施。5G网络、千兆光网实现城乡深度覆盖与高质量应用，建成区域级算力枢纽和一体化大数据中心体系，物联网、工业互联网平台实现重点区域普遍部署，初步形成天地一体、云边协同的数字化底座，有效支撑经济社会各领域数字化转型需求。</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2.数字政府效能实现新提升。全面建成协同高效、服务便捷、治理精准的“数字政府”。实现跨部门、跨层级、跨系统政务数据有序共享和业务协同，政府决策科学化、公共服务便捷化、城市治理精细化水平显著提升，营商环境达到全国一流水平。</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3.数字经济发展形成新动能。推动</w:t>
      </w:r>
      <w:bookmarkStart w:id="13" w:name="OLE_LINK26"/>
      <w:r>
        <w:rPr>
          <w:rFonts w:ascii="仿宋" w:hAnsi="仿宋" w:eastAsia="仿宋"/>
          <w:sz w:val="30"/>
          <w:szCs w:val="30"/>
        </w:rPr>
        <w:t>两化深度融合，培育具有区域竞争力的特色数字产业集群</w:t>
      </w:r>
      <w:r>
        <w:rPr>
          <w:rFonts w:hint="eastAsia" w:ascii="仿宋" w:hAnsi="仿宋" w:eastAsia="仿宋"/>
          <w:sz w:val="30"/>
          <w:szCs w:val="30"/>
        </w:rPr>
        <w:t>。在智慧口岸、跨境数字贸易、数字文化、数字旅游等领域</w:t>
      </w:r>
      <w:r>
        <w:rPr>
          <w:rFonts w:ascii="仿宋" w:hAnsi="仿宋" w:eastAsia="仿宋"/>
          <w:sz w:val="30"/>
          <w:szCs w:val="30"/>
        </w:rPr>
        <w:t>打造全国标杆</w:t>
      </w:r>
      <w:r>
        <w:rPr>
          <w:rFonts w:hint="eastAsia" w:ascii="仿宋" w:hAnsi="仿宋" w:eastAsia="仿宋"/>
          <w:sz w:val="30"/>
          <w:szCs w:val="30"/>
        </w:rPr>
        <w:t>。显著提升数字经济核心产业贡献度，建成特色鲜明、优势突出的区域数字经济发展高地。</w:t>
      </w:r>
      <w:bookmarkEnd w:id="13"/>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4.数据要素价值释放新活力。建成权责清晰、共享充分、流动顺畅的数据要素资源体系。完善公共数据确权、定价、授权运营与收益分配机制，在跨境</w:t>
      </w:r>
      <w:bookmarkStart w:id="14" w:name="OLE_LINK7"/>
      <w:r>
        <w:rPr>
          <w:rFonts w:hint="eastAsia" w:ascii="仿宋" w:hAnsi="仿宋" w:eastAsia="仿宋"/>
          <w:sz w:val="30"/>
          <w:szCs w:val="30"/>
        </w:rPr>
        <w:t>数据</w:t>
      </w:r>
      <w:bookmarkEnd w:id="14"/>
      <w:r>
        <w:rPr>
          <w:rFonts w:hint="eastAsia" w:ascii="仿宋" w:hAnsi="仿宋" w:eastAsia="仿宋"/>
          <w:sz w:val="30"/>
          <w:szCs w:val="30"/>
        </w:rPr>
        <w:t>流动方面形成“霍尔果斯经验”。</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5.数字社会建设取得新成效。</w:t>
      </w:r>
      <w:bookmarkStart w:id="15" w:name="OLE_LINK23"/>
      <w:r>
        <w:rPr>
          <w:rFonts w:hint="eastAsia" w:ascii="仿宋" w:hAnsi="仿宋" w:eastAsia="仿宋"/>
          <w:sz w:val="30"/>
          <w:szCs w:val="30"/>
        </w:rPr>
        <w:t>实现数字化发展成果更公平、惠及全体市民。实现智慧教育、智慧医疗、智慧养老等公共服务更加普惠便捷。建成以人为本、包容共享、充满活力的智慧社会。</w:t>
      </w:r>
      <w:bookmarkEnd w:id="15"/>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6.数字安全屏障得到新巩固。</w:t>
      </w:r>
      <w:bookmarkStart w:id="16" w:name="OLE_LINK20"/>
      <w:r>
        <w:rPr>
          <w:rFonts w:ascii="仿宋" w:hAnsi="仿宋" w:eastAsia="仿宋"/>
          <w:sz w:val="30"/>
          <w:szCs w:val="30"/>
        </w:rPr>
        <w:t>健全立体化数字安全保障体系，全面提升关键信息基础设施防护及网络数据安全能力，完善跨境数据流动风险防控机制，实现高质量发展和高水平安全良性互动、动态平衡。</w:t>
      </w:r>
    </w:p>
    <w:p>
      <w:pPr>
        <w:widowControl/>
        <w:spacing w:line="560" w:lineRule="exact"/>
        <w:jc w:val="left"/>
        <w:rPr>
          <w:rFonts w:hint="eastAsia" w:ascii="仿宋" w:hAnsi="仿宋" w:eastAsia="仿宋"/>
          <w:sz w:val="30"/>
          <w:szCs w:val="30"/>
        </w:rPr>
      </w:pPr>
      <w:r>
        <w:rPr>
          <w:rFonts w:hint="eastAsia" w:ascii="仿宋" w:hAnsi="仿宋" w:eastAsia="仿宋"/>
          <w:sz w:val="30"/>
          <w:szCs w:val="30"/>
        </w:rPr>
        <w:br w:type="page"/>
      </w:r>
    </w:p>
    <w:bookmarkEnd w:id="16"/>
    <w:p>
      <w:pPr>
        <w:adjustRightInd w:val="0"/>
        <w:snapToGrid w:val="0"/>
        <w:spacing w:after="0" w:line="560" w:lineRule="exact"/>
        <w:ind w:firstLine="602" w:firstLineChars="200"/>
        <w:outlineLvl w:val="1"/>
        <w:rPr>
          <w:rFonts w:hint="eastAsia" w:ascii="仿宋" w:hAnsi="仿宋" w:eastAsia="仿宋"/>
          <w:b/>
          <w:bCs/>
          <w:sz w:val="30"/>
          <w:szCs w:val="30"/>
        </w:rPr>
      </w:pPr>
      <w:bookmarkStart w:id="17" w:name="_Toc1266547133"/>
      <w:r>
        <w:rPr>
          <w:rFonts w:hint="eastAsia" w:ascii="仿宋" w:hAnsi="仿宋" w:eastAsia="仿宋"/>
          <w:b/>
          <w:bCs/>
          <w:sz w:val="30"/>
          <w:szCs w:val="30"/>
        </w:rPr>
        <w:t>（五）具体目标</w:t>
      </w:r>
      <w:bookmarkEnd w:id="17"/>
    </w:p>
    <w:p>
      <w:pPr>
        <w:adjustRightInd w:val="0"/>
        <w:snapToGrid w:val="0"/>
        <w:spacing w:after="0" w:line="560" w:lineRule="exact"/>
        <w:ind w:firstLine="560" w:firstLineChars="200"/>
        <w:jc w:val="center"/>
        <w:rPr>
          <w:rFonts w:hint="eastAsia" w:ascii="仿宋" w:hAnsi="仿宋" w:eastAsia="仿宋"/>
          <w:sz w:val="28"/>
          <w:szCs w:val="28"/>
        </w:rPr>
      </w:pPr>
      <w:r>
        <w:rPr>
          <w:rFonts w:hint="eastAsia" w:ascii="仿宋" w:hAnsi="仿宋" w:eastAsia="仿宋"/>
          <w:sz w:val="28"/>
          <w:szCs w:val="28"/>
        </w:rPr>
        <w:t>表1 霍尔果斯市数字化发展“十五五”主要目标</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843"/>
        <w:gridCol w:w="3686"/>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jc w:val="center"/>
        </w:trPr>
        <w:tc>
          <w:tcPr>
            <w:tcW w:w="1129"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序号</w:t>
            </w:r>
          </w:p>
        </w:tc>
        <w:tc>
          <w:tcPr>
            <w:tcW w:w="1843"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类别</w:t>
            </w:r>
          </w:p>
        </w:tc>
        <w:tc>
          <w:tcPr>
            <w:tcW w:w="3686" w:type="dxa"/>
          </w:tcPr>
          <w:p>
            <w:pPr>
              <w:adjustRightInd w:val="0"/>
              <w:snapToGrid w:val="0"/>
              <w:spacing w:after="0" w:line="400" w:lineRule="exact"/>
              <w:ind w:firstLine="560" w:firstLineChars="200"/>
              <w:jc w:val="center"/>
              <w:rPr>
                <w:rFonts w:hint="eastAsia" w:ascii="仿宋" w:hAnsi="仿宋" w:eastAsia="仿宋" w:cs="Times New Roman"/>
                <w:sz w:val="28"/>
                <w:szCs w:val="28"/>
              </w:rPr>
            </w:pPr>
            <w:r>
              <w:rPr>
                <w:rFonts w:hint="eastAsia" w:ascii="仿宋" w:hAnsi="仿宋" w:eastAsia="仿宋" w:cs="Times New Roman"/>
                <w:sz w:val="28"/>
                <w:szCs w:val="28"/>
              </w:rPr>
              <w:t>指标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2030年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restart"/>
            <w:vAlign w:val="center"/>
          </w:tcPr>
          <w:p>
            <w:pPr>
              <w:adjustRightInd w:val="0"/>
              <w:snapToGrid w:val="0"/>
              <w:spacing w:after="0" w:line="400" w:lineRule="exact"/>
              <w:jc w:val="center"/>
              <w:rPr>
                <w:rFonts w:hint="eastAsia" w:ascii="仿宋" w:hAnsi="仿宋" w:eastAsia="仿宋" w:cs="Times New Roman"/>
                <w:sz w:val="28"/>
                <w:szCs w:val="28"/>
              </w:rPr>
            </w:pPr>
            <w:r>
              <w:rPr>
                <w:rFonts w:hint="eastAsia" w:ascii="仿宋" w:hAnsi="仿宋" w:eastAsia="仿宋" w:cs="Times New Roman"/>
                <w:sz w:val="28"/>
                <w:szCs w:val="28"/>
              </w:rPr>
              <w:t>1</w:t>
            </w:r>
          </w:p>
        </w:tc>
        <w:tc>
          <w:tcPr>
            <w:tcW w:w="1843" w:type="dxa"/>
            <w:vMerge w:val="restart"/>
            <w:vAlign w:val="center"/>
          </w:tcPr>
          <w:p>
            <w:pPr>
              <w:adjustRightInd w:val="0"/>
              <w:snapToGrid w:val="0"/>
              <w:spacing w:after="0" w:line="400" w:lineRule="exact"/>
              <w:jc w:val="center"/>
              <w:rPr>
                <w:rFonts w:hint="eastAsia" w:ascii="仿宋" w:hAnsi="仿宋" w:eastAsia="仿宋" w:cs="Times New Roman"/>
                <w:sz w:val="28"/>
                <w:szCs w:val="28"/>
              </w:rPr>
            </w:pPr>
            <w:r>
              <w:rPr>
                <w:rFonts w:hint="eastAsia" w:ascii="仿宋" w:hAnsi="仿宋" w:eastAsia="仿宋" w:cs="Times New Roman"/>
                <w:sz w:val="28"/>
                <w:szCs w:val="28"/>
              </w:rPr>
              <w:t>产业数字化</w:t>
            </w: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规模以上工业企业数字化转型率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 xml:space="preserve">智能工厂占比 </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&gt;10%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重点商圈数字化改造率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智慧旅游景区</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&gt;3个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多式联运“一单制”覆盖率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&gt;80%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1" w:hRule="atLeast"/>
          <w:jc w:val="center"/>
        </w:trPr>
        <w:tc>
          <w:tcPr>
            <w:tcW w:w="1129" w:type="dxa"/>
            <w:vMerge w:val="restart"/>
            <w:vAlign w:val="center"/>
          </w:tcPr>
          <w:p>
            <w:pPr>
              <w:adjustRightInd w:val="0"/>
              <w:snapToGrid w:val="0"/>
              <w:spacing w:after="0" w:line="400" w:lineRule="exact"/>
              <w:jc w:val="center"/>
              <w:rPr>
                <w:rFonts w:hint="eastAsia" w:ascii="仿宋" w:hAnsi="仿宋" w:eastAsia="仿宋" w:cs="Times New Roman"/>
                <w:sz w:val="28"/>
                <w:szCs w:val="28"/>
              </w:rPr>
            </w:pPr>
            <w:r>
              <w:rPr>
                <w:rFonts w:hint="eastAsia" w:ascii="仿宋" w:hAnsi="仿宋" w:eastAsia="仿宋" w:cs="Times New Roman"/>
                <w:sz w:val="28"/>
                <w:szCs w:val="28"/>
              </w:rPr>
              <w:t>2</w:t>
            </w:r>
          </w:p>
        </w:tc>
        <w:tc>
          <w:tcPr>
            <w:tcW w:w="1843" w:type="dxa"/>
            <w:vMerge w:val="restart"/>
            <w:vAlign w:val="center"/>
          </w:tcPr>
          <w:p>
            <w:pPr>
              <w:adjustRightInd w:val="0"/>
              <w:snapToGrid w:val="0"/>
              <w:spacing w:after="0" w:line="400" w:lineRule="exact"/>
              <w:jc w:val="center"/>
              <w:rPr>
                <w:rFonts w:hint="eastAsia" w:ascii="仿宋" w:hAnsi="仿宋" w:eastAsia="仿宋" w:cs="Times New Roman"/>
                <w:sz w:val="28"/>
                <w:szCs w:val="28"/>
              </w:rPr>
            </w:pPr>
            <w:r>
              <w:rPr>
                <w:rFonts w:hint="eastAsia" w:ascii="仿宋" w:hAnsi="仿宋" w:eastAsia="仿宋" w:cs="Times New Roman"/>
                <w:sz w:val="28"/>
                <w:szCs w:val="28"/>
              </w:rPr>
              <w:t>数字产业化</w:t>
            </w: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数字经济核心产业增加值占GDP比重</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完成上级指标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新增高新技术数字企业</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10家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新增专精特新数字企业</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1家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年营收超10亿元龙头企业</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3家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数字版权交易规模</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&gt;15亿元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数据产品交易规模</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&gt;10亿元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数据要素对经济增长的贡献率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&gt;20%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跨境电商全模式出口业务额年均增长率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&gt;30%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restart"/>
            <w:vAlign w:val="center"/>
          </w:tcPr>
          <w:p>
            <w:pPr>
              <w:adjustRightInd w:val="0"/>
              <w:snapToGrid w:val="0"/>
              <w:spacing w:after="0" w:line="400" w:lineRule="exact"/>
              <w:jc w:val="center"/>
              <w:rPr>
                <w:rFonts w:hint="eastAsia" w:ascii="仿宋" w:hAnsi="仿宋" w:eastAsia="仿宋" w:cs="Times New Roman"/>
                <w:sz w:val="28"/>
                <w:szCs w:val="28"/>
              </w:rPr>
            </w:pPr>
            <w:r>
              <w:rPr>
                <w:rFonts w:hint="eastAsia" w:ascii="仿宋" w:hAnsi="仿宋" w:eastAsia="仿宋" w:cs="Times New Roman"/>
                <w:sz w:val="28"/>
                <w:szCs w:val="28"/>
              </w:rPr>
              <w:t>3</w:t>
            </w:r>
          </w:p>
        </w:tc>
        <w:tc>
          <w:tcPr>
            <w:tcW w:w="1843" w:type="dxa"/>
            <w:vMerge w:val="restart"/>
            <w:vAlign w:val="center"/>
          </w:tcPr>
          <w:p>
            <w:pPr>
              <w:adjustRightInd w:val="0"/>
              <w:snapToGrid w:val="0"/>
              <w:spacing w:after="0" w:line="400" w:lineRule="exact"/>
              <w:jc w:val="center"/>
              <w:rPr>
                <w:rFonts w:hint="eastAsia" w:ascii="仿宋" w:hAnsi="仿宋" w:eastAsia="仿宋" w:cs="Times New Roman"/>
                <w:sz w:val="28"/>
                <w:szCs w:val="28"/>
              </w:rPr>
            </w:pPr>
            <w:r>
              <w:rPr>
                <w:rFonts w:hint="eastAsia" w:ascii="仿宋" w:hAnsi="仿宋" w:eastAsia="仿宋" w:cs="Times New Roman"/>
                <w:sz w:val="28"/>
                <w:szCs w:val="28"/>
              </w:rPr>
              <w:t>数字治理</w:t>
            </w: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高频事项“掌上办”率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大幅提升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政务服务“一网通办”率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大幅提升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1843" w:type="dxa"/>
            <w:vMerge w:val="continue"/>
            <w:vAlign w:val="center"/>
          </w:tcPr>
          <w:p>
            <w:pPr>
              <w:adjustRightInd w:val="0"/>
              <w:snapToGrid w:val="0"/>
              <w:spacing w:after="0" w:line="400" w:lineRule="exact"/>
              <w:ind w:firstLine="560" w:firstLineChars="200"/>
              <w:jc w:val="center"/>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基层治理数字化覆盖率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restart"/>
            <w:vAlign w:val="center"/>
          </w:tcPr>
          <w:p>
            <w:pPr>
              <w:adjustRightInd w:val="0"/>
              <w:snapToGrid w:val="0"/>
              <w:spacing w:after="0" w:line="400" w:lineRule="exact"/>
              <w:jc w:val="center"/>
              <w:rPr>
                <w:rFonts w:hint="eastAsia" w:ascii="仿宋" w:hAnsi="仿宋" w:eastAsia="仿宋" w:cs="Times New Roman"/>
                <w:sz w:val="28"/>
                <w:szCs w:val="28"/>
              </w:rPr>
            </w:pPr>
            <w:r>
              <w:rPr>
                <w:rFonts w:hint="eastAsia" w:ascii="仿宋" w:hAnsi="仿宋" w:eastAsia="仿宋" w:cs="Times New Roman"/>
                <w:sz w:val="28"/>
                <w:szCs w:val="28"/>
              </w:rPr>
              <w:t>4</w:t>
            </w:r>
          </w:p>
        </w:tc>
        <w:tc>
          <w:tcPr>
            <w:tcW w:w="1843" w:type="dxa"/>
            <w:vMerge w:val="restart"/>
            <w:vAlign w:val="center"/>
          </w:tcPr>
          <w:p>
            <w:pPr>
              <w:adjustRightInd w:val="0"/>
              <w:snapToGrid w:val="0"/>
              <w:spacing w:after="0" w:line="400" w:lineRule="exact"/>
              <w:jc w:val="center"/>
              <w:rPr>
                <w:rFonts w:hint="eastAsia" w:ascii="仿宋" w:hAnsi="仿宋" w:eastAsia="仿宋" w:cs="Times New Roman"/>
                <w:sz w:val="28"/>
                <w:szCs w:val="28"/>
              </w:rPr>
            </w:pPr>
            <w:r>
              <w:rPr>
                <w:rFonts w:hint="eastAsia" w:ascii="仿宋" w:hAnsi="仿宋" w:eastAsia="仿宋" w:cs="Times New Roman"/>
                <w:sz w:val="28"/>
                <w:szCs w:val="28"/>
              </w:rPr>
              <w:t>数字口岸</w:t>
            </w: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全市域5G网络覆盖率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tcPr>
          <w:p>
            <w:pPr>
              <w:adjustRightInd w:val="0"/>
              <w:snapToGrid w:val="0"/>
              <w:spacing w:after="0" w:line="400" w:lineRule="exact"/>
              <w:ind w:firstLine="560" w:firstLineChars="200"/>
              <w:rPr>
                <w:rFonts w:hint="eastAsia" w:ascii="仿宋" w:hAnsi="仿宋" w:eastAsia="仿宋" w:cs="Times New Roman"/>
                <w:sz w:val="28"/>
                <w:szCs w:val="28"/>
              </w:rPr>
            </w:pPr>
          </w:p>
        </w:tc>
        <w:tc>
          <w:tcPr>
            <w:tcW w:w="1843" w:type="dxa"/>
            <w:vMerge w:val="continue"/>
          </w:tcPr>
          <w:p>
            <w:pPr>
              <w:adjustRightInd w:val="0"/>
              <w:snapToGrid w:val="0"/>
              <w:spacing w:after="0" w:line="400" w:lineRule="exact"/>
              <w:ind w:firstLine="560" w:firstLineChars="200"/>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跨境数据通道畅通传输延迟时间</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&lt;50毫秒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tcPr>
          <w:p>
            <w:pPr>
              <w:adjustRightInd w:val="0"/>
              <w:snapToGrid w:val="0"/>
              <w:spacing w:after="0" w:line="400" w:lineRule="exact"/>
              <w:ind w:firstLine="560" w:firstLineChars="200"/>
              <w:rPr>
                <w:rFonts w:hint="eastAsia" w:ascii="仿宋" w:hAnsi="仿宋" w:eastAsia="仿宋" w:cs="Times New Roman"/>
                <w:sz w:val="28"/>
                <w:szCs w:val="28"/>
              </w:rPr>
            </w:pPr>
          </w:p>
        </w:tc>
        <w:tc>
          <w:tcPr>
            <w:tcW w:w="1843" w:type="dxa"/>
            <w:vMerge w:val="continue"/>
          </w:tcPr>
          <w:p>
            <w:pPr>
              <w:adjustRightInd w:val="0"/>
              <w:snapToGrid w:val="0"/>
              <w:spacing w:after="0" w:line="400" w:lineRule="exact"/>
              <w:ind w:firstLine="560" w:firstLineChars="200"/>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跨境数据通道数据交互安全合规率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29" w:type="dxa"/>
            <w:vMerge w:val="continue"/>
          </w:tcPr>
          <w:p>
            <w:pPr>
              <w:adjustRightInd w:val="0"/>
              <w:snapToGrid w:val="0"/>
              <w:spacing w:after="0" w:line="400" w:lineRule="exact"/>
              <w:ind w:firstLine="560" w:firstLineChars="200"/>
              <w:rPr>
                <w:rFonts w:hint="eastAsia" w:ascii="仿宋" w:hAnsi="仿宋" w:eastAsia="仿宋" w:cs="Times New Roman"/>
                <w:sz w:val="28"/>
                <w:szCs w:val="28"/>
              </w:rPr>
            </w:pPr>
          </w:p>
        </w:tc>
        <w:tc>
          <w:tcPr>
            <w:tcW w:w="1843" w:type="dxa"/>
            <w:vMerge w:val="continue"/>
          </w:tcPr>
          <w:p>
            <w:pPr>
              <w:adjustRightInd w:val="0"/>
              <w:snapToGrid w:val="0"/>
              <w:spacing w:after="0" w:line="400" w:lineRule="exact"/>
              <w:ind w:firstLine="560" w:firstLineChars="200"/>
              <w:rPr>
                <w:rFonts w:hint="eastAsia" w:ascii="仿宋" w:hAnsi="仿宋" w:eastAsia="仿宋" w:cs="Times New Roman"/>
                <w:sz w:val="28"/>
                <w:szCs w:val="28"/>
              </w:rPr>
            </w:pPr>
          </w:p>
        </w:tc>
        <w:tc>
          <w:tcPr>
            <w:tcW w:w="3686"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口岸、园区基础设施智能化改造率</w:t>
            </w:r>
          </w:p>
        </w:tc>
        <w:tc>
          <w:tcPr>
            <w:tcW w:w="1984" w:type="dxa"/>
          </w:tcPr>
          <w:p>
            <w:pPr>
              <w:adjustRightInd w:val="0"/>
              <w:snapToGrid w:val="0"/>
              <w:spacing w:after="0" w:line="400" w:lineRule="exact"/>
              <w:rPr>
                <w:rFonts w:hint="eastAsia" w:ascii="仿宋" w:hAnsi="仿宋" w:eastAsia="仿宋" w:cs="Times New Roman"/>
                <w:sz w:val="28"/>
                <w:szCs w:val="28"/>
              </w:rPr>
            </w:pPr>
            <w:r>
              <w:rPr>
                <w:rFonts w:hint="eastAsia" w:ascii="仿宋" w:hAnsi="仿宋" w:eastAsia="仿宋" w:cs="Times New Roman"/>
                <w:sz w:val="28"/>
                <w:szCs w:val="28"/>
              </w:rPr>
              <w:t>100%</w:t>
            </w:r>
          </w:p>
        </w:tc>
      </w:tr>
    </w:tbl>
    <w:p>
      <w:pPr>
        <w:adjustRightInd w:val="0"/>
        <w:snapToGrid w:val="0"/>
        <w:spacing w:after="0" w:line="560" w:lineRule="exact"/>
        <w:rPr>
          <w:rFonts w:hint="eastAsia" w:ascii="黑体" w:hAnsi="黑体" w:eastAsia="黑体"/>
          <w:sz w:val="30"/>
          <w:szCs w:val="30"/>
        </w:rPr>
      </w:pPr>
    </w:p>
    <w:p>
      <w:pPr>
        <w:adjustRightInd w:val="0"/>
        <w:snapToGrid w:val="0"/>
        <w:spacing w:after="0" w:line="560" w:lineRule="exact"/>
        <w:ind w:firstLine="600" w:firstLineChars="200"/>
        <w:outlineLvl w:val="0"/>
        <w:rPr>
          <w:rFonts w:hint="eastAsia" w:ascii="仿宋" w:hAnsi="仿宋" w:eastAsia="仿宋"/>
          <w:sz w:val="30"/>
          <w:szCs w:val="30"/>
        </w:rPr>
      </w:pPr>
      <w:r>
        <w:rPr>
          <w:rFonts w:hint="eastAsia" w:ascii="黑体" w:hAnsi="黑体" w:eastAsia="黑体"/>
          <w:sz w:val="30"/>
          <w:szCs w:val="30"/>
        </w:rPr>
        <w:br w:type="page"/>
      </w:r>
      <w:bookmarkStart w:id="18" w:name="_Toc1250081716"/>
      <w:r>
        <w:rPr>
          <w:rFonts w:hint="eastAsia" w:ascii="黑体" w:hAnsi="黑体" w:eastAsia="黑体"/>
          <w:sz w:val="30"/>
          <w:szCs w:val="30"/>
        </w:rPr>
        <w:t>五、体系架构</w:t>
      </w:r>
      <w:bookmarkEnd w:id="18"/>
    </w:p>
    <w:p>
      <w:pPr>
        <w:adjustRightInd w:val="0"/>
        <w:snapToGrid w:val="0"/>
        <w:spacing w:after="0" w:line="560" w:lineRule="exact"/>
        <w:ind w:firstLine="602" w:firstLineChars="200"/>
        <w:outlineLvl w:val="1"/>
        <w:rPr>
          <w:rFonts w:hint="eastAsia" w:ascii="仿宋" w:hAnsi="仿宋" w:eastAsia="仿宋"/>
          <w:b/>
          <w:bCs/>
          <w:sz w:val="30"/>
          <w:szCs w:val="30"/>
        </w:rPr>
      </w:pPr>
      <w:bookmarkStart w:id="19" w:name="_Toc755716603"/>
      <w:r>
        <w:rPr>
          <w:rFonts w:hint="eastAsia" w:ascii="仿宋" w:hAnsi="仿宋" w:eastAsia="仿宋"/>
          <w:b/>
          <w:bCs/>
          <w:sz w:val="30"/>
          <w:szCs w:val="30"/>
        </w:rPr>
        <w:t>（一）层级架构</w:t>
      </w:r>
      <w:bookmarkEnd w:id="19"/>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对接自治区、自治州的“一体化数据资源服务平台”，共享政务云、数据资源和共性应用支撑体系。建设数字协同调用中枢和全域统一综合服务门户，推动应用场景下沉基层网格，实现重点领域应用在市、乡（街道）、村（社区）三级全覆盖。</w:t>
      </w:r>
    </w:p>
    <w:p>
      <w:pPr>
        <w:adjustRightInd w:val="0"/>
        <w:snapToGrid w:val="0"/>
        <w:spacing w:after="0" w:line="240" w:lineRule="auto"/>
        <w:ind w:firstLine="600" w:firstLineChars="200"/>
        <w:jc w:val="center"/>
        <w:rPr>
          <w:rFonts w:hint="eastAsia" w:ascii="仿宋" w:hAnsi="仿宋" w:eastAsia="仿宋"/>
          <w:sz w:val="30"/>
          <w:szCs w:val="30"/>
        </w:rPr>
      </w:pPr>
      <w:r>
        <w:rPr>
          <w:rFonts w:hint="eastAsia" w:ascii="仿宋" w:hAnsi="仿宋" w:eastAsia="仿宋"/>
          <w:sz w:val="30"/>
          <w:szCs w:val="30"/>
        </w:rPr>
        <w:drawing>
          <wp:inline distT="0" distB="0" distL="0" distR="0">
            <wp:extent cx="4457700" cy="2857500"/>
            <wp:effectExtent l="0" t="0" r="0" b="0"/>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9"/>
                    <a:stretch>
                      <a:fillRect/>
                    </a:stretch>
                  </pic:blipFill>
                  <pic:spPr>
                    <a:xfrm>
                      <a:off x="0" y="0"/>
                      <a:ext cx="4532079" cy="2905179"/>
                    </a:xfrm>
                    <a:prstGeom prst="rect">
                      <a:avLst/>
                    </a:prstGeom>
                  </pic:spPr>
                </pic:pic>
              </a:graphicData>
            </a:graphic>
          </wp:inline>
        </w:drawing>
      </w:r>
    </w:p>
    <w:p>
      <w:pPr>
        <w:adjustRightInd w:val="0"/>
        <w:snapToGrid w:val="0"/>
        <w:spacing w:after="0" w:line="560" w:lineRule="exact"/>
        <w:ind w:firstLine="560" w:firstLineChars="200"/>
        <w:jc w:val="center"/>
        <w:rPr>
          <w:rFonts w:hint="eastAsia" w:ascii="仿宋" w:hAnsi="仿宋" w:eastAsia="仿宋"/>
          <w:sz w:val="28"/>
          <w:szCs w:val="28"/>
        </w:rPr>
      </w:pPr>
      <w:r>
        <w:rPr>
          <w:rFonts w:hint="eastAsia" w:ascii="仿宋" w:hAnsi="仿宋" w:eastAsia="仿宋"/>
          <w:sz w:val="28"/>
          <w:szCs w:val="28"/>
        </w:rPr>
        <w:t>图1 霍尔果斯数字化发展层级架构</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20" w:name="_Toc325858553"/>
      <w:r>
        <w:rPr>
          <w:rFonts w:hint="eastAsia" w:ascii="仿宋" w:hAnsi="仿宋" w:eastAsia="仿宋"/>
          <w:b/>
          <w:bCs/>
          <w:sz w:val="30"/>
          <w:szCs w:val="30"/>
        </w:rPr>
        <w:t>（二）业务架构</w:t>
      </w:r>
      <w:bookmarkEnd w:id="20"/>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构建霍尔果斯市“四横两纵”数字化发展业务架构。四横包括物联感知层、通信网络层、平台支撑层和数字应用层。两纵包括数字安全和国门安全体系和数字人才体系。</w:t>
      </w:r>
    </w:p>
    <w:p>
      <w:pPr>
        <w:adjustRightInd w:val="0"/>
        <w:snapToGrid w:val="0"/>
        <w:spacing w:after="0" w:line="240" w:lineRule="auto"/>
        <w:ind w:firstLine="600" w:firstLineChars="200"/>
        <w:jc w:val="center"/>
        <w:rPr>
          <w:rFonts w:hint="eastAsia" w:ascii="仿宋" w:hAnsi="仿宋" w:eastAsia="仿宋"/>
          <w:sz w:val="30"/>
          <w:szCs w:val="30"/>
        </w:rPr>
      </w:pPr>
      <w:r>
        <w:rPr>
          <w:rFonts w:hint="eastAsia" w:ascii="仿宋" w:hAnsi="仿宋" w:eastAsia="仿宋"/>
          <w:sz w:val="30"/>
          <w:szCs w:val="30"/>
        </w:rPr>
        <w:drawing>
          <wp:inline distT="0" distB="0" distL="0" distR="0">
            <wp:extent cx="5274310" cy="2690495"/>
            <wp:effectExtent l="0" t="0" r="2540" b="1460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0"/>
                    <a:stretch>
                      <a:fillRect/>
                    </a:stretch>
                  </pic:blipFill>
                  <pic:spPr>
                    <a:xfrm>
                      <a:off x="0" y="0"/>
                      <a:ext cx="5274310" cy="2690495"/>
                    </a:xfrm>
                    <a:prstGeom prst="rect">
                      <a:avLst/>
                    </a:prstGeom>
                  </pic:spPr>
                </pic:pic>
              </a:graphicData>
            </a:graphic>
          </wp:inline>
        </w:drawing>
      </w:r>
    </w:p>
    <w:p>
      <w:pPr>
        <w:adjustRightInd w:val="0"/>
        <w:snapToGrid w:val="0"/>
        <w:spacing w:after="0" w:line="560" w:lineRule="exact"/>
        <w:ind w:firstLine="560" w:firstLineChars="200"/>
        <w:jc w:val="center"/>
        <w:rPr>
          <w:rFonts w:hint="eastAsia" w:ascii="仿宋" w:hAnsi="仿宋" w:eastAsia="仿宋"/>
          <w:sz w:val="28"/>
          <w:szCs w:val="28"/>
        </w:rPr>
      </w:pPr>
      <w:r>
        <w:rPr>
          <w:rFonts w:hint="eastAsia" w:ascii="仿宋" w:hAnsi="仿宋" w:eastAsia="仿宋"/>
          <w:sz w:val="28"/>
          <w:szCs w:val="28"/>
        </w:rPr>
        <w:t>图2 霍尔果斯数字化发展业务架构</w:t>
      </w:r>
    </w:p>
    <w:p>
      <w:pPr>
        <w:adjustRightInd w:val="0"/>
        <w:snapToGrid w:val="0"/>
        <w:spacing w:after="0" w:line="560" w:lineRule="exact"/>
        <w:ind w:firstLine="600" w:firstLineChars="200"/>
        <w:outlineLvl w:val="0"/>
        <w:rPr>
          <w:rFonts w:hint="eastAsia" w:ascii="黑体" w:hAnsi="黑体" w:eastAsia="黑体"/>
          <w:sz w:val="30"/>
          <w:szCs w:val="30"/>
        </w:rPr>
      </w:pPr>
      <w:bookmarkStart w:id="21" w:name="_Toc297565811"/>
      <w:r>
        <w:rPr>
          <w:rFonts w:hint="eastAsia" w:ascii="黑体" w:hAnsi="黑体" w:eastAsia="黑体"/>
          <w:sz w:val="30"/>
          <w:szCs w:val="30"/>
        </w:rPr>
        <w:t>六、重点任务</w:t>
      </w:r>
      <w:bookmarkEnd w:id="21"/>
    </w:p>
    <w:p>
      <w:pPr>
        <w:adjustRightInd w:val="0"/>
        <w:snapToGrid w:val="0"/>
        <w:spacing w:after="0" w:line="560" w:lineRule="exact"/>
        <w:ind w:firstLine="602" w:firstLineChars="200"/>
        <w:outlineLvl w:val="1"/>
        <w:rPr>
          <w:rFonts w:hint="eastAsia" w:ascii="仿宋" w:hAnsi="仿宋" w:eastAsia="仿宋"/>
          <w:b/>
          <w:bCs/>
          <w:sz w:val="30"/>
          <w:szCs w:val="30"/>
        </w:rPr>
      </w:pPr>
      <w:bookmarkStart w:id="22" w:name="_Toc1171488445"/>
      <w:r>
        <w:rPr>
          <w:rFonts w:hint="eastAsia" w:ascii="仿宋" w:hAnsi="仿宋" w:eastAsia="仿宋"/>
          <w:b/>
          <w:bCs/>
          <w:sz w:val="30"/>
          <w:szCs w:val="30"/>
        </w:rPr>
        <w:t>（一）夯实数字底座</w:t>
      </w:r>
      <w:bookmarkEnd w:id="22"/>
    </w:p>
    <w:p>
      <w:pPr>
        <w:adjustRightInd w:val="0"/>
        <w:snapToGrid w:val="0"/>
        <w:spacing w:after="0" w:line="560" w:lineRule="exact"/>
        <w:ind w:firstLine="602" w:firstLineChars="200"/>
        <w:outlineLvl w:val="2"/>
        <w:rPr>
          <w:rFonts w:hint="eastAsia" w:ascii="仿宋" w:hAnsi="仿宋" w:eastAsia="仿宋"/>
          <w:b/>
          <w:bCs/>
          <w:sz w:val="30"/>
          <w:szCs w:val="30"/>
        </w:rPr>
      </w:pPr>
      <w:bookmarkStart w:id="23" w:name="_Toc572654095"/>
      <w:r>
        <w:rPr>
          <w:rFonts w:hint="eastAsia" w:ascii="仿宋" w:hAnsi="仿宋" w:eastAsia="仿宋"/>
          <w:b/>
          <w:bCs/>
          <w:sz w:val="30"/>
          <w:szCs w:val="30"/>
        </w:rPr>
        <w:t>1.加快数字基建升级</w:t>
      </w:r>
      <w:bookmarkEnd w:id="23"/>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加强通信网络基础设施建设。接入自治州统一政务外网体系，实现互联网统一出口、安全接入与集中管理。推进万兆骨干网和千兆接入网建设，推进重点乡镇和产业园区的5G网络部署。以亚欧陆地光缆为基础，建设霍尔果斯至中亚五国、俄罗斯、土耳其直达光缆，增强国际数据传输能力，提升跨境通信效率。依托合作中心的IEPL跨境专线网络，拓展专线在跨境数据传输、直播电商、游戏、影音出海等领域的应用。 （责任单位：数发局、工信局、网信办）</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算力基础设施建设。积极融入国家算力网络体系，推动算力跨域调用与资源共享。围绕智慧口岸、智慧物流、跨境电商等重点应用场景，布局一批边缘计算节点和分布式数据中心，形成“云—边—端”协同运行格局。（责任单位：数发局、发改委）</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完善物联感知基础设施建设。推进物联感知基础设施建设，推进AI识别、边缘计算、传感协同等技术在通关监管、货物流转、城市管理等领域的深度应用，形成“城市治理—产业发展—跨境协同”多域融合的感知体系。（责任单位：口岸管理局、综保区、交通局、城市管理局）</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6" w:type="dxa"/>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专栏1  数字基础设施建设升级工程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新型通信网络提升工程。重点推进政务外网与公共互联网安全分域部署，实施光纤网络和移动通信网络升级，提升口岸、园区、商贸区和重点乡镇网络接入能力。（牵头单位：数发局；责任单位：网信办、工信局、各通信运营企业等）</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国际通信通道能力提升工程。重点推进跨境光缆和国际专线建设，拓展IEPL跨境专线应用，增强跨境通信网络稳定性和时效性。（牵头单位：商务局、自贸办；责任单位：工信局、网信办、各通信运营企业等）</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算力基础设施支撑工程。完善“云—边—端”协同的算力服务体系，推动数据中心绿色化、智能化改造，增强算力调度和资源利用效率。（牵头单位：数发局；责任单位：工信局、发改委）</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物联感知基础设施建设工程。重点部署环境感知、信息传输等智能设备，推动电力塔杆、通信基站、交通指示牌、路灯杆等挂高资源共享。推动感知设施与州级网络深度对接，统一通信协议与接入标准。（牵头单位：数发局；责任单位：工信局、发改委、住建局、交通局、城市管理局）</w:t>
            </w:r>
          </w:p>
        </w:tc>
      </w:tr>
    </w:tbl>
    <w:p>
      <w:pPr>
        <w:adjustRightInd w:val="0"/>
        <w:snapToGrid w:val="0"/>
        <w:spacing w:after="0" w:line="560" w:lineRule="exact"/>
        <w:ind w:firstLine="602" w:firstLineChars="200"/>
        <w:outlineLvl w:val="2"/>
        <w:rPr>
          <w:rFonts w:hint="eastAsia" w:ascii="仿宋" w:hAnsi="仿宋" w:eastAsia="仿宋"/>
          <w:b/>
          <w:bCs/>
          <w:sz w:val="30"/>
          <w:szCs w:val="30"/>
        </w:rPr>
      </w:pPr>
      <w:bookmarkStart w:id="24" w:name="_Toc1127786389"/>
      <w:r>
        <w:rPr>
          <w:rFonts w:hint="eastAsia" w:ascii="仿宋" w:hAnsi="仿宋" w:eastAsia="仿宋"/>
          <w:b/>
          <w:bCs/>
          <w:sz w:val="30"/>
          <w:szCs w:val="30"/>
        </w:rPr>
        <w:t>2.夯实数据协同中枢</w:t>
      </w:r>
      <w:bookmarkEnd w:id="24"/>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加快数据资源采集与汇聚。建立和完善数据采集规范、质量标准和目录更新机制。推动本地区与自治州数据中台、能力集成平台深度对接。推进公共数据资源体系建设，推进多源异构数据标准化处理和智能化清洗，提升数据整合效率和数据资产质量。构建政务数据集约化承载体系，逐步形成分级管理、分域协同的多层级数据运行格局。（责任单位：数发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数据共享与开放体系。健全共享授权、访问控制、溯源审计等机制，推动跨层级、跨部门数据资源高效流通与协同应用。有序推进公共数据向社会开放，推动政府数据与社会数据融合应用。（责任单位：数发局）</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6" w:type="dxa"/>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专栏2  数据协同调用中枢建设工程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霍尔果斯“数字链计划”一期项目建设。建设霍尔果斯区域数据中枢，构建自治区—自治州—霍尔果斯三级联动的数据中枢体系。推进政务云、数据中台、共享交换平台互联互通，统一数据采集、交换、治理标准，打通跨层级、跨部门数据壁垒。（牵头单位：数发局；责任单位：各委办局）</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公共数据资源体系建设工程。聚焦城市治理、民生保障、生态环保、宏观经济等公共领域，做强人口、法人、地理空间及电子证照基础库，做优营商环境、社会治理等跨部门主题库，培育医疗健康、交通运输、信用服务等高价值专题数据集。到2030年，基本建成“基础库+主题库+专题库”的公共数据资源体系。（牵头单位：数发局；责任单位：各委办局）</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公共数据开发利用工程。建立健全公共数据分类分级开放机制，推动医疗、交通、气象等民生领域数据安全有序开放。探索建立公共数据授权运营机制，支持合规主体对高价值数据进行加工处理与产品化开发。到2030年，基本建立规范化的公共数据开发利用体系，数据要素供给质量与利用效率显著提升。（牵头单位：数发局；责任单位：公共数据授权运营主体单位）</w:t>
            </w:r>
          </w:p>
        </w:tc>
      </w:tr>
    </w:tbl>
    <w:p>
      <w:pPr>
        <w:adjustRightInd w:val="0"/>
        <w:snapToGrid w:val="0"/>
        <w:spacing w:after="0" w:line="560" w:lineRule="exact"/>
        <w:ind w:firstLine="602" w:firstLineChars="200"/>
        <w:outlineLvl w:val="2"/>
        <w:rPr>
          <w:rFonts w:hint="eastAsia" w:ascii="仿宋" w:hAnsi="仿宋" w:eastAsia="仿宋"/>
          <w:b/>
          <w:bCs/>
          <w:sz w:val="30"/>
          <w:szCs w:val="30"/>
        </w:rPr>
      </w:pPr>
      <w:bookmarkStart w:id="25" w:name="_Toc1631057709"/>
      <w:r>
        <w:rPr>
          <w:rFonts w:hint="eastAsia" w:ascii="仿宋" w:hAnsi="仿宋" w:eastAsia="仿宋"/>
          <w:b/>
          <w:bCs/>
          <w:sz w:val="30"/>
          <w:szCs w:val="30"/>
        </w:rPr>
        <w:t>3.健全数字运行体系</w:t>
      </w:r>
      <w:bookmarkEnd w:id="25"/>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两级联动的数字化运管体系。强化数字化发展局的统筹运维职能，将政务云、算力中心、物联感知等基础设施纳入统一运行监测体系。实现运行数据互通和故障事件协同响应，打造“资源一张图、运行一张网”的运维管理格局。（责任单位：数发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建设一体化智能运行管理平台。建立运行监测指标体系，对全市数字化基础设施及重点业务系统的运行状态进行实时采集与动态监控。推动运行管理由事后处置向事前预警、综合研判转变，持续提升系统运行的稳定性、安全性和可靠性。（责任单位：数发局、工信局、应急管理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高效可靠的运维保障机制。建立系统运行状态监测机制，统一采集运行日志、性能指标、告警信息并进行综合分析，实现“统一监测、统一管理、统一响应”。完善故障自动检测、工单流转、应急调度和复盘评估机制，形成从发现、预警、处置到改进的闭环管理。（责任单位：数发局、统一运维主体单位）</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6" w:type="dxa"/>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专栏3  智能运行管理平台建设工程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打造集“监测预警—分析研判—指挥调度—运维服务”于一体的智能运行管理平台，实现对全市政务、产业、口岸等重点数字化系统和基础设施的统一监控、集中调度和智能决策支撑。重点构建政务云、算力中心、数据中枢、物联感知等基础资源的运行监测网络，建设可视化运行分析驾驶舱，实现全域态势感知、指标动态分析和风险智能研判。（责任单位：数发局、数字化发展服务中心、数字公司）</w:t>
            </w:r>
          </w:p>
        </w:tc>
      </w:tr>
    </w:tbl>
    <w:p>
      <w:pPr>
        <w:adjustRightInd w:val="0"/>
        <w:snapToGrid w:val="0"/>
        <w:spacing w:after="0" w:line="560" w:lineRule="exact"/>
        <w:ind w:firstLine="602" w:firstLineChars="200"/>
        <w:outlineLvl w:val="1"/>
        <w:rPr>
          <w:rFonts w:hint="eastAsia" w:ascii="仿宋" w:hAnsi="仿宋" w:eastAsia="仿宋"/>
          <w:b/>
          <w:bCs/>
          <w:sz w:val="30"/>
          <w:szCs w:val="30"/>
        </w:rPr>
      </w:pPr>
      <w:bookmarkStart w:id="26" w:name="_Toc835811937"/>
      <w:r>
        <w:rPr>
          <w:rFonts w:hint="eastAsia" w:ascii="仿宋" w:hAnsi="仿宋" w:eastAsia="仿宋"/>
          <w:b/>
          <w:bCs/>
          <w:sz w:val="30"/>
          <w:szCs w:val="30"/>
        </w:rPr>
        <w:t>（二）壮大数字产业</w:t>
      </w:r>
      <w:bookmarkEnd w:id="26"/>
    </w:p>
    <w:p>
      <w:pPr>
        <w:adjustRightInd w:val="0"/>
        <w:snapToGrid w:val="0"/>
        <w:spacing w:after="0" w:line="560" w:lineRule="exact"/>
        <w:ind w:firstLine="602" w:firstLineChars="200"/>
        <w:outlineLvl w:val="2"/>
        <w:rPr>
          <w:rFonts w:hint="eastAsia" w:ascii="仿宋" w:hAnsi="仿宋" w:eastAsia="仿宋"/>
          <w:b/>
          <w:bCs/>
          <w:sz w:val="30"/>
          <w:szCs w:val="30"/>
        </w:rPr>
      </w:pPr>
      <w:bookmarkStart w:id="27" w:name="_Toc953797202"/>
      <w:r>
        <w:rPr>
          <w:rFonts w:hint="eastAsia" w:ascii="仿宋" w:hAnsi="仿宋" w:eastAsia="仿宋"/>
          <w:b/>
          <w:bCs/>
          <w:sz w:val="30"/>
          <w:szCs w:val="30"/>
        </w:rPr>
        <w:t>1.加快制造业数智化转型</w:t>
      </w:r>
      <w:bookmarkEnd w:id="27"/>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聚焦我市产业定位，招引培育一批智能装备制造企业，锚定“两个市场、两种资源”，丰富进出口贸易加工规模落实制造业数智化转型专项行动，推动霍尔果斯规模以上工业企业开展“智改数转网联”，支持数智化基础较好的企业围绕实际生产需要，实施软硬件一体化改造。引导企业按单机装备、制造单元、生产线、制造车间层级梯度推进智能化升级，分级培育数智化转型标杆企业。落实重点行业数字化转型方案，立足本地产业实际，聚焦贵金属加工、农副食品加工、装备制造等重点领域推进行业数智化协同改造，实现整条产业链数据互通、协同生产。（责任单位：工信局、投资促进服务中心、发改委、商务局）</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28" w:name="_Toc1367362515"/>
      <w:r>
        <w:rPr>
          <w:rFonts w:hint="eastAsia" w:ascii="仿宋" w:hAnsi="仿宋" w:eastAsia="仿宋"/>
          <w:b/>
          <w:bCs/>
          <w:sz w:val="30"/>
          <w:szCs w:val="30"/>
        </w:rPr>
        <w:t>2.打造数字服务新高地</w:t>
      </w:r>
      <w:bookmarkEnd w:id="28"/>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做强“境内关外”数字产品批发零售。升级跨境数字产品展销中心，推动创新“前店后仓+跨境直供”模式创新，面向中亚市场开展批量批发业务。拓展跨境直播零售新业态，打造跨境数字产品直播基地，推动数字产品内外贸融合发展。（责任单位：商务局、合管办、综保区）</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加强跨境数字产品租赁业务。重点发展通讯设备、智能办公设备、口岸查验设备、工程机械智能配件等高端数字产品的跨境保税租赁业务。构建“合作中心储备—跨境租赁—境内外运维”服务链条，鼓励企业在合作中心设立租赁设备边境仓。定向培育一批专业跨境数字产品租赁服务商，推动租赁业务与本地数字产品制造业协同发展。（责任单位：商务局、合管办、综保区）</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29" w:name="_Toc745182978"/>
      <w:r>
        <w:rPr>
          <w:rFonts w:hint="eastAsia" w:ascii="仿宋" w:hAnsi="仿宋" w:eastAsia="仿宋"/>
          <w:b/>
          <w:bCs/>
          <w:sz w:val="30"/>
          <w:szCs w:val="30"/>
        </w:rPr>
        <w:t>3.发展数字技术深应用</w:t>
      </w:r>
      <w:bookmarkEnd w:id="29"/>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发展特色人工智能产业。聚焦人工智能核心技术研发与产业化应用，重点发展大模型本地化适配、多语种智能语音识别、智能感知设备、边缘计算终端等细分领域。推动AI技术在口岸通关、物流运输、城市治理等场景应用。推动建设人工智能专业园区，完善全链条产业生态。（责任单位：发改委、数发局）</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5" w:type="dxa"/>
            <w:tcMar>
              <w:top w:w="0" w:type="dxa"/>
              <w:left w:w="108" w:type="dxa"/>
              <w:bottom w:w="0" w:type="dxa"/>
              <w:right w:w="108" w:type="dxa"/>
            </w:tcMar>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专栏4  人工智能产业培育工程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5" w:type="dxa"/>
            <w:tcMar>
              <w:top w:w="0" w:type="dxa"/>
              <w:left w:w="108" w:type="dxa"/>
              <w:bottom w:w="0" w:type="dxa"/>
              <w:right w:w="108" w:type="dxa"/>
            </w:tcMar>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聚焦人工智能核心技术产业化、场景化、跨境化发展，重点布局大模型本地化适配、多语种智能交互、智能感知与边缘计算等细分领域，打造集创新孵化、技术攻关、产品转化、场景应用于一体的跨境AI产业生态。重点打造AI场景融合应用示范项目、人工智能专业园区建设项目、标准化数据集建设与数据治理服务项目等。（牵头单位：发改委；责任单位：数发局、口岸管理局、工信局、商务局）</w:t>
            </w:r>
          </w:p>
        </w:tc>
      </w:tr>
    </w:tbl>
    <w:p>
      <w:pPr>
        <w:adjustRightInd w:val="0"/>
        <w:snapToGrid w:val="0"/>
        <w:spacing w:after="0" w:line="560" w:lineRule="exact"/>
        <w:ind w:firstLine="602" w:firstLineChars="200"/>
        <w:outlineLvl w:val="2"/>
        <w:rPr>
          <w:rFonts w:hint="eastAsia" w:ascii="仿宋" w:hAnsi="仿宋" w:eastAsia="仿宋"/>
          <w:b/>
          <w:bCs/>
          <w:sz w:val="30"/>
          <w:szCs w:val="30"/>
        </w:rPr>
      </w:pPr>
      <w:bookmarkStart w:id="30" w:name="_Toc1414100634"/>
      <w:r>
        <w:rPr>
          <w:rFonts w:hint="eastAsia" w:ascii="仿宋" w:hAnsi="仿宋" w:eastAsia="仿宋"/>
          <w:b/>
          <w:bCs/>
          <w:sz w:val="30"/>
          <w:szCs w:val="30"/>
        </w:rPr>
        <w:t>4.提升数字要素驱动力</w:t>
      </w:r>
      <w:bookmarkEnd w:id="30"/>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强化数字要素支撑能力建设。建立跨境数据资源目录额跨境数据安全治理体系。培育数据服务生态，升级“通关+物流+金融”一体化数字服务平台，推进数据要素与跨境业务深度融合，开发基于数据的信用评估、风险预警、市场预测等增值服务，赋能跨境贸易、仓储、物流、金融服务等领域高效发展。建设中亚跨境经贸信息服务平台，助力企业精准把握海外市场机遇。（责任单位：数发局、网信办、公共运营主体单位）</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培育跨境数字内容与媒体新业态。建设跨境数字内容创作基地，推动数字内容与跨境贸易、文化交流深度融合。升级版权登记和数字内容交易平台，推动数字内容产品向中亚、欧洲市场输出。探索“数字内容+跨境文旅”“数字内容+品牌营销”融合模式，拓展数字内容应用场景。（牵头单位：宣传部；责任单位：文旅局、文旅集团）</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31" w:name="_Toc491330926"/>
      <w:r>
        <w:rPr>
          <w:rFonts w:hint="eastAsia" w:ascii="仿宋" w:hAnsi="仿宋" w:eastAsia="仿宋"/>
          <w:b/>
          <w:bCs/>
          <w:sz w:val="30"/>
          <w:szCs w:val="30"/>
        </w:rPr>
        <w:t>（三）深化数实融合</w:t>
      </w:r>
      <w:bookmarkEnd w:id="31"/>
    </w:p>
    <w:p>
      <w:pPr>
        <w:adjustRightInd w:val="0"/>
        <w:snapToGrid w:val="0"/>
        <w:spacing w:after="0" w:line="560" w:lineRule="exact"/>
        <w:ind w:firstLine="602" w:firstLineChars="200"/>
        <w:outlineLvl w:val="2"/>
        <w:rPr>
          <w:rFonts w:hint="eastAsia" w:ascii="仿宋" w:hAnsi="仿宋" w:eastAsia="仿宋"/>
          <w:b/>
          <w:bCs/>
          <w:sz w:val="30"/>
          <w:szCs w:val="30"/>
        </w:rPr>
      </w:pPr>
      <w:bookmarkStart w:id="32" w:name="_Toc2129278961"/>
      <w:r>
        <w:rPr>
          <w:rFonts w:hint="eastAsia" w:ascii="仿宋" w:hAnsi="仿宋" w:eastAsia="仿宋"/>
          <w:b/>
          <w:bCs/>
          <w:sz w:val="30"/>
          <w:szCs w:val="30"/>
        </w:rPr>
        <w:t>1.推进数字旅游新突破</w:t>
      </w:r>
      <w:bookmarkEnd w:id="32"/>
    </w:p>
    <w:p>
      <w:pPr>
        <w:adjustRightInd w:val="0"/>
        <w:snapToGrid w:val="0"/>
        <w:spacing w:after="0" w:line="560" w:lineRule="exact"/>
        <w:ind w:firstLine="600" w:firstLineChars="200"/>
        <w:rPr>
          <w:rFonts w:hint="eastAsia" w:ascii="仿宋" w:hAnsi="仿宋" w:eastAsia="仿宋"/>
          <w:sz w:val="30"/>
          <w:szCs w:val="30"/>
        </w:rPr>
      </w:pPr>
      <w:bookmarkStart w:id="33" w:name="OLE_LINK11"/>
      <w:r>
        <w:rPr>
          <w:rFonts w:hint="eastAsia" w:ascii="仿宋" w:hAnsi="仿宋" w:eastAsia="仿宋"/>
          <w:sz w:val="30"/>
          <w:szCs w:val="30"/>
        </w:rPr>
        <w:t>加快文旅资源数字化开发。推进全域文旅资源数字化建档，聚焦“数字国门”“丝路文化”等核心主题，系统开发数字资产，推动其与文创产品、旅游纪念品及线上传播深度融合，培育“数字IP+实体消费”新业态，助力文旅产业从“门票经济”向“数字IP经济”转型。（牵头单位：宣传部；责任单位：文旅局、文旅集团）</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智慧跨境旅游服务体系。升级跨境旅游一站式服务中心，整合签证办理、交通住宿预订、外币兑换、导游等服务，搭建统一多语种智慧旅游平台。依托中哈跨境旅游合作区，推动与哈萨克斯坦旅游平台数据互联互通，提升跨境旅游便利化水平。推进景区智能化改造，接入跨境旅游大数据中心，实现客流实时监控与智能调度。（牵头单位：文旅局；责任单位：合管办、文旅集团）</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打造数字营销与文旅融合传播矩阵。构建多语种、多渠道数字营销平台，常态化开展中哈旅游展会、文化节庆等活动的线上直播与数字推广。依托跨境电商直播基地资源，推动“旅游+直播带货”融合发展，实现文旅体验与跨境消费双向赋能。（牵头单位：宣传部；责任单位：文旅局、商务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完善数字旅游产业支撑体系。建设跨境旅游大数据中心，整合游客流量、消费行为、线路热度、通关等数据，支撑产品优化、精准营销与政策制定。探索“旅游+金融”数字化创新，基于交易数据开发消费信贷、供应链金融等产品。培育数字旅游专业服务商，招引文旅数字化运营、内容创作、系统集成等企业，构建产业生态圈，助力全域旅游高质量发展。（责任单位：文旅局、金融办、数发局、文旅集团）</w:t>
      </w:r>
    </w:p>
    <w:bookmarkEnd w:id="33"/>
    <w:p>
      <w:pPr>
        <w:adjustRightInd w:val="0"/>
        <w:snapToGrid w:val="0"/>
        <w:spacing w:after="0" w:line="560" w:lineRule="exact"/>
        <w:ind w:firstLine="602" w:firstLineChars="200"/>
        <w:outlineLvl w:val="2"/>
        <w:rPr>
          <w:rFonts w:hint="eastAsia" w:ascii="仿宋" w:hAnsi="仿宋" w:eastAsia="仿宋"/>
          <w:b/>
          <w:bCs/>
          <w:sz w:val="30"/>
          <w:szCs w:val="30"/>
        </w:rPr>
      </w:pPr>
      <w:bookmarkStart w:id="34" w:name="_Toc1339556418"/>
      <w:r>
        <w:rPr>
          <w:rFonts w:hint="eastAsia" w:ascii="仿宋" w:hAnsi="仿宋" w:eastAsia="仿宋"/>
          <w:b/>
          <w:bCs/>
          <w:sz w:val="30"/>
          <w:szCs w:val="30"/>
        </w:rPr>
        <w:t>2.建设丝路文化新枢纽</w:t>
      </w:r>
      <w:bookmarkEnd w:id="34"/>
    </w:p>
    <w:p>
      <w:pPr>
        <w:adjustRightInd w:val="0"/>
        <w:snapToGrid w:val="0"/>
        <w:spacing w:after="0" w:line="560" w:lineRule="exact"/>
        <w:ind w:firstLine="600" w:firstLineChars="200"/>
        <w:rPr>
          <w:rFonts w:hint="eastAsia" w:ascii="仿宋" w:hAnsi="仿宋" w:eastAsia="仿宋"/>
          <w:sz w:val="30"/>
          <w:szCs w:val="30"/>
        </w:rPr>
      </w:pPr>
      <w:bookmarkStart w:id="35" w:name="OLE_LINK12"/>
      <w:r>
        <w:rPr>
          <w:rFonts w:hint="eastAsia" w:ascii="仿宋" w:hAnsi="仿宋" w:eastAsia="仿宋"/>
          <w:sz w:val="30"/>
          <w:szCs w:val="30"/>
        </w:rPr>
        <w:t>壮大数字文化创作业态。鼓励创作多语种跨境数字内容（如网络剧、动漫、短视频、纪录片），重点打造丝路文化、中哈民俗特色IP；支持数字演艺发展，提升剧场数字化呈现能力，推动跨境数字演艺直播常态化。完善“云端丝路”数字版权体系，优化登记存证、交易与维权服务，构建全链条版权生态。建设跨境数字文化贸易服务平台，提供市场对接、合规咨询和跨境交易支持，依托跨境电商快通道，推动影视、游戏、文创等产品高效出口至中亚和欧洲等地。（责任单位：宣传部、文旅局、文旅集团）</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打造数字文化体验场景。升级中国文化馆等载体，建设多语种数字文化体验中心，通过互动展项、虚拟现实等形式展现中哈多元文化；举办跨国电竞赛事等数字文化活动，塑造开放互动的交流品牌。同步开发丝路文化主题数字文创及纪念品，推动线上商城建设，促进数字文化与实体消费融合。（责任单位：文旅局、合管办、文旅集团）</w:t>
      </w:r>
    </w:p>
    <w:bookmarkEnd w:id="35"/>
    <w:p>
      <w:pPr>
        <w:adjustRightInd w:val="0"/>
        <w:snapToGrid w:val="0"/>
        <w:spacing w:after="0" w:line="560" w:lineRule="exact"/>
        <w:ind w:firstLine="602" w:firstLineChars="200"/>
        <w:outlineLvl w:val="2"/>
        <w:rPr>
          <w:rFonts w:hint="eastAsia" w:ascii="仿宋" w:hAnsi="仿宋" w:eastAsia="仿宋"/>
          <w:b/>
          <w:bCs/>
          <w:sz w:val="30"/>
          <w:szCs w:val="30"/>
        </w:rPr>
      </w:pPr>
      <w:bookmarkStart w:id="36" w:name="_Toc483896424"/>
      <w:r>
        <w:rPr>
          <w:rFonts w:hint="eastAsia" w:ascii="仿宋" w:hAnsi="仿宋" w:eastAsia="仿宋"/>
          <w:b/>
          <w:bCs/>
          <w:sz w:val="30"/>
          <w:szCs w:val="30"/>
        </w:rPr>
        <w:t>3.发展数字会展新经济</w:t>
      </w:r>
      <w:bookmarkEnd w:id="36"/>
    </w:p>
    <w:p>
      <w:pPr>
        <w:adjustRightInd w:val="0"/>
        <w:snapToGrid w:val="0"/>
        <w:spacing w:after="0" w:line="560" w:lineRule="exact"/>
        <w:ind w:firstLine="600" w:firstLineChars="200"/>
        <w:rPr>
          <w:rFonts w:hint="eastAsia" w:ascii="仿宋" w:hAnsi="仿宋" w:eastAsia="仿宋"/>
          <w:sz w:val="30"/>
          <w:szCs w:val="30"/>
        </w:rPr>
      </w:pPr>
      <w:bookmarkStart w:id="37" w:name="OLE_LINK13"/>
      <w:r>
        <w:rPr>
          <w:rFonts w:hint="eastAsia" w:ascii="仿宋" w:hAnsi="仿宋" w:eastAsia="仿宋"/>
          <w:sz w:val="30"/>
          <w:szCs w:val="30"/>
        </w:rPr>
        <w:t>建设智慧会展基础设施。支持国际会展中心数字化改造，集成智能签到、安防、导览、展位管理、高清直播、同声传译及能源管理等功能；同步开发线上线下融合会展平台，实现信息发布、展品展示、商贸洽谈与签约交易全流程线上化。（责任单位：商务局、合管办）</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打造跨境数字会展品牌。聚焦贸易、文旅、产业合作等领域，举办中哈数字贸易博览会、丝路文化展、跨境产业论坛等特色展会，推动“线上联展+线下分会场”联动模式，促进企业精准对接。（责任单位：商务局、外事办）</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培育数字会展服务生态。统一会展数据标准，推动与政务、物流、金融系统互联互通；招引专业服务商，提供策划、数字营销、直播、数据分析等服务；依托会展数据定期发布霍尔果斯会展经济报告，开展企业需求与行业趋势分析。</w:t>
      </w:r>
      <w:bookmarkEnd w:id="37"/>
      <w:bookmarkStart w:id="38" w:name="OLE_LINK17"/>
      <w:r>
        <w:rPr>
          <w:rFonts w:hint="eastAsia" w:ascii="仿宋" w:hAnsi="仿宋" w:eastAsia="仿宋"/>
          <w:sz w:val="30"/>
          <w:szCs w:val="30"/>
        </w:rPr>
        <w:t>（责任单位：商务局、数发局、金融办）</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39" w:name="_Toc49937697"/>
      <w:r>
        <w:rPr>
          <w:rFonts w:hint="eastAsia" w:ascii="仿宋" w:hAnsi="仿宋" w:eastAsia="仿宋"/>
          <w:b/>
          <w:bCs/>
          <w:sz w:val="30"/>
          <w:szCs w:val="30"/>
        </w:rPr>
        <w:t>4.升级重点产业数智化</w:t>
      </w:r>
      <w:bookmarkEnd w:id="39"/>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聚焦农副产品食品、汽车零部件、有色金属、生物医药四大领域，推进关键工序数控化、产线智能化和管理数字化。建设面向中亚的食品加工示范基地，打造丝绸之路经济带重要汽配数智出口基地，推进“世界药房平台”建设，搭建中药材电商云仓和创新公共服务平台，培育一批智能化标杆企业，打造“智能制造+跨境协同+数字服务”融合发展的口岸特色产业集群。（责任单位：农业农村局、工信局、商务局、市监局、农科集团）</w:t>
      </w:r>
    </w:p>
    <w:bookmarkEnd w:id="38"/>
    <w:p>
      <w:pPr>
        <w:adjustRightInd w:val="0"/>
        <w:snapToGrid w:val="0"/>
        <w:spacing w:after="0" w:line="560" w:lineRule="exact"/>
        <w:ind w:firstLine="602" w:firstLineChars="200"/>
        <w:outlineLvl w:val="1"/>
        <w:rPr>
          <w:rFonts w:hint="eastAsia" w:ascii="仿宋" w:hAnsi="仿宋" w:eastAsia="仿宋"/>
          <w:b/>
          <w:bCs/>
          <w:sz w:val="30"/>
          <w:szCs w:val="30"/>
        </w:rPr>
      </w:pPr>
      <w:bookmarkStart w:id="40" w:name="_Toc1477911772"/>
      <w:r>
        <w:rPr>
          <w:rFonts w:hint="eastAsia" w:ascii="仿宋" w:hAnsi="仿宋" w:eastAsia="仿宋"/>
          <w:b/>
          <w:bCs/>
          <w:sz w:val="30"/>
          <w:szCs w:val="30"/>
        </w:rPr>
        <w:t>（四）优化数字金融</w:t>
      </w:r>
      <w:bookmarkEnd w:id="40"/>
    </w:p>
    <w:p>
      <w:pPr>
        <w:adjustRightInd w:val="0"/>
        <w:snapToGrid w:val="0"/>
        <w:spacing w:after="0" w:line="560" w:lineRule="exact"/>
        <w:ind w:firstLine="602" w:firstLineChars="200"/>
        <w:outlineLvl w:val="2"/>
        <w:rPr>
          <w:rFonts w:hint="eastAsia" w:ascii="仿宋" w:hAnsi="仿宋" w:eastAsia="仿宋"/>
          <w:b/>
          <w:bCs/>
          <w:sz w:val="30"/>
          <w:szCs w:val="30"/>
        </w:rPr>
      </w:pPr>
      <w:bookmarkStart w:id="41" w:name="_Toc231924581"/>
      <w:bookmarkStart w:id="42" w:name="OLE_LINK18"/>
      <w:r>
        <w:rPr>
          <w:rFonts w:hint="eastAsia" w:ascii="仿宋" w:hAnsi="仿宋" w:eastAsia="仿宋"/>
          <w:b/>
          <w:bCs/>
          <w:sz w:val="30"/>
          <w:szCs w:val="30"/>
        </w:rPr>
        <w:t>1.加快金融服务数字转型</w:t>
      </w:r>
      <w:bookmarkEnd w:id="41"/>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高效协同的金融业务数字化处理体系，引导域内金融机构对传统业务流程实施全方位改造，提升服务效能。推进金融信息系统国产化替代工作。完善数字兑换体系，升级外币自助兑换机及代兑点系统，增设多语种服务模块，拓展机构接入与业务类型，提升平台响应能力。（责任单位：金融办）</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43" w:name="_Toc1001272334"/>
      <w:r>
        <w:rPr>
          <w:rFonts w:hint="eastAsia" w:ascii="仿宋" w:hAnsi="仿宋" w:eastAsia="仿宋"/>
          <w:b/>
          <w:bCs/>
          <w:sz w:val="30"/>
          <w:szCs w:val="30"/>
        </w:rPr>
        <w:t>2.拓展跨境金融业务</w:t>
      </w:r>
      <w:bookmarkEnd w:id="43"/>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建设“一站式”跨境金融服务平台，实现企业信用、贸易流、资金流一体化归集与安全使用。升级数字化支付体系，完善线上线下一体化跨境支付网络，提升跨境交易便利度与结算效率。加快本外币一体化数字账户体系建设，积极申报自由贸易账户（FT账户）试点，支持跨境资金自由结算与高效监管。探索跨境保理、融资租赁、供应链金融等数字化服务。构建区域性跨境支付清算数字平台。依托多边央行数字货币桥，大力支持数字人民币在跨境贸易、电商、旅游等场景应用，打造数字人民币消费无障碍示范区。健全跨境金融风险数字防控体系，建立覆盖事前审核、事中监测、事后追溯的全流程跨境资金数字监管系统。（责任单位：金融办、金控集团）</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44" w:name="_Toc1360147258"/>
      <w:r>
        <w:rPr>
          <w:rFonts w:hint="eastAsia" w:ascii="仿宋" w:hAnsi="仿宋" w:eastAsia="仿宋"/>
          <w:b/>
          <w:bCs/>
          <w:sz w:val="30"/>
          <w:szCs w:val="30"/>
        </w:rPr>
        <w:t>3.强化金融科技赋能</w:t>
      </w:r>
      <w:bookmarkEnd w:id="44"/>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产业+金融+科技”服务平台。围绕加工贸易、文旅等主导产业，开发订单融资、仓单质押、供应链金融等特色产业数字金融产品，提升融资精准度与普惠性。推动现实世界资产（RWA）资产数字化与通证化业务试点，探索丝路文化IP、数字文旅产品等无形资产的确权、估值与流通机制。加快资本市场数字化建设。完善霍尔果斯专板管理系统，建立上市后备企业数字资源库，开展线上上市辅导、路演与融资对接。推动跨境旅游、劳务输出、边民互市等场景化数字保险产品创新。（责任单位：金融办、金控集团）</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45" w:name="_Toc1563229943"/>
      <w:r>
        <w:rPr>
          <w:rFonts w:hint="eastAsia" w:ascii="仿宋" w:hAnsi="仿宋" w:eastAsia="仿宋"/>
          <w:b/>
          <w:bCs/>
          <w:sz w:val="30"/>
          <w:szCs w:val="30"/>
        </w:rPr>
        <w:t>4.推动数据资产转化</w:t>
      </w:r>
      <w:bookmarkEnd w:id="45"/>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一台账、两清单、三机制、四平台”数据资产化协同体系。建立全域跨境贸易、文旅、金融、口岸监管等多领域数据资产总台账，明确“可用清单”与“禁用清单”。建立数据资产协同治理机制、数据可信流通机制、数据安全保障机制。建立数据资产登记确权平台、跨境数据可信流通平台、数据资产交易服务平台和数据安全监管平台，覆盖数据资产“确权—流转—应用—监管”全链条。构建数据确权、流通交易及定价与收益分配规则机制，推动各部门数据资源有效归集与共享利用。（责任单位：数发局、发改委、金融办、网信办）</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46" w:name="_Toc608590283"/>
      <w:r>
        <w:rPr>
          <w:rFonts w:hint="eastAsia" w:ascii="仿宋" w:hAnsi="仿宋" w:eastAsia="仿宋"/>
          <w:b/>
          <w:bCs/>
          <w:sz w:val="30"/>
          <w:szCs w:val="30"/>
        </w:rPr>
        <w:t>5.构建口岸金融生态</w:t>
      </w:r>
      <w:bookmarkEnd w:id="46"/>
    </w:p>
    <w:p>
      <w:pPr>
        <w:adjustRightInd w:val="0"/>
        <w:snapToGrid w:val="0"/>
        <w:spacing w:after="0" w:line="560" w:lineRule="exact"/>
        <w:ind w:firstLine="600" w:firstLineChars="200"/>
        <w:rPr>
          <w:rFonts w:hint="eastAsia" w:ascii="仿宋" w:hAnsi="仿宋" w:eastAsia="仿宋"/>
          <w:sz w:val="30"/>
          <w:szCs w:val="30"/>
        </w:rPr>
      </w:pPr>
      <w:bookmarkStart w:id="47" w:name="_Toc230877946"/>
      <w:r>
        <w:rPr>
          <w:rFonts w:hint="eastAsia" w:ascii="仿宋" w:hAnsi="仿宋" w:eastAsia="仿宋"/>
          <w:sz w:val="30"/>
          <w:szCs w:val="30"/>
        </w:rPr>
        <w:t>打造离岸金融数字专区，构建OSA+离岸账户体系，开展跨境股权投资、资产转让、黄金现货交易等新型业务，推动离岸存贷、结算、结汇线上化试点。支持设立国际化保险经纪与代理机构，发展跨境贸易、物流、投资等领域的离岸保险与再保险业务，完善风险分散机制。</w:t>
      </w:r>
      <w:bookmarkEnd w:id="47"/>
      <w:r>
        <w:rPr>
          <w:rFonts w:hint="eastAsia" w:ascii="仿宋" w:hAnsi="仿宋" w:eastAsia="仿宋"/>
          <w:sz w:val="30"/>
          <w:szCs w:val="30"/>
        </w:rPr>
        <w:t>（牵头单位：金融办、金控集团）</w:t>
      </w:r>
    </w:p>
    <w:p>
      <w:pPr>
        <w:adjustRightInd w:val="0"/>
        <w:snapToGrid w:val="0"/>
        <w:spacing w:after="0" w:line="560" w:lineRule="exact"/>
        <w:ind w:firstLine="600" w:firstLineChars="200"/>
        <w:rPr>
          <w:rFonts w:hint="eastAsia" w:ascii="仿宋" w:hAnsi="仿宋" w:eastAsia="仿宋"/>
          <w:sz w:val="30"/>
          <w:szCs w:val="30"/>
        </w:rPr>
      </w:pPr>
      <w:bookmarkStart w:id="48" w:name="_Toc230877947"/>
      <w:r>
        <w:rPr>
          <w:rFonts w:hint="eastAsia" w:ascii="仿宋" w:hAnsi="仿宋" w:eastAsia="仿宋"/>
          <w:sz w:val="30"/>
          <w:szCs w:val="30"/>
        </w:rPr>
        <w:t>构建“离岸金融+离岸贸易+离岸产业”联动模式，为有色金属、汽配出口、跨境医药、跨境电商等提供全链条金融服务。依托“智慧口岸”和“跨境电商综合服务平台”数据资源，开发“数据贷”“货运贷”“出口电商贷”等纯信用线上融资产品，打造数据驱动的普惠金融新生态</w:t>
      </w:r>
      <w:bookmarkEnd w:id="48"/>
      <w:r>
        <w:rPr>
          <w:rFonts w:hint="eastAsia" w:ascii="仿宋" w:hAnsi="仿宋" w:eastAsia="仿宋"/>
          <w:sz w:val="30"/>
          <w:szCs w:val="30"/>
        </w:rPr>
        <w:t>。</w:t>
      </w:r>
      <w:bookmarkEnd w:id="42"/>
      <w:r>
        <w:rPr>
          <w:rFonts w:hint="eastAsia" w:ascii="仿宋" w:hAnsi="仿宋" w:eastAsia="仿宋"/>
          <w:sz w:val="30"/>
          <w:szCs w:val="30"/>
        </w:rPr>
        <w:t>（牵头单位：金融办、金控集团）</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49" w:name="_Toc1080114020"/>
      <w:r>
        <w:rPr>
          <w:rFonts w:hint="eastAsia" w:ascii="仿宋" w:hAnsi="仿宋" w:eastAsia="仿宋"/>
          <w:b/>
          <w:bCs/>
          <w:sz w:val="30"/>
          <w:szCs w:val="30"/>
        </w:rPr>
        <w:t>（五）提升数字治理</w:t>
      </w:r>
      <w:bookmarkEnd w:id="49"/>
    </w:p>
    <w:p>
      <w:pPr>
        <w:adjustRightInd w:val="0"/>
        <w:snapToGrid w:val="0"/>
        <w:spacing w:after="0" w:line="560" w:lineRule="exact"/>
        <w:ind w:firstLine="602" w:firstLineChars="200"/>
        <w:outlineLvl w:val="2"/>
        <w:rPr>
          <w:rFonts w:hint="eastAsia" w:ascii="仿宋" w:hAnsi="仿宋" w:eastAsia="仿宋"/>
          <w:b/>
          <w:bCs/>
          <w:sz w:val="30"/>
          <w:szCs w:val="30"/>
        </w:rPr>
      </w:pPr>
      <w:bookmarkStart w:id="50" w:name="_Toc2074675363"/>
      <w:r>
        <w:rPr>
          <w:rFonts w:hint="eastAsia" w:ascii="仿宋" w:hAnsi="仿宋" w:eastAsia="仿宋"/>
          <w:b/>
          <w:bCs/>
          <w:sz w:val="30"/>
          <w:szCs w:val="30"/>
        </w:rPr>
        <w:t>1.</w:t>
      </w:r>
      <w:bookmarkStart w:id="51" w:name="OLE_LINK19"/>
      <w:r>
        <w:rPr>
          <w:rFonts w:hint="eastAsia" w:ascii="仿宋" w:hAnsi="仿宋" w:eastAsia="仿宋"/>
          <w:b/>
          <w:bCs/>
          <w:sz w:val="30"/>
          <w:szCs w:val="30"/>
        </w:rPr>
        <w:t>提升城市智治水平</w:t>
      </w:r>
      <w:bookmarkEnd w:id="50"/>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进霍尔果斯“一张图”建设，提高城市管理对象的实时感知水平。统筹部署智能传感设备，依托城市物联感知平台，整合城市部件和事件数据至数字孪生平台，形成动态更新的“一张图”管理模式，实现对口岸资源、通关状态、物流轨迹的实时调度。（责任单位：城市管理局、自然资源局、公安局、交通局、住建局、口岸管理局、应急管理局、城投集团）</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提升城市管理事件及时处置能力。统一对接霍尔果斯政务服务平台、政务热线12345及边境口岸服务专线等城市管理问题发现渠道，依托“城市大脑”实现事件智能研判，推动跨部门业务线上流转、高效协同。对接基层平台及“红色代办”网格服务体系，自动派单到责任执法人员或社区网格员，提升城市管理对象的处置效率。（责任单位：城市管理局、数发局、各街道）</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52" w:name="_Toc1705123958"/>
      <w:r>
        <w:rPr>
          <w:rFonts w:hint="eastAsia" w:ascii="仿宋" w:hAnsi="仿宋" w:eastAsia="仿宋"/>
          <w:b/>
          <w:bCs/>
          <w:sz w:val="30"/>
          <w:szCs w:val="30"/>
        </w:rPr>
        <w:t>2.建设精细智慧交通</w:t>
      </w:r>
      <w:bookmarkEnd w:id="52"/>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基于大数据的智能交通调控平台。建设智能调度系统，接入公交GPS、客流监测等数据，实现线路动态优化、车辆智能调度，提升准点率与运力匹配度。整合道路通行、历史过车、车流演变趋势等数据，利用大数据分析技术，科学制定城区整体协调方案，强化区域协同，均衡路网流量，提高整体道路通行效率。（责任单位：交通局、城投公司）</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建立智慧高效的公共出行服务体系。拓展“交通+生活”场景，打造数字化出行助手，整合全市公交、客运、出租车、网约车、共享助力车、停车场等交通资源以及国际客运等城际交通的出行方式，基于公共交通智能调度、个人习惯分析、绿色出行优先，结合移动支付能力，实现出行行程预定、路径一键规划、公共交通无缝衔接、费用一键支付等功能，提升公众公共交通出行满意度。（责任单位：交通局、市场监督管理局、城市管理局）</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53" w:name="_Toc524609878"/>
      <w:r>
        <w:rPr>
          <w:rFonts w:hint="eastAsia" w:ascii="仿宋" w:hAnsi="仿宋" w:eastAsia="仿宋"/>
          <w:b/>
          <w:bCs/>
          <w:sz w:val="30"/>
          <w:szCs w:val="30"/>
        </w:rPr>
        <w:t>3.推动自然资源数智升级</w:t>
      </w:r>
      <w:bookmarkEnd w:id="53"/>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规划数据协同治理。立足“口岸城市+自贸试验区”双定位，依托已建的数据资源池和基础专题数据库，扩大多规划整合与数据共享领域，重点推进基础数据标准、数据库架构、信息平台接口和管理机制“四统一”。同时，依托城市大脑数据中台，开发多规合一信息管理平台，实现规划编制、审批、监管全流程数字化协同，不断提升规划数据共享率。（责任单位：自然资源局、数发局、发改委）</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提升自然资源与规划管理数字化水平。推动卫星遥感监测、无人机航拍、卫星定位、大数据、人工智能等技术在耕地保护管理、违法建筑管理等国土资源监管领域的应用。基于国土资源一张图，整合现有的各类规划、土地管理等系统，加快建设霍尔果斯市国土空间基础信息平台、一体化业务协同审批平台，最终形成统一的霍尔果斯智慧自然资源管理平台，实现自然资源全生命周期管理与可视化决策，显著提升霍尔果斯市自然资源管理精细化、智能化水平。（责任单位：自然资源局、住建局、农业农村局）</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54" w:name="_Toc1880682377"/>
      <w:r>
        <w:rPr>
          <w:rFonts w:hint="eastAsia" w:ascii="仿宋" w:hAnsi="仿宋" w:eastAsia="仿宋"/>
          <w:b/>
          <w:bCs/>
          <w:sz w:val="30"/>
          <w:szCs w:val="30"/>
        </w:rPr>
        <w:t>4.提高生态综合监管</w:t>
      </w:r>
      <w:bookmarkEnd w:id="54"/>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智慧化监测与数据平台。整合大气、水、土壤等监测数据，接入气象、交通、能源等部门数据，形成“天地空一体化”监测网络。推广智慧水务系统，实时监控河流、地下水位及污染源动态，提升预警能力。深化污染源智能监管，利用物联网技术对重点企业排污口、工业园区实施24小时在线监测，结合AI算法分析污染排放规律，实现精准溯源。推动环境数据与通关、物流信息联动，防范跨境污染风险。（责任单位：生态环境局、城管局、水利局、气象局、工信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创新智能化治理模式。推动AI驱动的污染预警与决策，建立环境质量预测模型，结合历史数据与气象条件，提前预判沙尘暴、臭氧污染等风险，动态调整应急管控措施。利用大数据优化“一厂一策”减排方案，推动非现场执法与信用监管，通过无人机巡查、在线监测数据自动分析，减少现场检查频次，完善企业环保信用评价体系，对守信企业减少执法干扰，对失信企业实施联合惩戒。（责任单位：生态环境局、气象局、市场监督管理局、应急管理局、城市管理局）</w:t>
      </w:r>
    </w:p>
    <w:bookmarkEnd w:id="51"/>
    <w:p>
      <w:pPr>
        <w:adjustRightInd w:val="0"/>
        <w:snapToGrid w:val="0"/>
        <w:spacing w:after="0" w:line="560" w:lineRule="exact"/>
        <w:ind w:firstLine="602" w:firstLineChars="200"/>
        <w:outlineLvl w:val="1"/>
        <w:rPr>
          <w:rFonts w:hint="eastAsia" w:ascii="仿宋" w:hAnsi="仿宋" w:eastAsia="仿宋"/>
          <w:b/>
          <w:bCs/>
          <w:sz w:val="30"/>
          <w:szCs w:val="30"/>
        </w:rPr>
      </w:pPr>
      <w:bookmarkStart w:id="55" w:name="_Toc1556458991"/>
      <w:r>
        <w:rPr>
          <w:rFonts w:hint="eastAsia" w:ascii="仿宋" w:hAnsi="仿宋" w:eastAsia="仿宋"/>
          <w:b/>
          <w:bCs/>
          <w:sz w:val="30"/>
          <w:szCs w:val="30"/>
        </w:rPr>
        <w:t>（六）提升数字政务</w:t>
      </w:r>
      <w:bookmarkEnd w:id="55"/>
    </w:p>
    <w:p>
      <w:pPr>
        <w:adjustRightInd w:val="0"/>
        <w:snapToGrid w:val="0"/>
        <w:spacing w:after="0" w:line="560" w:lineRule="exact"/>
        <w:ind w:firstLine="602" w:firstLineChars="200"/>
        <w:outlineLvl w:val="2"/>
        <w:rPr>
          <w:rFonts w:hint="eastAsia" w:ascii="仿宋" w:hAnsi="仿宋" w:eastAsia="仿宋"/>
          <w:b/>
          <w:bCs/>
          <w:sz w:val="30"/>
          <w:szCs w:val="30"/>
        </w:rPr>
      </w:pPr>
      <w:bookmarkStart w:id="56" w:name="_Toc1791157012"/>
      <w:r>
        <w:rPr>
          <w:rFonts w:hint="eastAsia" w:ascii="仿宋" w:hAnsi="仿宋" w:eastAsia="仿宋"/>
          <w:b/>
          <w:bCs/>
          <w:sz w:val="30"/>
          <w:szCs w:val="30"/>
        </w:rPr>
        <w:t>1.推进政务跨域协同</w:t>
      </w:r>
      <w:bookmarkEnd w:id="56"/>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大力推动相关部门办事流程整合。依托统一协同调用中枢，精准开展事项办理信息、事项别名、常见咨询问题等信息的梳理、确认与汇总。建立高频业务动态分析机制，通过挖掘办事频次、堵点数据优化流程，对于跨部门事项通过系统内部流转实现“一次提交、并行办理”。基于数据分析优化政务流程，实现数据共享替代材料重复提交。（责任单位：数发局、各相关业务部门）</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积极推进“数字霍尔果斯”建设。根据自治区和伊犁州政府推进政府数字化转型“一网通办”“一网协同”“一网统管”的要求，改造自建业务系统，优化业务审批流程，积极推进所有已建、在建和规划的窗口应用统一集成融入到“数字霍尔果斯”相关公共服务平台，实现一个口子服务，一个平台协同，汇聚全量办件数据，完成办件信息完整、实时汇聚，实现办件信息“零异常”，实现提升政务服务和便民服务水平。（责任单位：数发局）</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5"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专栏5</w:t>
            </w:r>
            <w:r>
              <w:rPr>
                <w:rFonts w:ascii="Calibri" w:hAnsi="Calibri" w:eastAsia="仿宋" w:cs="Calibri"/>
                <w:sz w:val="24"/>
              </w:rPr>
              <w:t> </w:t>
            </w:r>
            <w:r>
              <w:rPr>
                <w:rFonts w:hint="eastAsia" w:ascii="仿宋" w:hAnsi="仿宋" w:eastAsia="仿宋" w:cs="Times New Roman"/>
                <w:sz w:val="24"/>
              </w:rPr>
              <w:t xml:space="preserve"> 政务服务跨部门整合工程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5" w:type="dxa"/>
            <w:tcMar>
              <w:top w:w="0" w:type="dxa"/>
              <w:left w:w="108" w:type="dxa"/>
              <w:bottom w:w="0" w:type="dxa"/>
              <w:right w:w="108" w:type="dxa"/>
            </w:tcMar>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建立统一的数据协同调用中枢，打通“数据孤岛”。制定统一的数据接口标准、元数据规范、目录体系，确保不同部门系统之间数据可识别、可交换、可共享。推行“数据共享责任清单”制度，明确各部门数据共享的范围、频次、更新机制，纳入绩效考核。</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以“场景驱动”推进业务协同，倒逼数据整合。聚焦高频民生事项，建立跨部门“一件事”工作体系。以“一表申请、一网受理、并联审批”为目标，重构业务流程，推动后台数据自动调用、核验。建立“数据调用—业务协同—结果反馈”闭环机制，实现从前端服务到后端治理的全链条打通。</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构建“数据中台+业务中台”双轮驱动架构。建设政务数据中台，集中归集人口、法人、信用、空间地理等基础数据，统一清洗、建模、服务化封装。建设业务中台，将高频审批、身份认证、电子证照、支付缴费等通用能力模块化，供各部门系统调用。推广“数据沙箱”机制，支持第三方机构在授权范围内使用脱敏数据开展分析与服务创新。</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（牵头单位：数发局；责任单位：各职能部门）</w:t>
            </w:r>
          </w:p>
        </w:tc>
      </w:tr>
    </w:tbl>
    <w:p>
      <w:pPr>
        <w:adjustRightInd w:val="0"/>
        <w:snapToGrid w:val="0"/>
        <w:spacing w:after="0" w:line="560" w:lineRule="exact"/>
        <w:ind w:firstLine="602" w:firstLineChars="200"/>
        <w:outlineLvl w:val="2"/>
        <w:rPr>
          <w:rFonts w:hint="eastAsia" w:ascii="仿宋" w:hAnsi="仿宋" w:eastAsia="仿宋"/>
          <w:b/>
          <w:bCs/>
          <w:sz w:val="30"/>
          <w:szCs w:val="30"/>
        </w:rPr>
      </w:pPr>
      <w:bookmarkStart w:id="57" w:name="_Toc983280445"/>
      <w:r>
        <w:rPr>
          <w:rFonts w:hint="eastAsia" w:ascii="仿宋" w:hAnsi="仿宋" w:eastAsia="仿宋"/>
          <w:b/>
          <w:bCs/>
          <w:sz w:val="30"/>
          <w:szCs w:val="30"/>
        </w:rPr>
        <w:t>2.推动政务智能升级</w:t>
      </w:r>
      <w:bookmarkEnd w:id="57"/>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建设政务问题管理分析系统。通过各业务部门知识整合、知识推送、智能搜索等，自动判定市民诉求归属类别。同时，通过分析市民的热点问题、常见问题，对已有的智能知识库进行有针对性的优化改造，提升答复准确度。（责任单位：数发局、电子政务办）</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开发AI智能导办系统。应用自然语言处理技术动态分析办事需求，建设基于国产大模型的智能语音应答机器人系统，加快智能语音客服的推广应用，提供7×24小时多语种智能咨询、查询、办理、投诉、用户推荐等服务。（责任单位：数发局、政务服务中心</w:t>
      </w:r>
      <w:r>
        <w:rPr>
          <w:rFonts w:hint="eastAsia" w:ascii="仿宋" w:hAnsi="仿宋" w:eastAsia="仿宋"/>
          <w:sz w:val="30"/>
          <w:szCs w:val="30"/>
          <w:lang w:eastAsia="zh-CN"/>
        </w:rPr>
        <w:t>、</w:t>
      </w:r>
      <w:r>
        <w:rPr>
          <w:rFonts w:hint="eastAsia" w:ascii="仿宋" w:hAnsi="仿宋" w:eastAsia="仿宋"/>
          <w:sz w:val="30"/>
          <w:szCs w:val="30"/>
        </w:rPr>
        <w:t>各相关业务部门）</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加快自助服务终端升级。在已有终端部署行为感知系统，对高频滞留页面自动触发</w:t>
      </w:r>
      <w:r>
        <w:rPr>
          <w:rFonts w:ascii="Courier New" w:hAnsi="Courier New" w:eastAsia="仿宋" w:cs="Courier New"/>
          <w:sz w:val="30"/>
          <w:szCs w:val="30"/>
        </w:rPr>
        <w:t>‌</w:t>
      </w:r>
      <w:r>
        <w:rPr>
          <w:rFonts w:hint="eastAsia" w:ascii="仿宋" w:hAnsi="仿宋" w:eastAsia="仿宋"/>
          <w:sz w:val="30"/>
          <w:szCs w:val="30"/>
        </w:rPr>
        <w:t>语音引导+图文弹窗</w:t>
      </w:r>
      <w:r>
        <w:rPr>
          <w:rFonts w:ascii="Courier New" w:hAnsi="Courier New" w:eastAsia="仿宋" w:cs="Courier New"/>
          <w:sz w:val="30"/>
          <w:szCs w:val="30"/>
        </w:rPr>
        <w:t>‌</w:t>
      </w:r>
      <w:r>
        <w:rPr>
          <w:rFonts w:hint="eastAsia" w:ascii="仿宋" w:hAnsi="仿宋" w:eastAsia="仿宋"/>
          <w:sz w:val="30"/>
          <w:szCs w:val="30"/>
        </w:rPr>
        <w:t>；对老年群体、外籍人员等特殊用户，智能识别后</w:t>
      </w:r>
      <w:r>
        <w:rPr>
          <w:rFonts w:ascii="Courier New" w:hAnsi="Courier New" w:eastAsia="仿宋" w:cs="Courier New"/>
          <w:sz w:val="30"/>
          <w:szCs w:val="30"/>
        </w:rPr>
        <w:t>‌</w:t>
      </w:r>
      <w:r>
        <w:rPr>
          <w:rFonts w:hint="eastAsia" w:ascii="仿宋" w:hAnsi="仿宋" w:eastAsia="仿宋"/>
          <w:sz w:val="30"/>
          <w:szCs w:val="30"/>
        </w:rPr>
        <w:t>自动切换适配界面</w:t>
      </w:r>
      <w:r>
        <w:rPr>
          <w:rFonts w:ascii="Courier New" w:hAnsi="Courier New" w:eastAsia="仿宋" w:cs="Courier New"/>
          <w:sz w:val="30"/>
          <w:szCs w:val="30"/>
        </w:rPr>
        <w:t>‌</w:t>
      </w:r>
      <w:r>
        <w:rPr>
          <w:rFonts w:hint="eastAsia" w:ascii="仿宋" w:hAnsi="仿宋" w:eastAsia="仿宋"/>
          <w:sz w:val="30"/>
          <w:szCs w:val="30"/>
        </w:rPr>
        <w:t>；每日生成服务热力图，自动预警终端服务盲区，由相关部门定向派发“流动服务车”上门服务。（责任单位：数发局、政务服务中心、各相关业务部门）</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58" w:name="_Toc164691947"/>
      <w:r>
        <w:rPr>
          <w:rFonts w:hint="eastAsia" w:ascii="仿宋" w:hAnsi="仿宋" w:eastAsia="仿宋"/>
          <w:b/>
          <w:bCs/>
          <w:sz w:val="30"/>
          <w:szCs w:val="30"/>
        </w:rPr>
        <w:t>3.推动数据驱动政务服务</w:t>
      </w:r>
      <w:bookmarkEnd w:id="58"/>
      <w:r>
        <w:rPr>
          <w:rFonts w:hint="eastAsia" w:ascii="仿宋" w:hAnsi="仿宋" w:eastAsia="仿宋"/>
          <w:b/>
          <w:bCs/>
          <w:sz w:val="30"/>
          <w:szCs w:val="30"/>
        </w:rPr>
        <w:t xml:space="preserve">           </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基于数据分析构建“主动服务”模式。依托统一协同调用中枢，整合社保、医保、税务等各类数据，建立个人与企业数字画像。为外贸企业自动推送关税优惠、出口退税政策；为外籍务工人员定向提供居留许可续期提醒服务，实现“政策找人”。（责任单位：数发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 xml:space="preserve">基于数据分析推行“无感智办”服务模式。加强语料训练，通过AI数智人集成高频事项，持续优化用户意图识别。同时利用历史办件数据训练审批模型，在企业开办、项目审批等领域实现“加速度”。（责任单位：数发局、各相关业务部门、政务服务中心）  </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59" w:name="_Toc2117015565"/>
      <w:r>
        <w:rPr>
          <w:rFonts w:hint="eastAsia" w:ascii="仿宋" w:hAnsi="仿宋" w:eastAsia="仿宋"/>
          <w:b/>
          <w:bCs/>
          <w:sz w:val="30"/>
          <w:szCs w:val="30"/>
        </w:rPr>
        <w:t>4.优化“指尖办”办事效能</w:t>
      </w:r>
      <w:bookmarkEnd w:id="59"/>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拓展跨境服务场景。在现有平台基础上，集成跨境贸易、投资、法律咨询等功能，增设“跨境电子合同签署”“中俄双语政策解读”模块，通过区块链技术实现跨境电子证照互认，覆盖商品通关、跨境支付等高频跨境事项。升级“云港·霍数通”通关便利化平台，集成签证办理、关税计算等功能。推广“一码通关”跨境应用。（责任单位：商务局、司法局、口岸管理局、外事办、霍尔果斯海关）</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建立针对外籍人员信息服务的统一入口。根据在霍外籍人员生活工作方面的需求，聚合日常生活、商贸会展、政务服务、个人信用等方面的信息，提供出入境、外贸办事、涉外纠纷调解等方面的服务，打造一站式服务平台，为外籍人员在霍工作生活提供便利化服务，提升外籍人员对霍尔果斯宜居营商的获得感。（责任单位：数发局、公安局）</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60" w:name="_Toc1280846256"/>
      <w:r>
        <w:rPr>
          <w:rFonts w:hint="eastAsia" w:ascii="仿宋" w:hAnsi="仿宋" w:eastAsia="仿宋"/>
          <w:b/>
          <w:bCs/>
          <w:sz w:val="30"/>
          <w:szCs w:val="30"/>
        </w:rPr>
        <w:t>（七）优化数字便民</w:t>
      </w:r>
      <w:bookmarkEnd w:id="60"/>
    </w:p>
    <w:p>
      <w:pPr>
        <w:adjustRightInd w:val="0"/>
        <w:snapToGrid w:val="0"/>
        <w:spacing w:after="0" w:line="560" w:lineRule="exact"/>
        <w:ind w:firstLine="602" w:firstLineChars="200"/>
        <w:outlineLvl w:val="2"/>
        <w:rPr>
          <w:rFonts w:hint="eastAsia" w:ascii="仿宋" w:hAnsi="仿宋" w:eastAsia="仿宋"/>
          <w:b/>
          <w:bCs/>
          <w:sz w:val="30"/>
          <w:szCs w:val="30"/>
        </w:rPr>
      </w:pPr>
      <w:bookmarkStart w:id="61" w:name="_Toc1336180392"/>
      <w:r>
        <w:rPr>
          <w:rFonts w:hint="eastAsia" w:ascii="仿宋" w:hAnsi="仿宋" w:eastAsia="仿宋"/>
          <w:b/>
          <w:bCs/>
          <w:sz w:val="30"/>
          <w:szCs w:val="30"/>
        </w:rPr>
        <w:t>1.打造安全智慧社区</w:t>
      </w:r>
      <w:bookmarkEnd w:id="61"/>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深化城市大脑社区应用。依托已建成的大数据中心和统一协同调用中枢，开发社区级数字孪生系统。（责任单位：数发局、民政局、工信局、城市管理局、各乡街道）</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打造社区商企服务体系。整合社区商户经营数据，结合企业信用、用工需求等多元数据，构建商企动态画像库。开发“免申即享”平台，自动匹配企业资质与扶持政策，实现惠企资金直达。运用时空大数据识别消费盲区，定向引导便利店、餐饮等便民业态布局。搭建企业供需对接平台，基于产能、供应链数据智能匹配上下游合作，激活街区经济内循环。（责任单位：商务局、市场监督管理局、工信局、各乡街道）</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提升社区服务效能。在“指尖办”平台现有功能（一键叫车、物业缴费等）基础上，新增社区团购、智能药柜及养老助餐模块，满足居民日常高频需求。利用相关供应链数据，通过算法优化生鲜配送路径，压缩社区电商配送时效，并覆盖边境牧区行政村。同步整合客流热力与物流信息，动态调整服务供给，确保便民生态弹性适配多元场景。（责任单位：组织部、卫健委、民政局、交通局、</w:t>
      </w:r>
      <w:r>
        <w:rPr>
          <w:rFonts w:hint="eastAsia" w:ascii="仿宋" w:hAnsi="仿宋" w:eastAsia="仿宋"/>
          <w:sz w:val="30"/>
          <w:szCs w:val="30"/>
          <w:lang w:eastAsia="zh-CN"/>
        </w:rPr>
        <w:t>市场监督管理局、</w:t>
      </w:r>
      <w:r>
        <w:rPr>
          <w:rFonts w:hint="eastAsia" w:ascii="仿宋" w:hAnsi="仿宋" w:eastAsia="仿宋"/>
          <w:sz w:val="30"/>
          <w:szCs w:val="30"/>
        </w:rPr>
        <w:t>各乡街道）</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62" w:name="_Toc542186012"/>
      <w:r>
        <w:rPr>
          <w:rFonts w:hint="eastAsia" w:ascii="仿宋" w:hAnsi="仿宋" w:eastAsia="仿宋"/>
          <w:b/>
          <w:bCs/>
          <w:sz w:val="30"/>
          <w:szCs w:val="30"/>
        </w:rPr>
        <w:t>2.提升智慧健康服务</w:t>
      </w:r>
      <w:bookmarkEnd w:id="62"/>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区域医疗一体化建设。继续推进医共体信息化平台建设，通过共享云平台整合市域内医疗资源，实现基础检查、上级诊断的模式。开发区域数据统计分析，对区域内医疗资源、慢性病等基础业务数据进行可视化分析，为管理者在医疗资源调配、公共卫生和决策制定上提供精准的数据支撑。（责任单位：卫健委）发展跨境数字医疗服务。积极利用霍尔果斯的区位与政策优势，在自贸试验区框架下积极探索跨境医疗服务。探索与哈萨克斯坦等周边国家的医疗机构建立跨境远程会诊协作机制，尝试开展病例讨论、影像会诊等合作，为未来建立常态化的跨境数字医疗服务网络积累经验。（责任单位：卫健委、自贸办、市场监督管理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加快中医药服务的数字化转型。全力推动“霍尔果斯中哈传统医学中心”数字化运营转型升级，支持中医远程诊疗、健康咨询、中医特色疗法演示等服务。在中医药服务中积极推广和应用数字化技术。利用移动互联网开展家庭医生中医药签约服务，建设中医健康宣教数字平台，普及中医药健康知识。（责任单位：卫健委、融媒体中心、市场监督管理局）</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5" w:type="dxa"/>
            <w:tcBorders>
              <w:top w:val="single" w:color="000000" w:sz="6" w:space="0"/>
              <w:left w:val="single" w:color="000000" w:sz="6" w:space="0"/>
              <w:bottom w:val="single" w:color="000000" w:sz="6" w:space="0"/>
              <w:right w:val="single" w:color="000000" w:sz="6" w:space="0"/>
            </w:tcBorders>
            <w:tcMar>
              <w:top w:w="0" w:type="dxa"/>
              <w:left w:w="108" w:type="dxa"/>
              <w:bottom w:w="0" w:type="dxa"/>
              <w:right w:w="108" w:type="dxa"/>
            </w:tcMar>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专栏6</w:t>
            </w:r>
            <w:r>
              <w:rPr>
                <w:rFonts w:ascii="Calibri" w:hAnsi="Calibri" w:eastAsia="仿宋" w:cs="Calibri"/>
                <w:sz w:val="24"/>
              </w:rPr>
              <w:t> </w:t>
            </w:r>
            <w:r>
              <w:rPr>
                <w:rFonts w:hint="eastAsia" w:ascii="仿宋" w:hAnsi="仿宋" w:eastAsia="仿宋" w:cs="Times New Roman"/>
                <w:sz w:val="24"/>
              </w:rPr>
              <w:t xml:space="preserve"> 霍尔果斯智慧健康服务工程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5" w:type="dxa"/>
            <w:tcMar>
              <w:top w:w="0" w:type="dxa"/>
              <w:left w:w="108" w:type="dxa"/>
              <w:bottom w:w="0" w:type="dxa"/>
              <w:right w:w="108" w:type="dxa"/>
            </w:tcMar>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整合医疗资源数据库。建立居民电子健康档案库，覆盖慢性病管理，疫苗接种，体检报告等核心数据，实现跨机构调阅与动态更新。</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AI赋能基层健康管理。在已建成的智慧平台基础上，开发AI健康助手，提供24小时在线问诊、用药提醒、康复指导等功能。（牵头单位：卫健委；责任单位：数发局、市场监督管理局、各乡街道 ）</w:t>
            </w:r>
          </w:p>
        </w:tc>
      </w:tr>
    </w:tbl>
    <w:p>
      <w:pPr>
        <w:adjustRightInd w:val="0"/>
        <w:snapToGrid w:val="0"/>
        <w:spacing w:after="0" w:line="560" w:lineRule="exact"/>
        <w:ind w:firstLine="602" w:firstLineChars="200"/>
        <w:outlineLvl w:val="2"/>
        <w:rPr>
          <w:rFonts w:hint="eastAsia" w:ascii="仿宋" w:hAnsi="仿宋" w:eastAsia="仿宋"/>
          <w:b/>
          <w:bCs/>
          <w:sz w:val="30"/>
          <w:szCs w:val="30"/>
        </w:rPr>
      </w:pPr>
      <w:bookmarkStart w:id="63" w:name="_Toc261148997"/>
      <w:r>
        <w:rPr>
          <w:rFonts w:hint="eastAsia" w:ascii="仿宋" w:hAnsi="仿宋" w:eastAsia="仿宋"/>
          <w:b/>
          <w:bCs/>
          <w:sz w:val="30"/>
          <w:szCs w:val="30"/>
        </w:rPr>
        <w:t>3.发展智慧教育服务</w:t>
      </w:r>
      <w:bookmarkEnd w:id="63"/>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打造数字化教师队伍。建立教师综合发展评价体系，通过教学行为数据评估专业发展水平，构建教师能力画像。联合相关高校开展云端教研，通过每年定制培训课程，提升教师信息化教学能力。推广智能教学辅助工具，开发AI备课助手，建立虚拟教研室支持教师跨校协同备课，促进优质师资共享。（责任单位：教育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优化教育资源供给。结合跨境口岸特色，打造“一带一路”语言文化学习中心。联通政府、企业、高校资源，构建“红色联创学习平台”，上线跨境贸易知识等课程。深化多语种资源建设，依托智慧教育云平台，解决偏远学校“开不齐课”问题，缩小城乡教育差距。（责任单位：教育局）</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64" w:name="_Toc819754453"/>
      <w:r>
        <w:rPr>
          <w:rFonts w:hint="eastAsia" w:ascii="仿宋" w:hAnsi="仿宋" w:eastAsia="仿宋"/>
          <w:b/>
          <w:bCs/>
          <w:sz w:val="30"/>
          <w:szCs w:val="30"/>
        </w:rPr>
        <w:t>4.发展智慧医养服务</w:t>
      </w:r>
      <w:bookmarkEnd w:id="64"/>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深化数据驱动的精准服务。整合医院、社区、养老机构的老年人健康数据，建立老年人健康数字画像，利用大数据平台对数据进行分析，提前预测老年人的健康风险，为个性化健康管理提供依据。通过大数据平台实现医疗与养老数据的互联互通，为老年人提供连续、协同的医疗服务和养老服务。（责任单位：卫健委、医保局、民政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创新跨境文化养老模式。搭建“丝路银龄”社交平台，开发支持多语种的老年人社交APP。通过大数据分析用户行为，智能推荐跨境文化交流活动，缓解边境老人孤独感。建设“数字丝绸之路”老年教育中心，利用现有智慧教育云平台资源开设相关文化课程。（责任单位：文旅局、教育局、民政局）</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65" w:name="_Toc1377997949"/>
      <w:r>
        <w:rPr>
          <w:rFonts w:hint="eastAsia" w:ascii="仿宋" w:hAnsi="仿宋" w:eastAsia="仿宋"/>
          <w:b/>
          <w:bCs/>
          <w:sz w:val="30"/>
          <w:szCs w:val="30"/>
        </w:rPr>
        <w:t>（八）提升数字贸易</w:t>
      </w:r>
      <w:bookmarkEnd w:id="65"/>
    </w:p>
    <w:p>
      <w:pPr>
        <w:adjustRightInd w:val="0"/>
        <w:snapToGrid w:val="0"/>
        <w:spacing w:after="0" w:line="560" w:lineRule="exact"/>
        <w:ind w:firstLine="602" w:firstLineChars="200"/>
        <w:outlineLvl w:val="2"/>
        <w:rPr>
          <w:rFonts w:hint="eastAsia" w:ascii="仿宋" w:hAnsi="仿宋" w:eastAsia="仿宋"/>
          <w:b/>
          <w:bCs/>
          <w:sz w:val="30"/>
          <w:szCs w:val="30"/>
        </w:rPr>
      </w:pPr>
      <w:bookmarkStart w:id="66" w:name="_Toc1214946200"/>
      <w:r>
        <w:rPr>
          <w:rFonts w:hint="eastAsia" w:ascii="仿宋" w:hAnsi="仿宋" w:eastAsia="仿宋"/>
          <w:b/>
          <w:bCs/>
          <w:sz w:val="30"/>
          <w:szCs w:val="30"/>
        </w:rPr>
        <w:t>1.打造一站式外贸综合服务平台</w:t>
      </w:r>
      <w:bookmarkEnd w:id="66"/>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创建数字化外贸综合服务平台。聚焦跨境贸易、政务服务、企业服务、民生服务四大核心场景，打通数据壁垒，构建“资源+服务+数据”三位一体的集成服务体系。利用数字平台优势实现外贸企业一次认证、全网通办、业务协同，推动外贸企业办事由“最多跑一次”向“零跑动”转变。（责任单位：商务局、口岸管理局、市场监督管理局、数发局、亚欧商贸物流集团）</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利用人工智能技术赋能外贸发展。利用平台的信息、资源优势，运用人工智能技术为“海外市场画像”、为“产品画像”、为“企业画像”，动态追踪重点市场消费趋势、政策法规及风险信息，精准推送贸易机会，提供企业提供外贸全流程咨询服务。（牵头单位：商务局、数发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接入市场专业服务。平台接入第三方涉外服务资源，打造覆盖物流、海外仓、金融、保险、法律服务、知识产权保护、人才等综合服务生态圈，建立网络化联络机制，延伸服务触角，全面提升外贸专业服务能力。（责任单位：商务局、数发局、金融办、司法局、金控集团）</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6" w:type="dxa"/>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专栏7  一站式外贸综合服务平台建设工程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服务平台由政府主导，专业化、市场化运营。政府监管、国企控股运营，保障数字化资产投入，解决服务商资源可信度问题。服务平台实现“一次注册、多重服务”，全方位满足中小企业需求。推动各类外贸服务资源与信息向平台汇聚，形成数字资产。利用大数据技术为外贸“精准画像”，智能辅助决策，有效解决外贸服务中的信息不对称、服务质量不高等难题。（牵头单位：商务局、数发局；责任单位：口岸管理局、金融办、税务局、市场监督管理局、金控集团、亚欧商贸物流集团等）</w:t>
            </w:r>
          </w:p>
        </w:tc>
      </w:tr>
    </w:tbl>
    <w:p>
      <w:pPr>
        <w:adjustRightInd w:val="0"/>
        <w:snapToGrid w:val="0"/>
        <w:spacing w:after="0" w:line="560" w:lineRule="exact"/>
        <w:ind w:firstLine="602" w:firstLineChars="200"/>
        <w:outlineLvl w:val="2"/>
        <w:rPr>
          <w:rFonts w:hint="eastAsia" w:ascii="仿宋" w:hAnsi="仿宋" w:eastAsia="仿宋"/>
          <w:b/>
          <w:bCs/>
          <w:sz w:val="30"/>
          <w:szCs w:val="30"/>
        </w:rPr>
      </w:pPr>
      <w:bookmarkStart w:id="67" w:name="_Toc39633320"/>
      <w:r>
        <w:rPr>
          <w:rFonts w:hint="eastAsia" w:ascii="仿宋" w:hAnsi="仿宋" w:eastAsia="仿宋"/>
          <w:b/>
          <w:bCs/>
          <w:sz w:val="30"/>
          <w:szCs w:val="30"/>
        </w:rPr>
        <w:t>2.提升智慧口岸服务</w:t>
      </w:r>
      <w:bookmarkEnd w:id="67"/>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云港·霍数通”服务平台升级建设。以通关便利、高效物流、智慧管理及风险防控等核心应用为基础，不断丰富、完善智慧口岸服务体系。以大数据服务为支撑，发展智慧报关、商品智能归类、单证智能生成、智能校验、智慧税则等特色服务。构建口岸服务大模型，为企业提供多语种、多场景、全天候的在线检索、智能解答与风险预警服务。（责任单位：口岸管理局、商务局、综保区管委会、合管办）</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口岸设施智能化改造。部署物联网设备、智能感知系统，推动口岸数字基础设施升级。推动5G智能单兵设备、非接触式和非侵入式执法设备、警用航空器、AI视频设备等应用，全面提升口岸管理能力，提升口岸作业效率。（责任单位：口岸管理局、霍尔果斯海关、出入境边防检查站）</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提升公路口岸智慧服务。利用人工智能技术优化车辆出境预约安排，合理规划车辆出境时间，提升公路口岸车辆通行效率。打造智能化电子卡口系统，实现出境车辆智能识别、智能验放、智能监管等服务功能。探索口岸无人驾驶自动通关模式，缩短通关时间，降低运输成本。（责任单位：口岸管理局、霍尔果斯海关、交通局、综保区管委会）</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68" w:name="_Toc2123180928"/>
      <w:r>
        <w:rPr>
          <w:rFonts w:hint="eastAsia" w:ascii="仿宋" w:hAnsi="仿宋" w:eastAsia="仿宋"/>
          <w:b/>
          <w:bCs/>
          <w:sz w:val="30"/>
          <w:szCs w:val="30"/>
        </w:rPr>
        <w:t>3.发展智慧物流服务</w:t>
      </w:r>
      <w:bookmarkEnd w:id="68"/>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发展国际物流数据综合服务。依托国家物流数据开放互联试点建设，探索跨境数据融合应用，推动国际物流全程追踪和降本增效，实现数据要素赋能商贸发展。推动跨境物流数据互联互通，构建跨境物流数据流动标准，探索跨境物流数据流动监管模式，打造全国陆路口岸物流数据跨境流动创新示范标杆。（责任单位：发改委、商务局、数发局、口岸管理局、交通局、亚欧商贸物流集团）</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物流园区智慧化改造。依托陆上边境口岸型国家物流枢纽项目，建设物流园区智慧网络系统，提供物流全链条可视化追踪服务，提供智慧化物流服务。推动自动化立体仓库、无人仓储设备、物流机器人等新型物流装备应用，提升园区物流仓储效率，扩展基础设施承载能力。（责任单位：数发局、口岸管理局、商务局、交通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数字冷链物流服务发展。依托国家骨干冷链物流基地建设，发展数字化冷链物流服务，形成从生产端到消费端全覆盖的冷链物流服务体系。开发冷链物流预约程序，推广移动端预约应用，提前调度资源，推动冷链物流资源合理利用。推动冷链物流智慧运营管理，开发中央调度系统，精准调控冷链物流的每一个环节，运用大数据、算法进行冷链配送线路规划、库存预测，提升冷链物流效率水平。推动畜产品、中药材、花卉等冷链物流数字化服务建设，助力特色产业集聚发展。（责任单位：商务局、交通局、市场监督管理局、数发局）</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69" w:name="_Toc481563186"/>
      <w:r>
        <w:rPr>
          <w:rFonts w:hint="eastAsia" w:ascii="仿宋" w:hAnsi="仿宋" w:eastAsia="仿宋"/>
          <w:b/>
          <w:bCs/>
          <w:sz w:val="30"/>
          <w:szCs w:val="30"/>
        </w:rPr>
        <w:t>4.完善跨境电商服务</w:t>
      </w:r>
      <w:bookmarkEnd w:id="69"/>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发展跨境电商物流创新服务。推动跨境电商出口拼箱、采购拼箱服务发展，帮助企业节约物流成本。鼓励企业发展“门到门”国际物流服务，助力电商企业解决跨境物流难题。探索跨境电商与国际公路运输（TIR）结合创新模式，加快审批，实现“一次申报、全程通关”的跨境物流链路。（责任单位：商务局、综保区管委会、合管办、金融办、市场监督管理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发展跨境电商金融服务。提升跨境交易结算便利化服务，提高跨境支付效率,降低交易成本。鼓励金融企业基于大数据分析为跨境电商企业提供动态授信，降低跨境电商企业资金成本。发展跨境电商企业汇率避险服务，优化资产配置与管理。（责任单位：商务局、金融办、市场监督管理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发展跨境电商直播产业。大力招引跨境直播电商，打造中亚直播电商基地，打响跨境电商国际直播品牌。鼓励“直播+平台+跨境电商”的融合发展，支持跨境电商企业与专业服务机构开展合作，探索“保税仓+直播”“体验店+直播”等新模式。探索直播、短视频等可视化营销模式，鼓励企业应用数字人直播等新技术。支持跨境电商海外推广，提供境外展销服务，借助社交媒体、第三方平台、搜索引擎等开展自主品牌营销。（责任单位：商务局、综保区管委会、合管办）</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70" w:name="_Toc530964246"/>
      <w:r>
        <w:rPr>
          <w:rFonts w:hint="eastAsia" w:ascii="仿宋" w:hAnsi="仿宋" w:eastAsia="仿宋"/>
          <w:b/>
          <w:bCs/>
          <w:sz w:val="30"/>
          <w:szCs w:val="30"/>
        </w:rPr>
        <w:t>5.发展智慧合作中心服务</w:t>
      </w:r>
      <w:bookmarkEnd w:id="70"/>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中哈合作中心联网监管平台2.0升级建设。组建合作中心智慧化改造专项工作小组，推进合作中心全域智慧化改造。推动中哈双方入区人员、货物、消费信息的共采共享，实现双方数据的可传输、可对接，推动合作中心智慧化运营管理。推动智能闸机、智能面部识别、红外对射装置等先进设备应用，实现“无感通关”，提升通关效率。（责任单位：合管办、合作中心海关、数发局、公安局、市场监督管理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创建合作中心线上公共服务平台。整合合作中心各项服务资源，建设涵盖商业信息、商旅、会展、结算、导游等服务于一体的线上公共服务平台。依托平台实时发布市场最新动态，助力商户迅速捕捉商机，拓展市场版图。推动合作中心集采集运服务发展，为商户、游客提供高效、高质的展销服务、物流服务。推动合作中心本外币一体化结算服务，降低汇兑成本，提升资金使用效率。推动多语言导游服务发展，开发合作中心智能导览程序，方便游客、参展商便捷高效购物。（责任单位：合管办、数发局、文旅局、金融办、商务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综保区与合作中心智慧化联动。利用数字技术手段简化综保区商品进入合作中心流程，让综保区商品依据企业需求及时进入合作中心进行销售，降低企业在合作中心的物流成本与仓储成本。（责任单位：合管办、综保区管委会）</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6" w:type="dxa"/>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专栏8  中哈合作中心联网监管平台2.0建设工程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推动合作中心智能监管设施升级。以“物联网+区块链＋云计算”为技术支撑，搭建数字孪生平台，构建起与物理园区实时映射、动态交互的虚拟模型，为合作中心智慧管理提供“毫米级”的数据支撑。</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以数字治理提升合作中心管理效率。推动合作中心中哈双方通关设施的互联互通，利用人工智能技术、生物识别技术、区块链技术、加密算法等对合作中心进出货物、物品、游客实行精细化监管，优化通关通道管理，提升人员、货物通关效率，充分释放合作中心发展潜力。（牵头单位：合管办；责任单位：数发局、综保区管委会、商务局）</w:t>
            </w:r>
          </w:p>
        </w:tc>
      </w:tr>
    </w:tbl>
    <w:p>
      <w:pPr>
        <w:adjustRightInd w:val="0"/>
        <w:snapToGrid w:val="0"/>
        <w:spacing w:after="0" w:line="560" w:lineRule="exact"/>
        <w:ind w:firstLine="602" w:firstLineChars="200"/>
        <w:outlineLvl w:val="2"/>
        <w:rPr>
          <w:rFonts w:hint="eastAsia" w:ascii="仿宋" w:hAnsi="仿宋" w:eastAsia="仿宋"/>
          <w:b/>
          <w:bCs/>
          <w:sz w:val="30"/>
          <w:szCs w:val="30"/>
        </w:rPr>
      </w:pPr>
      <w:bookmarkStart w:id="71" w:name="_Toc2104976241"/>
      <w:r>
        <w:rPr>
          <w:rFonts w:hint="eastAsia" w:ascii="仿宋" w:hAnsi="仿宋" w:eastAsia="仿宋"/>
          <w:b/>
          <w:bCs/>
          <w:sz w:val="30"/>
          <w:szCs w:val="30"/>
        </w:rPr>
        <w:t>6.发展智慧边民互市服务</w:t>
      </w:r>
      <w:bookmarkEnd w:id="71"/>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 xml:space="preserve">创建“智慧互市”线上服务平台。建设集互市贸易申报、通关商检、物流仓储、贸易结算、税费缴付退还等于一体的线上服务平台，打通海关、商务、税务等部门业务系统接口，实现互市贸易数据实时交换，提高互市贸易服务质量。依托互市贸易落地加工试点、边疆宾馆市场采购贸易试点，提供互市贸易与落地加工、市场采购有效衔接的“直通车”线上服务，让货物快速完成进境申报及检疫查验，直达企业，节省运输成本与时间成本。（责任单位：商务局、口岸管理局、霍尔果斯海关、出入境边防检查站、市场监督管理局） </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升级边民互市物联监管系统。利用“智能设备+高效信息处理系统”方法，创建集远程视频监控、现场快速筛查、云端大数据处理等于一体的智慧物联体系，提升监管人员的工作效率。探索在途监管、智能审图、“多贸合一”智慧卡口验放等新应用，实现禁限类商品自动拦截、系统自动审单，提升通关效率。（责任单位：商务局、工信局、市场监督管理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推动“互市贸易+电商业务”融合发展。探索“互市贸易+电商直播”融合发展模式，运用直播技术拓展销售渠道，为互市贸易带来发展新动力。发展分送集报、进出拼车服务，降低小批量跨境电商货物通关物流成本。（责任单位：商务局、数发局、金融办、市场监督管理局）</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72" w:name="_Toc1821119604"/>
      <w:r>
        <w:rPr>
          <w:rFonts w:hint="eastAsia" w:ascii="仿宋" w:hAnsi="仿宋" w:eastAsia="仿宋"/>
          <w:b/>
          <w:bCs/>
          <w:sz w:val="30"/>
          <w:szCs w:val="30"/>
        </w:rPr>
        <w:t>（九）畅通数字枢纽</w:t>
      </w:r>
      <w:bookmarkEnd w:id="72"/>
    </w:p>
    <w:p>
      <w:pPr>
        <w:adjustRightInd w:val="0"/>
        <w:snapToGrid w:val="0"/>
        <w:spacing w:after="0" w:line="560" w:lineRule="exact"/>
        <w:ind w:firstLine="602" w:firstLineChars="200"/>
        <w:outlineLvl w:val="2"/>
        <w:rPr>
          <w:rFonts w:hint="eastAsia" w:ascii="仿宋" w:hAnsi="仿宋" w:eastAsia="仿宋"/>
          <w:b/>
          <w:bCs/>
          <w:sz w:val="30"/>
          <w:szCs w:val="30"/>
        </w:rPr>
      </w:pPr>
      <w:bookmarkStart w:id="73" w:name="_Toc1014860671"/>
      <w:r>
        <w:rPr>
          <w:rFonts w:hint="eastAsia" w:ascii="仿宋" w:hAnsi="仿宋" w:eastAsia="仿宋"/>
          <w:b/>
          <w:bCs/>
          <w:sz w:val="30"/>
          <w:szCs w:val="30"/>
        </w:rPr>
        <w:t>1.打造霍尔果斯可信数据空间</w:t>
      </w:r>
      <w:bookmarkEnd w:id="73"/>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完善数据互联标准与目录体系。构建覆盖政务、产业、口岸及跨境领域的多层级数据互联标准框架。统一数据格式、接口规范和元数据描述标准，完善数据目录与标识体系，推动数据在市域、行业与跨境层面的互认互通。建立分级分类的数据管理制度，明确核心数据、重要数据、一般数据的分类标准和管理要求，健全数据确权登记、责任追溯机制。推动标准体系与国家、自治区及中亚沿线国家标准协同衔接，探索形成面向“一带一路”的数据标准互认机制。（责任单位：数发局、口岸管理局、发改委、自贸办、外事办）</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建设可信数据空间技术平台。建设以“技术可信、服务可控”为核心的可信数据空间技术平台。部署隐私计算、可信执行环境（TEE）、区块链存证、数据沙盒等核心技术组件，实现数据“可用不可见、可控可计量”。建设数据安全计算中心，提供数据脱敏、隐私计算、算法验证、安全审计等共性服务，降低企业参与可信数据空间的技术门槛。完善数据全生命周期安全管理能力，建立数据采集、存储、传输、使用、销毁各环节的安全防护机制。（责任单位：数发局、网信办）</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健全可信数据空间运营机制。建立“政府引导、企业主体、市场运作”的建设运营模式。明确数字化发展局作为统筹协调部门，口岸管理局、商务局等部门按职责分工协同推进。支持组建可信数据空间运营主体，探索“国有平台+市场化运营”模式，承担平台建设、技术运维、数据治理、应用推广等职能。建立可信数据空间接入与退出机制，制定数据提供方、使用方、运营方的权责清单。完善成本分摊与收益共享机制，探索数据服务收费、增值服务分成等可持续运营模式。建立建设成效评估机制，定期开展安全合规、服务质量等方面的评价。（责任单位：数发局、公共数据运营主体）</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6" w:type="dxa"/>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专栏9  跨境可信数据空间建设工程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跨境数据分类分级制度体系搭建。对标国内自贸试验区跨境数据流动成熟试点模式，构建适配口岸沿边场景的跨境数据分类分级基础管理机制。制定霍尔果斯跨境数据流动“一般数据清单”和“负面清单”，明确可自由流动、需评估流动、禁止出境的数据类别。重点在跨境贸易、国际物流、供应链金融等领域先行先试，形成可操作的数据出境管理规范。</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跨境数据安全综合服务载体搭建。统筹建设霍尔果斯跨境数据安全综合服务枢纽，采用公益普惠服务与市场化有偿服务并行模式，为企业提供数据出境安全评估、个人信息保护认证、数据跨境合规咨询等服务。建立“传递可监控、流通可追溯、使用可管控”的跨境数据治理体系，完善数据备案、监测、存证等管理制度。</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中哈跨境数据互通示范场景建设。依托“云港·霍数通”跨境安全交换通道，搭建跨境风险联合研判模型，推动与哈萨克斯坦在数据标准、接口规范、安全规则等方面的互认互通。优先围绕跨境物流单证、贸易结算凭证、企业信用信息等领域开展数据互通试点，逐步拓展至中亚其他国家。（牵头单位：数发局；责任单位：发改委、网信办、自贸办、商务局）</w:t>
            </w:r>
          </w:p>
        </w:tc>
      </w:tr>
    </w:tbl>
    <w:p>
      <w:pPr>
        <w:adjustRightInd w:val="0"/>
        <w:snapToGrid w:val="0"/>
        <w:spacing w:after="0" w:line="560" w:lineRule="exact"/>
        <w:ind w:firstLine="602" w:firstLineChars="200"/>
        <w:outlineLvl w:val="2"/>
        <w:rPr>
          <w:rFonts w:hint="eastAsia" w:ascii="仿宋" w:hAnsi="仿宋" w:eastAsia="仿宋"/>
          <w:b/>
          <w:bCs/>
          <w:sz w:val="30"/>
          <w:szCs w:val="30"/>
        </w:rPr>
      </w:pPr>
      <w:bookmarkStart w:id="74" w:name="_Toc7430290"/>
      <w:r>
        <w:rPr>
          <w:rFonts w:hint="eastAsia" w:ascii="仿宋" w:hAnsi="仿宋" w:eastAsia="仿宋"/>
          <w:b/>
          <w:bCs/>
          <w:sz w:val="30"/>
          <w:szCs w:val="30"/>
        </w:rPr>
        <w:t>2.建设国际数据走廊核心枢纽</w:t>
      </w:r>
      <w:bookmarkEnd w:id="74"/>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夯实物流数据互联基础能力。构建与国际贸易通行标准相衔接的物流数据基础框架。聚焦跨境口岸、铁路、贸易等重点环节，依托可信数据空间标准体系，制定物流领域单证要素和接口规范，积极对接国家物流数据主干网标准体系。利用现有平台优势，推动核心数据字段规范与交换接口标准化，统筹综合保税区及中哈合作中心等载体资源，建设物流数据互联枢纽平台，打通“通关—运输—仓储—贸易”全链条数据，实现跨部门、跨系统的深度融合。（责任单位：数发局、口岸管理局、综保区、交通局、商务局、亚欧商贸物流集团）</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共建陆海联运数据互联通道。深化“东港西口”双桥头协同机制，推进霍尔果斯与连云港数据全链条互联。加快两地口岸信息平台与港口大数据中心系统对接，完善陆海联运数据交换机制。依托陇海—兰新铁路主干道，推动运单、报关单、仓储单等关键单证要素的标准化与互认共享。加强铁路、口岸与物流系统协同，强化中欧班列货物全程监测与追溯能力，提升多式联运数字化调度水平，支撑跨境贸易数字化转型。（责任单位：口岸管理局、数发局、交通局、商务局、发改委）</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构建西向数据服务协作网络。立足霍尔果斯在亚欧陆海联运体系中的西向枢纽地位，建设西向数据汇聚与服务中心，重点承担新疆及西北地区物流数据归集、治理与分发职能。深化与乌鲁木齐、西安、兰州等西北枢纽城市互联，建立资源目录互认与服务调用机制。依托陆海联运通道布局，主动对接武汉、宁波、郑州等东中部节点，完善跨区域数据采集传输体系，形成“西向汇聚、东向联通”的数据服务格局。探索“数据授权+共享调用+结果回流”模式，促进跨区域物流资源优化配置与要素高效流动。（责任单位：数发局、口岸管理局、商务局）</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打造国际数据走廊战略枢纽。发挥“连云港—霍尔果斯—哈萨克斯坦东门无水港”跨境联运优势，面向中亚及欧洲提升数据互联与服务能力。积极对接《数字经济伙伴关系协定》（DEPA）等国际规则，探索申报跨境数据流动试点。深化与中亚国家在接口对接、业务协同领域的务实合作，完善跨境数据分级调用、合规利用与安全回流机制。培育跨境数据分析、信用评估等增值业态，构建安全可控的国际数据服务保障体系，提升霍尔果斯在亚欧数据协作中的支撑作用。（责任单位：数发局、口岸管理局、发改委、商务局、自贸办、网信办）</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6" w:type="dxa"/>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专栏10  国际物流数据互联体系建设工程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物流数据互联示范工程。遵循国有控股、政府指导、市场化运营的方针，建设物流数据运营服务中心，围绕物流运行监测、效率分析和风险预警等需求，推动物流数据资源的规范化开发和应用。深化与乌鲁木齐、武汉、宁波等国内重要物流枢纽城市的数据互联合作，建设多式联运数据协同平台，推动通关、运输、仓储、结算等环节的数据共享与业务协同。（牵头单位：口岸管理局、数发局；责任单位：发改委、商务局、交通局）</w:t>
            </w:r>
          </w:p>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新亚欧陆海联运数据大通道建设工程。以霍尔果斯为西端桥头堡，连云港为东端枢纽，全面推进“12361”新亚欧陆海联运数据大通道建设。“12361”即：一条大动脉，依托陇海—兰新铁路主干线建设陆上数据动脉；两座桥头堡，推动霍尔果斯与连云港数据互联互通；三条数据车道，聚焦货物通关、铁路作业、物流商贸三大领域；六个数据服务区，以徐州、郑州、西安、兰州、西宁、乌鲁木齐为核心节点；一条国际延伸带，经哈萨克斯坦东门无水港延伸至中亚、欧洲。（牵头单位：口岸管理局；责任单位：数发局、发改委、商务局）</w:t>
            </w:r>
          </w:p>
        </w:tc>
      </w:tr>
    </w:tbl>
    <w:p>
      <w:pPr>
        <w:adjustRightInd w:val="0"/>
        <w:snapToGrid w:val="0"/>
        <w:spacing w:after="0" w:line="560" w:lineRule="exact"/>
        <w:ind w:firstLine="602" w:firstLineChars="200"/>
        <w:outlineLvl w:val="2"/>
        <w:rPr>
          <w:rFonts w:hint="eastAsia" w:ascii="仿宋" w:hAnsi="仿宋" w:eastAsia="仿宋"/>
          <w:b/>
          <w:bCs/>
          <w:sz w:val="30"/>
          <w:szCs w:val="30"/>
        </w:rPr>
      </w:pPr>
      <w:bookmarkStart w:id="75" w:name="_Toc1151547728"/>
      <w:r>
        <w:rPr>
          <w:rFonts w:hint="eastAsia" w:ascii="仿宋" w:hAnsi="仿宋" w:eastAsia="仿宋"/>
          <w:b/>
          <w:bCs/>
          <w:sz w:val="30"/>
          <w:szCs w:val="30"/>
        </w:rPr>
        <w:t>3.构建丝路数据交易流通体系</w:t>
      </w:r>
      <w:bookmarkEnd w:id="75"/>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建设数据交易服务中心。积极融入全国统一数据要素市场，推动数据要素市场化配置，探索与各级数据交易机构的协同合作模式。建设霍尔果斯数据交易服务中心，提供数据产品上架、交易撮合、合同备案及合规咨询等一站式服务。整合本地算力资源，将算力纳入交易产品目录，探索“数据+算力”协同服务模式。探索开展跨境数据交易试点，推动物流、贸易类数据资源率先开放共享，打造跨境数据交易流通先行先试区。（责任单位：数发局、发改委、公共数据运营主体）</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健全数据流通交易规则。完善数据产权登记体系，培育或设立数据产权登记机构，推动跨区域登记互认，实现“一地登记、多地互认”。制定覆盖交易准备、合规审核、合同签订、交付结算全流程的规范指引，依据数据风险等级建立进场交易清单和负面清单，明确数据资产进入退出机制。建立数据价格形成和收益分配机制，按照“谁投入、谁贡献、谁受益”原则合理分配收益。规范公共数据授权运营，明确授权范围、期限、建设内容、收益分配和安全责任。（责任单位：数发局、发改委、网信办、公共数据运营主体）</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培育数据要素市场主体。加强数据交易机构建设，明确功能定位，完善交易规则体系。引育一批覆盖数据采集、技术研发、流通交易、应用创新等全链条的专业化数据企业，探索梯次培育政策，加强对数据要素型企业的全生命周期支持。有序发展数据经纪、合规认证、安全审计、资产评估等第三方专业服务机构，建立健全服务规范，保障数据交易活动合规高效。（责任单位：数发局、发改委、公共数据运营主体）</w:t>
      </w:r>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拓展数据交易应用场景。围绕霍尔果斯优势产业，挖掘跨境贸易、国际物流、金融服务等领域的数据交易需求，推动数据产品化开发，培育特色数据产品和交易服务。在工业制造、现代农业、医疗健康等领域，推动数据要素与其他生产要素协同，打造一批凸显霍尔果斯区位特色、示范带动效应强的典型应用案例。（责任单位：数发局、工信局、商务局、农业农村局、金融办）</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296" w:type="dxa"/>
          </w:tcPr>
          <w:p>
            <w:pPr>
              <w:adjustRightInd w:val="0"/>
              <w:snapToGrid w:val="0"/>
              <w:spacing w:after="0" w:line="400" w:lineRule="exact"/>
              <w:ind w:firstLine="480" w:firstLineChars="200"/>
              <w:jc w:val="center"/>
              <w:rPr>
                <w:rFonts w:hint="eastAsia" w:ascii="仿宋" w:hAnsi="仿宋" w:eastAsia="仿宋" w:cs="Times New Roman"/>
                <w:sz w:val="24"/>
              </w:rPr>
            </w:pPr>
            <w:r>
              <w:rPr>
                <w:rFonts w:hint="eastAsia" w:ascii="仿宋" w:hAnsi="仿宋" w:eastAsia="仿宋" w:cs="Times New Roman"/>
                <w:sz w:val="24"/>
              </w:rPr>
              <w:t>专栏11  丝路特色数据产品开发与交易工程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96" w:type="dxa"/>
          </w:tcPr>
          <w:p>
            <w:pPr>
              <w:adjustRightInd w:val="0"/>
              <w:snapToGrid w:val="0"/>
              <w:spacing w:after="0" w:line="400" w:lineRule="exact"/>
              <w:ind w:firstLine="480" w:firstLineChars="200"/>
              <w:rPr>
                <w:rFonts w:hint="eastAsia" w:ascii="仿宋" w:hAnsi="仿宋" w:eastAsia="仿宋" w:cs="Times New Roman"/>
                <w:sz w:val="24"/>
              </w:rPr>
            </w:pPr>
            <w:r>
              <w:rPr>
                <w:rFonts w:hint="eastAsia" w:ascii="仿宋" w:hAnsi="仿宋" w:eastAsia="仿宋" w:cs="Times New Roman"/>
                <w:sz w:val="24"/>
              </w:rPr>
              <w:t>依托霍尔果斯口岸和跨境贸易优势，打造特色数据交易服务平台。围绕口岸通关、跨境物流、贸易服务等重点领域，开发通关效率分析、物流追踪、信用评估等特色数据产品。提供数据产品挂牌、交易撮合、合同签订、数据加工等服务功能，对接全国数据交易机构，推动数据产品跨平台流通。（牵头单位：数发局；责任单位：口岸管理局、商务局、发改委）</w:t>
            </w:r>
          </w:p>
        </w:tc>
      </w:tr>
    </w:tbl>
    <w:p>
      <w:pPr>
        <w:adjustRightInd w:val="0"/>
        <w:snapToGrid w:val="0"/>
        <w:spacing w:after="0" w:line="560" w:lineRule="exact"/>
        <w:ind w:firstLine="602" w:firstLineChars="200"/>
        <w:outlineLvl w:val="1"/>
        <w:rPr>
          <w:rFonts w:hint="eastAsia" w:ascii="仿宋" w:hAnsi="仿宋" w:eastAsia="仿宋"/>
          <w:b/>
          <w:bCs/>
          <w:sz w:val="30"/>
          <w:szCs w:val="30"/>
        </w:rPr>
      </w:pPr>
      <w:bookmarkStart w:id="76" w:name="_Toc1246785252"/>
      <w:r>
        <w:rPr>
          <w:rFonts w:hint="eastAsia" w:ascii="仿宋" w:hAnsi="仿宋" w:eastAsia="仿宋"/>
          <w:b/>
          <w:bCs/>
          <w:sz w:val="30"/>
          <w:szCs w:val="30"/>
        </w:rPr>
        <w:t>（十）引育数字人才</w:t>
      </w:r>
      <w:bookmarkEnd w:id="76"/>
    </w:p>
    <w:p>
      <w:pPr>
        <w:adjustRightInd w:val="0"/>
        <w:snapToGrid w:val="0"/>
        <w:spacing w:after="0" w:line="560" w:lineRule="exact"/>
        <w:ind w:firstLine="602" w:firstLineChars="200"/>
        <w:outlineLvl w:val="2"/>
        <w:rPr>
          <w:rFonts w:hint="eastAsia" w:ascii="仿宋" w:hAnsi="仿宋" w:eastAsia="仿宋"/>
          <w:b/>
          <w:bCs/>
          <w:sz w:val="30"/>
          <w:szCs w:val="30"/>
        </w:rPr>
      </w:pPr>
      <w:bookmarkStart w:id="77" w:name="_Toc1008702625"/>
      <w:bookmarkStart w:id="78" w:name="OLE_LINK25"/>
      <w:r>
        <w:rPr>
          <w:rFonts w:hint="eastAsia" w:ascii="仿宋" w:hAnsi="仿宋" w:eastAsia="仿宋"/>
          <w:b/>
          <w:bCs/>
          <w:sz w:val="30"/>
          <w:szCs w:val="30"/>
        </w:rPr>
        <w:t>1.强化数字人才引育</w:t>
      </w:r>
      <w:bookmarkEnd w:id="77"/>
    </w:p>
    <w:p>
      <w:pPr>
        <w:adjustRightInd w:val="0"/>
        <w:snapToGrid w:val="0"/>
        <w:spacing w:after="0" w:line="560" w:lineRule="exact"/>
        <w:ind w:firstLine="600" w:firstLineChars="200"/>
        <w:rPr>
          <w:rFonts w:hint="eastAsia" w:ascii="仿宋" w:hAnsi="仿宋" w:eastAsia="仿宋"/>
          <w:sz w:val="30"/>
          <w:szCs w:val="30"/>
        </w:rPr>
      </w:pPr>
      <w:r>
        <w:rPr>
          <w:rFonts w:ascii="仿宋" w:hAnsi="仿宋" w:eastAsia="仿宋"/>
          <w:sz w:val="30"/>
          <w:szCs w:val="30"/>
        </w:rPr>
        <w:t>创新引才育才机制。坚持“以产业引才、以项目聚才、以平台留才”，实施柔性引才、项目引才和团队引才，支持企事业单位引进高层次、紧缺型数字人才。依托智慧口岸、数字园区、综保区等重点项目，支持本地企业联合龙头企业开展技术带教与经验输出，加快培育熟悉本地产业场景、具备系统集成与运维能力的本土数字技术人才。</w:t>
      </w:r>
      <w:r>
        <w:rPr>
          <w:rFonts w:hint="eastAsia" w:ascii="仿宋" w:hAnsi="仿宋" w:eastAsia="仿宋"/>
          <w:sz w:val="30"/>
          <w:szCs w:val="30"/>
        </w:rPr>
        <w:t>（责任单位：组织部、人社局、科技局、工信局、数发局）</w:t>
      </w:r>
    </w:p>
    <w:p>
      <w:pPr>
        <w:adjustRightInd w:val="0"/>
        <w:snapToGrid w:val="0"/>
        <w:spacing w:after="0" w:line="560" w:lineRule="exact"/>
        <w:ind w:firstLine="600" w:firstLineChars="200"/>
        <w:rPr>
          <w:rFonts w:hint="eastAsia" w:ascii="仿宋" w:hAnsi="仿宋" w:eastAsia="仿宋"/>
          <w:sz w:val="30"/>
          <w:szCs w:val="30"/>
        </w:rPr>
      </w:pPr>
      <w:r>
        <w:rPr>
          <w:rFonts w:ascii="仿宋" w:hAnsi="仿宋" w:eastAsia="仿宋"/>
          <w:sz w:val="30"/>
          <w:szCs w:val="30"/>
        </w:rPr>
        <w:t>深化协同培养。加强与东部发达地区及对口支援城市合作，推动“东部智力+西部应用”联合引才育才；发挥跨境区位优势，深化与中亚、欧洲产学研合作，建设海外专家工作站和国际青年实训平台，吸引境外高端人才来霍创新创业。依托霍尔果斯现代产业学院，聚焦跨境电商、国际物流等领域，共建实训基地，推行“订单式”“学徒制”培养模式。加快建设“一带一路”数字化人才培养基地，打造覆盖基础技能到创新人才的全周期培养体系。</w:t>
      </w:r>
      <w:r>
        <w:rPr>
          <w:rFonts w:hint="eastAsia" w:ascii="仿宋" w:hAnsi="仿宋" w:eastAsia="仿宋"/>
          <w:sz w:val="30"/>
          <w:szCs w:val="30"/>
        </w:rPr>
        <w:t>（责任单位：组织部、人社局、科技局、教育局、数发局）</w:t>
      </w:r>
    </w:p>
    <w:p>
      <w:pPr>
        <w:adjustRightInd w:val="0"/>
        <w:snapToGrid w:val="0"/>
        <w:spacing w:after="0" w:line="560" w:lineRule="exact"/>
        <w:ind w:firstLine="600" w:firstLineChars="200"/>
        <w:rPr>
          <w:rFonts w:hint="eastAsia" w:ascii="仿宋" w:hAnsi="仿宋" w:eastAsia="仿宋"/>
          <w:sz w:val="30"/>
          <w:szCs w:val="30"/>
        </w:rPr>
      </w:pPr>
      <w:r>
        <w:rPr>
          <w:rFonts w:ascii="仿宋" w:hAnsi="仿宋" w:eastAsia="仿宋"/>
          <w:sz w:val="30"/>
          <w:szCs w:val="30"/>
        </w:rPr>
        <w:t>提升全民数字素养。实施全民数字素养提升行动，面向企业开展数据治理、智能制造等实务培训；面向干部常态化开展数字治理与数据思维培训；面向公众普及网络安全、信息获取等技能，夯实数字社会基础。</w:t>
      </w:r>
      <w:bookmarkStart w:id="79" w:name="OLE_LINK24"/>
      <w:r>
        <w:rPr>
          <w:rFonts w:hint="eastAsia" w:ascii="仿宋" w:hAnsi="仿宋" w:eastAsia="仿宋"/>
          <w:sz w:val="30"/>
          <w:szCs w:val="30"/>
        </w:rPr>
        <w:t>（责任单位：组织部、人社局、工信局、教育局、科技局、数发局）</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80" w:name="_Toc364211339"/>
      <w:r>
        <w:rPr>
          <w:rFonts w:hint="eastAsia" w:ascii="仿宋" w:hAnsi="仿宋" w:eastAsia="仿宋"/>
          <w:b/>
          <w:bCs/>
          <w:sz w:val="30"/>
          <w:szCs w:val="30"/>
        </w:rPr>
        <w:t>2.拓展人才应用场景</w:t>
      </w:r>
      <w:bookmarkEnd w:id="80"/>
    </w:p>
    <w:p>
      <w:pPr>
        <w:adjustRightInd w:val="0"/>
        <w:snapToGrid w:val="0"/>
        <w:spacing w:after="0" w:line="560" w:lineRule="exact"/>
        <w:ind w:firstLine="600" w:firstLineChars="200"/>
        <w:rPr>
          <w:rFonts w:hint="eastAsia" w:ascii="仿宋" w:hAnsi="仿宋" w:eastAsia="仿宋"/>
          <w:sz w:val="30"/>
          <w:szCs w:val="30"/>
        </w:rPr>
      </w:pPr>
      <w:r>
        <w:rPr>
          <w:rFonts w:ascii="仿宋" w:hAnsi="仿宋" w:eastAsia="仿宋"/>
          <w:sz w:val="30"/>
          <w:szCs w:val="30"/>
        </w:rPr>
        <w:t>依托智慧口岸、中哈国际合作中心、综保区等平台，推动数字人才在跨境电商、金融科技、智能制造等领域开展应用实践。鼓励企业结合数字化转型需求开展技术探索，支持产学研联合实施应用型项目，促进数字技术成果高效转化。建立“联合攻关—共建智库—成果共享”协同机制，搭建跨境科研与技术交流平台，引导人才围绕产业链关键环节开展联合创新。</w:t>
      </w:r>
      <w:r>
        <w:rPr>
          <w:rFonts w:hint="eastAsia" w:ascii="仿宋" w:hAnsi="仿宋" w:eastAsia="仿宋"/>
          <w:sz w:val="30"/>
          <w:szCs w:val="30"/>
        </w:rPr>
        <w:t>（责任单位：工信局、人社局、科技局、商务局）</w:t>
      </w:r>
    </w:p>
    <w:p>
      <w:pPr>
        <w:adjustRightInd w:val="0"/>
        <w:snapToGrid w:val="0"/>
        <w:spacing w:after="0" w:line="560" w:lineRule="exact"/>
        <w:ind w:firstLine="602" w:firstLineChars="200"/>
        <w:outlineLvl w:val="2"/>
        <w:rPr>
          <w:rFonts w:hint="eastAsia" w:ascii="仿宋" w:hAnsi="仿宋" w:eastAsia="仿宋"/>
          <w:b/>
          <w:bCs/>
          <w:sz w:val="30"/>
          <w:szCs w:val="30"/>
        </w:rPr>
      </w:pPr>
      <w:bookmarkStart w:id="81" w:name="_Toc662531548"/>
      <w:r>
        <w:rPr>
          <w:rFonts w:hint="eastAsia" w:ascii="仿宋" w:hAnsi="仿宋" w:eastAsia="仿宋"/>
          <w:b/>
          <w:bCs/>
          <w:sz w:val="30"/>
          <w:szCs w:val="30"/>
        </w:rPr>
        <w:t>3.健全人才留用保障</w:t>
      </w:r>
      <w:bookmarkEnd w:id="81"/>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完善人才政策体系，</w:t>
      </w:r>
      <w:r>
        <w:rPr>
          <w:rFonts w:ascii="仿宋" w:hAnsi="仿宋" w:eastAsia="仿宋"/>
          <w:sz w:val="30"/>
          <w:szCs w:val="30"/>
        </w:rPr>
        <w:t>对高层次人才落实住房、落户、子女入学、配偶就业等保障，建设线上人才服务专区；对基础应用型人才给予就业、社保、培训补贴，设立专项经费保障。实施重点人才项目资助计划，对参与重大数字工程和跨境项目的团队给予倾斜支持。建设宜居宜业人才社区，完善教育、医疗等公共服务；探索“跨境工作+国际交流”模式；常态化举办创新创业大赛、论坛、路演等活动，打造开放包容、可持续的数字人才生态。</w:t>
      </w:r>
      <w:r>
        <w:rPr>
          <w:rFonts w:hint="eastAsia" w:ascii="仿宋" w:hAnsi="仿宋" w:eastAsia="仿宋"/>
          <w:sz w:val="30"/>
          <w:szCs w:val="30"/>
        </w:rPr>
        <w:t>(责任单位：组织部、人社局、教育局、工信局、科技局、住建局、公安局、卫健委、各乡街道)</w:t>
      </w:r>
    </w:p>
    <w:bookmarkEnd w:id="78"/>
    <w:bookmarkEnd w:id="79"/>
    <w:p>
      <w:pPr>
        <w:adjustRightInd w:val="0"/>
        <w:snapToGrid w:val="0"/>
        <w:spacing w:after="0" w:line="560" w:lineRule="exact"/>
        <w:ind w:firstLine="600" w:firstLineChars="200"/>
        <w:outlineLvl w:val="0"/>
        <w:rPr>
          <w:rFonts w:hint="eastAsia" w:ascii="黑体" w:hAnsi="黑体" w:eastAsia="黑体"/>
          <w:sz w:val="30"/>
          <w:szCs w:val="30"/>
        </w:rPr>
      </w:pPr>
      <w:bookmarkStart w:id="82" w:name="_Toc1617292908"/>
      <w:r>
        <w:rPr>
          <w:rFonts w:hint="eastAsia" w:ascii="黑体" w:hAnsi="黑体" w:eastAsia="黑体"/>
          <w:sz w:val="30"/>
          <w:szCs w:val="30"/>
        </w:rPr>
        <w:t>七、保障措施</w:t>
      </w:r>
      <w:bookmarkEnd w:id="82"/>
    </w:p>
    <w:p>
      <w:pPr>
        <w:adjustRightInd w:val="0"/>
        <w:snapToGrid w:val="0"/>
        <w:spacing w:after="0" w:line="560" w:lineRule="exact"/>
        <w:ind w:firstLine="602" w:firstLineChars="200"/>
        <w:outlineLvl w:val="1"/>
        <w:rPr>
          <w:rFonts w:hint="eastAsia" w:ascii="仿宋" w:hAnsi="仿宋" w:eastAsia="仿宋"/>
          <w:b/>
          <w:bCs/>
          <w:sz w:val="30"/>
          <w:szCs w:val="30"/>
        </w:rPr>
      </w:pPr>
      <w:bookmarkStart w:id="83" w:name="_Toc1444325359"/>
      <w:r>
        <w:rPr>
          <w:rFonts w:hint="eastAsia" w:ascii="仿宋" w:hAnsi="仿宋" w:eastAsia="仿宋"/>
          <w:b/>
          <w:bCs/>
          <w:sz w:val="30"/>
          <w:szCs w:val="30"/>
        </w:rPr>
        <w:t>（一）加强组织领导</w:t>
      </w:r>
      <w:bookmarkEnd w:id="83"/>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成立霍尔果斯数字化发展领导小组，加强统筹领导和顶层谋划，避免重复投资建设和资源浪费。优化工作推进机制，健全例会和督查机制，及时协调解决重点、难点问题，推动形成全市“一盘棋”推进格局。对建设资金、项目审批、共性应用进行统筹管理、协调和监管，提升各单位对数字化发展建设的统一认识和重视程度，明确各单位职责分工。</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84" w:name="_Toc589723263"/>
      <w:r>
        <w:rPr>
          <w:rFonts w:hint="eastAsia" w:ascii="仿宋" w:hAnsi="仿宋" w:eastAsia="仿宋"/>
          <w:b/>
          <w:bCs/>
          <w:sz w:val="30"/>
          <w:szCs w:val="30"/>
        </w:rPr>
        <w:t>（二）强化政策扶持</w:t>
      </w:r>
      <w:bookmarkEnd w:id="84"/>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持续完善数字经济政策体系，健全统筹协调、分级推进的政策保障机制。聚焦跨境电商、数字金融、智慧物流、智慧商贸等重点领域，研究制定产业支持、数据流通、技术创新、平台建设等专项政策。完善人才、土地、能源、数据等要素配套政策，形成政策协同效应。推动国家、自治区政策在霍尔果斯落地见效，积极申报试点示范项目，打造具有示范引领作用的数字经济发展标杆。</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85" w:name="_Toc1174933218"/>
      <w:r>
        <w:rPr>
          <w:rFonts w:hint="eastAsia" w:ascii="仿宋" w:hAnsi="仿宋" w:eastAsia="仿宋"/>
          <w:b/>
          <w:bCs/>
          <w:sz w:val="30"/>
          <w:szCs w:val="30"/>
        </w:rPr>
        <w:t>（三）加大资金保障</w:t>
      </w:r>
      <w:bookmarkEnd w:id="85"/>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充分发挥中央预算内投资项目和援疆资金的政策效应，统筹安排财政资金支持数据领域发展和基础设施建设，积极争取国家级、自治区级数字经济重大专项支持。统筹设立霍尔果斯数字经济发展专项资金，重点保障算力基础设施、数据中枢、智慧口岸、跨境数据流通等重点项目建设。完善财政资金投入与社会资本联动机制，鼓励通过政府引导基金和产业基金等多元渠道吸引社会资本参与。</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86" w:name="_Toc1968935238"/>
      <w:r>
        <w:rPr>
          <w:rFonts w:hint="eastAsia" w:ascii="仿宋" w:hAnsi="仿宋" w:eastAsia="仿宋"/>
          <w:b/>
          <w:bCs/>
          <w:sz w:val="30"/>
          <w:szCs w:val="30"/>
        </w:rPr>
        <w:t>（四）规范平台建设</w:t>
      </w:r>
      <w:bookmarkEnd w:id="86"/>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健全数字化平台建设管理制度，完善数字化项目的规划、备案、论证、审批与验收机制。严格落实数字化建设统一管理要求，各部门新建、改建信息系统和业务平台应按规定向数字化发展局报备，纳入年度建设计划，防止重复建设和标准不一。加强跨部门项目并联审查和技术论证，强化建设全过程监管，推动各类平台与市级数字底座、数据中枢和统一门户有效衔接。完善平台运行维护和安全管理制度，建立运行监测和风险预警机制，推动数字化建设规范化、协同化发展。</w:t>
      </w:r>
    </w:p>
    <w:p>
      <w:pPr>
        <w:adjustRightInd w:val="0"/>
        <w:snapToGrid w:val="0"/>
        <w:spacing w:after="0" w:line="560" w:lineRule="exact"/>
        <w:ind w:firstLine="602" w:firstLineChars="200"/>
        <w:outlineLvl w:val="1"/>
        <w:rPr>
          <w:rFonts w:hint="eastAsia" w:ascii="仿宋" w:hAnsi="仿宋" w:eastAsia="仿宋"/>
          <w:b/>
          <w:bCs/>
          <w:sz w:val="30"/>
          <w:szCs w:val="30"/>
        </w:rPr>
      </w:pPr>
      <w:bookmarkStart w:id="87" w:name="_Toc322921992"/>
      <w:r>
        <w:rPr>
          <w:rFonts w:hint="eastAsia" w:ascii="仿宋" w:hAnsi="仿宋" w:eastAsia="仿宋"/>
          <w:b/>
          <w:bCs/>
          <w:sz w:val="30"/>
          <w:szCs w:val="30"/>
        </w:rPr>
        <w:t>（五）健全绩效评估</w:t>
      </w:r>
      <w:bookmarkEnd w:id="87"/>
    </w:p>
    <w:p>
      <w:pPr>
        <w:adjustRightInd w:val="0"/>
        <w:snapToGrid w:val="0"/>
        <w:spacing w:after="0" w:line="560" w:lineRule="exact"/>
        <w:ind w:firstLine="600" w:firstLineChars="200"/>
        <w:rPr>
          <w:rFonts w:hint="eastAsia" w:ascii="仿宋" w:hAnsi="仿宋" w:eastAsia="仿宋"/>
          <w:sz w:val="30"/>
          <w:szCs w:val="30"/>
        </w:rPr>
      </w:pPr>
      <w:r>
        <w:rPr>
          <w:rFonts w:hint="eastAsia" w:ascii="仿宋" w:hAnsi="仿宋" w:eastAsia="仿宋"/>
          <w:sz w:val="30"/>
          <w:szCs w:val="30"/>
        </w:rPr>
        <w:t>建立科学规范的数字化发展绩效评估机制，完善目标管理与动态监测体系。以规划重点任务为导向，构建覆盖基础设施建设、数据中枢运行、智慧口岸应用等领域的评价指标体系，定期开展进度、质量与成效评估。探索引入第三方机构参与评估与审计，加强社会监督，确保评估公开公正。健全数字化建设督查评估机制，将数字化发展工作纳入绩效考核，强化考核结果运用和督查问效，形成“以评促建、以评促改”的长效机制。</w:t>
      </w:r>
    </w:p>
    <w:sectPr>
      <w:footerReference r:id="rId7" w:type="default"/>
      <w:pgSz w:w="11906" w:h="16838"/>
      <w:pgMar w:top="1440" w:right="1800" w:bottom="1440" w:left="1800" w:header="1587" w:footer="1134"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howingPlcHdr/>
    </w:sdtPr>
    <w:sdtContent>
      <w:p>
        <w:pPr>
          <w:pStyle w:val="17"/>
          <w:jc w:val="center"/>
          <w:rPr>
            <w:rFonts w:hint="eastAsia"/>
          </w:rPr>
        </w:pPr>
        <w:r>
          <w:rPr>
            <w:rFonts w:hint="eastAsia"/>
          </w:rPr>
          <w:t xml:space="preserve">     </w:t>
        </w:r>
      </w:p>
    </w:sdtContent>
  </w:sdt>
  <w:p>
    <w:pPr>
      <w:pStyle w:val="1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hint="eastAsia"/>
      </w:rPr>
    </w:pPr>
  </w:p>
  <w:p>
    <w:pPr>
      <w:pStyle w:val="17"/>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3MZp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m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cxmkUAgAAGQQAAA4AAAAAAAAAAQAgAAAANQEAAGRycy9lMm9Eb2MueG1sUEsFBgAAAAAGAAYA&#10;WQEAALsFAAAAAA==&#10;">
              <v:fill on="f" focussize="0,0"/>
              <v:stroke on="f" weight="0.5pt"/>
              <v:imagedata o:title=""/>
              <o:lock v:ext="edit" aspectratio="f"/>
              <v:textbox inset="0mm,0mm,0mm,0mm" style="mso-fit-shape-to-text:t;">
                <w:txbxContent>
                  <w:p>
                    <w:pPr>
                      <w:pStyle w:val="1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17"/>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8D5"/>
    <w:rsid w:val="000003C6"/>
    <w:rsid w:val="000034CD"/>
    <w:rsid w:val="000038D4"/>
    <w:rsid w:val="00010F34"/>
    <w:rsid w:val="00021934"/>
    <w:rsid w:val="00034819"/>
    <w:rsid w:val="00034F07"/>
    <w:rsid w:val="00046E9D"/>
    <w:rsid w:val="000813C0"/>
    <w:rsid w:val="000835AB"/>
    <w:rsid w:val="00093500"/>
    <w:rsid w:val="00095549"/>
    <w:rsid w:val="000B6B69"/>
    <w:rsid w:val="000C16A6"/>
    <w:rsid w:val="000C5C1A"/>
    <w:rsid w:val="000D14F8"/>
    <w:rsid w:val="000D4177"/>
    <w:rsid w:val="000D41BC"/>
    <w:rsid w:val="000D6D2C"/>
    <w:rsid w:val="000D6E47"/>
    <w:rsid w:val="000E4572"/>
    <w:rsid w:val="000E5D9F"/>
    <w:rsid w:val="000F2940"/>
    <w:rsid w:val="000F36F0"/>
    <w:rsid w:val="000F766B"/>
    <w:rsid w:val="00106753"/>
    <w:rsid w:val="00116675"/>
    <w:rsid w:val="00116AE2"/>
    <w:rsid w:val="001267F2"/>
    <w:rsid w:val="001276F9"/>
    <w:rsid w:val="00131EB7"/>
    <w:rsid w:val="00140BB7"/>
    <w:rsid w:val="00161628"/>
    <w:rsid w:val="0017508F"/>
    <w:rsid w:val="00191B42"/>
    <w:rsid w:val="0019617D"/>
    <w:rsid w:val="0019669C"/>
    <w:rsid w:val="001A367C"/>
    <w:rsid w:val="001A553F"/>
    <w:rsid w:val="001A6420"/>
    <w:rsid w:val="001D56C0"/>
    <w:rsid w:val="001D660E"/>
    <w:rsid w:val="001D6CFF"/>
    <w:rsid w:val="001E343A"/>
    <w:rsid w:val="001F7724"/>
    <w:rsid w:val="002016E3"/>
    <w:rsid w:val="00202D80"/>
    <w:rsid w:val="00212F5E"/>
    <w:rsid w:val="0021609E"/>
    <w:rsid w:val="00231F26"/>
    <w:rsid w:val="00235894"/>
    <w:rsid w:val="00254DD2"/>
    <w:rsid w:val="0027358F"/>
    <w:rsid w:val="00283975"/>
    <w:rsid w:val="002A474A"/>
    <w:rsid w:val="002B08EA"/>
    <w:rsid w:val="002B5262"/>
    <w:rsid w:val="002C3D30"/>
    <w:rsid w:val="002C7B7D"/>
    <w:rsid w:val="002F6581"/>
    <w:rsid w:val="002F7E7A"/>
    <w:rsid w:val="00316BBC"/>
    <w:rsid w:val="003267A5"/>
    <w:rsid w:val="003269B0"/>
    <w:rsid w:val="00332743"/>
    <w:rsid w:val="0033396C"/>
    <w:rsid w:val="003361F4"/>
    <w:rsid w:val="00343687"/>
    <w:rsid w:val="00343769"/>
    <w:rsid w:val="00344B59"/>
    <w:rsid w:val="00351A87"/>
    <w:rsid w:val="003624DB"/>
    <w:rsid w:val="00367441"/>
    <w:rsid w:val="00367D72"/>
    <w:rsid w:val="0037479D"/>
    <w:rsid w:val="0037516F"/>
    <w:rsid w:val="00383172"/>
    <w:rsid w:val="00395F5B"/>
    <w:rsid w:val="003A6840"/>
    <w:rsid w:val="003B1F9D"/>
    <w:rsid w:val="003C7DE2"/>
    <w:rsid w:val="003D33B5"/>
    <w:rsid w:val="003E121B"/>
    <w:rsid w:val="003F2565"/>
    <w:rsid w:val="004067D8"/>
    <w:rsid w:val="00410E72"/>
    <w:rsid w:val="004124A5"/>
    <w:rsid w:val="00417855"/>
    <w:rsid w:val="00422402"/>
    <w:rsid w:val="00424997"/>
    <w:rsid w:val="00427C33"/>
    <w:rsid w:val="004367F7"/>
    <w:rsid w:val="00436941"/>
    <w:rsid w:val="00437BC2"/>
    <w:rsid w:val="0044270E"/>
    <w:rsid w:val="00447349"/>
    <w:rsid w:val="004513F3"/>
    <w:rsid w:val="00456115"/>
    <w:rsid w:val="0046427F"/>
    <w:rsid w:val="00482402"/>
    <w:rsid w:val="004873ED"/>
    <w:rsid w:val="004926C7"/>
    <w:rsid w:val="00493BF3"/>
    <w:rsid w:val="004A4D16"/>
    <w:rsid w:val="004A6F0F"/>
    <w:rsid w:val="004A7954"/>
    <w:rsid w:val="004C1E84"/>
    <w:rsid w:val="004D02A5"/>
    <w:rsid w:val="004D0FC2"/>
    <w:rsid w:val="004D4DF4"/>
    <w:rsid w:val="004D5EA3"/>
    <w:rsid w:val="004E2DAD"/>
    <w:rsid w:val="004E5539"/>
    <w:rsid w:val="004F1AA2"/>
    <w:rsid w:val="004F2422"/>
    <w:rsid w:val="004F7771"/>
    <w:rsid w:val="00502AEF"/>
    <w:rsid w:val="0050398D"/>
    <w:rsid w:val="005146F3"/>
    <w:rsid w:val="005152B4"/>
    <w:rsid w:val="00521C1F"/>
    <w:rsid w:val="005263E0"/>
    <w:rsid w:val="0054420A"/>
    <w:rsid w:val="0055121F"/>
    <w:rsid w:val="00552AD2"/>
    <w:rsid w:val="00554E19"/>
    <w:rsid w:val="005553A2"/>
    <w:rsid w:val="00556A5E"/>
    <w:rsid w:val="00561A8B"/>
    <w:rsid w:val="00561F74"/>
    <w:rsid w:val="005625A5"/>
    <w:rsid w:val="00563EBF"/>
    <w:rsid w:val="005844D2"/>
    <w:rsid w:val="005854FF"/>
    <w:rsid w:val="00590B34"/>
    <w:rsid w:val="005A3024"/>
    <w:rsid w:val="005A3172"/>
    <w:rsid w:val="005A5753"/>
    <w:rsid w:val="005B1F88"/>
    <w:rsid w:val="005B282B"/>
    <w:rsid w:val="005C33D4"/>
    <w:rsid w:val="005C56D2"/>
    <w:rsid w:val="005F34C0"/>
    <w:rsid w:val="005F42CD"/>
    <w:rsid w:val="005F672A"/>
    <w:rsid w:val="005F691B"/>
    <w:rsid w:val="00600557"/>
    <w:rsid w:val="00614618"/>
    <w:rsid w:val="00615542"/>
    <w:rsid w:val="006278D5"/>
    <w:rsid w:val="00630B78"/>
    <w:rsid w:val="00633122"/>
    <w:rsid w:val="00635D05"/>
    <w:rsid w:val="006360CE"/>
    <w:rsid w:val="00657A92"/>
    <w:rsid w:val="0066168C"/>
    <w:rsid w:val="006623BF"/>
    <w:rsid w:val="00662C64"/>
    <w:rsid w:val="0066438D"/>
    <w:rsid w:val="00664848"/>
    <w:rsid w:val="00667BAC"/>
    <w:rsid w:val="006716AC"/>
    <w:rsid w:val="00685593"/>
    <w:rsid w:val="00690721"/>
    <w:rsid w:val="00693785"/>
    <w:rsid w:val="00697D51"/>
    <w:rsid w:val="006A1D62"/>
    <w:rsid w:val="006A22E1"/>
    <w:rsid w:val="006A2F8A"/>
    <w:rsid w:val="006B5320"/>
    <w:rsid w:val="006B7228"/>
    <w:rsid w:val="006C54CB"/>
    <w:rsid w:val="006C6058"/>
    <w:rsid w:val="006D0457"/>
    <w:rsid w:val="006E13F4"/>
    <w:rsid w:val="006E2100"/>
    <w:rsid w:val="006E71AD"/>
    <w:rsid w:val="006E7AB6"/>
    <w:rsid w:val="006F1778"/>
    <w:rsid w:val="006F7742"/>
    <w:rsid w:val="00706EC5"/>
    <w:rsid w:val="007164A9"/>
    <w:rsid w:val="007164D0"/>
    <w:rsid w:val="00723BAC"/>
    <w:rsid w:val="00724148"/>
    <w:rsid w:val="007317B7"/>
    <w:rsid w:val="007451A5"/>
    <w:rsid w:val="00747024"/>
    <w:rsid w:val="007503A5"/>
    <w:rsid w:val="007600F5"/>
    <w:rsid w:val="00762A9B"/>
    <w:rsid w:val="00764CD2"/>
    <w:rsid w:val="00775B9B"/>
    <w:rsid w:val="007766EE"/>
    <w:rsid w:val="007824AF"/>
    <w:rsid w:val="00784C3D"/>
    <w:rsid w:val="00786AD1"/>
    <w:rsid w:val="00792EA2"/>
    <w:rsid w:val="00793EF4"/>
    <w:rsid w:val="007A4B3C"/>
    <w:rsid w:val="007A4FA7"/>
    <w:rsid w:val="007B01DF"/>
    <w:rsid w:val="007B2FC1"/>
    <w:rsid w:val="007B468D"/>
    <w:rsid w:val="007C0FEF"/>
    <w:rsid w:val="007C71F2"/>
    <w:rsid w:val="007D19BB"/>
    <w:rsid w:val="007F1DB7"/>
    <w:rsid w:val="007F2B47"/>
    <w:rsid w:val="007F2E77"/>
    <w:rsid w:val="007F3FF9"/>
    <w:rsid w:val="007F42AE"/>
    <w:rsid w:val="007F5491"/>
    <w:rsid w:val="007F6341"/>
    <w:rsid w:val="007F7991"/>
    <w:rsid w:val="00800D89"/>
    <w:rsid w:val="0082181E"/>
    <w:rsid w:val="00832D5C"/>
    <w:rsid w:val="0083565A"/>
    <w:rsid w:val="008370C0"/>
    <w:rsid w:val="00843E36"/>
    <w:rsid w:val="00844BCC"/>
    <w:rsid w:val="0085095A"/>
    <w:rsid w:val="00875233"/>
    <w:rsid w:val="008A0215"/>
    <w:rsid w:val="008A31BC"/>
    <w:rsid w:val="008B1011"/>
    <w:rsid w:val="008B5ED3"/>
    <w:rsid w:val="008B7AE3"/>
    <w:rsid w:val="008D5B14"/>
    <w:rsid w:val="008E1E97"/>
    <w:rsid w:val="008E323C"/>
    <w:rsid w:val="008E7BDB"/>
    <w:rsid w:val="008F2E7C"/>
    <w:rsid w:val="00903620"/>
    <w:rsid w:val="00904BCB"/>
    <w:rsid w:val="0091000C"/>
    <w:rsid w:val="009143B2"/>
    <w:rsid w:val="0094172D"/>
    <w:rsid w:val="00951E3D"/>
    <w:rsid w:val="0095304A"/>
    <w:rsid w:val="0098798E"/>
    <w:rsid w:val="00996721"/>
    <w:rsid w:val="009975F0"/>
    <w:rsid w:val="00997768"/>
    <w:rsid w:val="009A572C"/>
    <w:rsid w:val="009A7DE6"/>
    <w:rsid w:val="009E1380"/>
    <w:rsid w:val="009E4C92"/>
    <w:rsid w:val="00A04DD5"/>
    <w:rsid w:val="00A070F7"/>
    <w:rsid w:val="00A34388"/>
    <w:rsid w:val="00A34B46"/>
    <w:rsid w:val="00A37CE4"/>
    <w:rsid w:val="00A4215B"/>
    <w:rsid w:val="00A50B9F"/>
    <w:rsid w:val="00A564CA"/>
    <w:rsid w:val="00A57F63"/>
    <w:rsid w:val="00A6294A"/>
    <w:rsid w:val="00A8719F"/>
    <w:rsid w:val="00A961A3"/>
    <w:rsid w:val="00A96CA4"/>
    <w:rsid w:val="00A97D6C"/>
    <w:rsid w:val="00AA21BC"/>
    <w:rsid w:val="00AA60F5"/>
    <w:rsid w:val="00AB0BEE"/>
    <w:rsid w:val="00AB132A"/>
    <w:rsid w:val="00AC2C72"/>
    <w:rsid w:val="00AC3D29"/>
    <w:rsid w:val="00AD0929"/>
    <w:rsid w:val="00AD4326"/>
    <w:rsid w:val="00AE3806"/>
    <w:rsid w:val="00B01AD1"/>
    <w:rsid w:val="00B03111"/>
    <w:rsid w:val="00B04444"/>
    <w:rsid w:val="00B11913"/>
    <w:rsid w:val="00B26AD1"/>
    <w:rsid w:val="00B26FFC"/>
    <w:rsid w:val="00B36806"/>
    <w:rsid w:val="00B370C3"/>
    <w:rsid w:val="00B4780F"/>
    <w:rsid w:val="00B72087"/>
    <w:rsid w:val="00B73C62"/>
    <w:rsid w:val="00B74D20"/>
    <w:rsid w:val="00B77D2F"/>
    <w:rsid w:val="00B92DFB"/>
    <w:rsid w:val="00B95EDD"/>
    <w:rsid w:val="00BA6A54"/>
    <w:rsid w:val="00BB226C"/>
    <w:rsid w:val="00BC0F5D"/>
    <w:rsid w:val="00BC14AE"/>
    <w:rsid w:val="00BC6250"/>
    <w:rsid w:val="00BD18DB"/>
    <w:rsid w:val="00BD70DE"/>
    <w:rsid w:val="00BE11B9"/>
    <w:rsid w:val="00C04617"/>
    <w:rsid w:val="00C05AB2"/>
    <w:rsid w:val="00C10139"/>
    <w:rsid w:val="00C13D97"/>
    <w:rsid w:val="00C2075C"/>
    <w:rsid w:val="00C26CB8"/>
    <w:rsid w:val="00C30693"/>
    <w:rsid w:val="00C50580"/>
    <w:rsid w:val="00C62746"/>
    <w:rsid w:val="00C711C0"/>
    <w:rsid w:val="00C76673"/>
    <w:rsid w:val="00C95CB8"/>
    <w:rsid w:val="00CA0C63"/>
    <w:rsid w:val="00CA3903"/>
    <w:rsid w:val="00CB0D31"/>
    <w:rsid w:val="00CB200C"/>
    <w:rsid w:val="00CB4AD8"/>
    <w:rsid w:val="00CC0E15"/>
    <w:rsid w:val="00CC56FB"/>
    <w:rsid w:val="00CD04AB"/>
    <w:rsid w:val="00CD440B"/>
    <w:rsid w:val="00CD50DA"/>
    <w:rsid w:val="00CD6130"/>
    <w:rsid w:val="00CE0E73"/>
    <w:rsid w:val="00CE1ACA"/>
    <w:rsid w:val="00CE58AD"/>
    <w:rsid w:val="00CF5B94"/>
    <w:rsid w:val="00D01D8F"/>
    <w:rsid w:val="00D2076B"/>
    <w:rsid w:val="00D2116D"/>
    <w:rsid w:val="00D249E6"/>
    <w:rsid w:val="00D42EA4"/>
    <w:rsid w:val="00D436E9"/>
    <w:rsid w:val="00D47996"/>
    <w:rsid w:val="00D5180E"/>
    <w:rsid w:val="00D53BF2"/>
    <w:rsid w:val="00D57001"/>
    <w:rsid w:val="00D60DC4"/>
    <w:rsid w:val="00D62D91"/>
    <w:rsid w:val="00D63B23"/>
    <w:rsid w:val="00D70E85"/>
    <w:rsid w:val="00D71812"/>
    <w:rsid w:val="00D7372B"/>
    <w:rsid w:val="00D81BC9"/>
    <w:rsid w:val="00D859DA"/>
    <w:rsid w:val="00D9152B"/>
    <w:rsid w:val="00DA4F8E"/>
    <w:rsid w:val="00DC2848"/>
    <w:rsid w:val="00DD050F"/>
    <w:rsid w:val="00DD4CF3"/>
    <w:rsid w:val="00DD5E94"/>
    <w:rsid w:val="00DF254A"/>
    <w:rsid w:val="00DF3175"/>
    <w:rsid w:val="00E2567C"/>
    <w:rsid w:val="00E279C5"/>
    <w:rsid w:val="00E5088E"/>
    <w:rsid w:val="00E60153"/>
    <w:rsid w:val="00E64988"/>
    <w:rsid w:val="00E67EDD"/>
    <w:rsid w:val="00E70B9A"/>
    <w:rsid w:val="00E7258F"/>
    <w:rsid w:val="00E77633"/>
    <w:rsid w:val="00E83789"/>
    <w:rsid w:val="00E92A0F"/>
    <w:rsid w:val="00EA0946"/>
    <w:rsid w:val="00EA192F"/>
    <w:rsid w:val="00EB1E6D"/>
    <w:rsid w:val="00EC34BD"/>
    <w:rsid w:val="00EC3614"/>
    <w:rsid w:val="00EC73A9"/>
    <w:rsid w:val="00ED0CF1"/>
    <w:rsid w:val="00EE148C"/>
    <w:rsid w:val="00EE4466"/>
    <w:rsid w:val="00EE687F"/>
    <w:rsid w:val="00F024A0"/>
    <w:rsid w:val="00F147B5"/>
    <w:rsid w:val="00F155BA"/>
    <w:rsid w:val="00F15FC4"/>
    <w:rsid w:val="00F24DAA"/>
    <w:rsid w:val="00F2770C"/>
    <w:rsid w:val="00F61676"/>
    <w:rsid w:val="00F74031"/>
    <w:rsid w:val="00F74137"/>
    <w:rsid w:val="00F82983"/>
    <w:rsid w:val="00F90C43"/>
    <w:rsid w:val="00F967DA"/>
    <w:rsid w:val="00FA2F25"/>
    <w:rsid w:val="00FA3A60"/>
    <w:rsid w:val="00FB28C9"/>
    <w:rsid w:val="00FC5161"/>
    <w:rsid w:val="00FD325F"/>
    <w:rsid w:val="00FF3969"/>
    <w:rsid w:val="00FF7262"/>
    <w:rsid w:val="00FF7CCD"/>
    <w:rsid w:val="04D74983"/>
    <w:rsid w:val="0FDBC908"/>
    <w:rsid w:val="185D41F9"/>
    <w:rsid w:val="3A15B855"/>
    <w:rsid w:val="3BF91530"/>
    <w:rsid w:val="3DF3914F"/>
    <w:rsid w:val="3F7DB066"/>
    <w:rsid w:val="475A49C5"/>
    <w:rsid w:val="4DFD0850"/>
    <w:rsid w:val="59FFA779"/>
    <w:rsid w:val="5BFF94E4"/>
    <w:rsid w:val="5F1DFEC6"/>
    <w:rsid w:val="5F7E0B92"/>
    <w:rsid w:val="5FE133C7"/>
    <w:rsid w:val="612742F0"/>
    <w:rsid w:val="61FFD28C"/>
    <w:rsid w:val="62F3F048"/>
    <w:rsid w:val="66EB2E6F"/>
    <w:rsid w:val="67C239BA"/>
    <w:rsid w:val="68ABB860"/>
    <w:rsid w:val="6DD710AE"/>
    <w:rsid w:val="6DE5D8C5"/>
    <w:rsid w:val="6E7D6ED2"/>
    <w:rsid w:val="6FEEAC5D"/>
    <w:rsid w:val="7379E1CB"/>
    <w:rsid w:val="77FF5EA7"/>
    <w:rsid w:val="796075AF"/>
    <w:rsid w:val="7BB92818"/>
    <w:rsid w:val="7BFA4E29"/>
    <w:rsid w:val="7D6B80F5"/>
    <w:rsid w:val="7DBF501A"/>
    <w:rsid w:val="7DD31F43"/>
    <w:rsid w:val="7F53B295"/>
    <w:rsid w:val="7FA39B56"/>
    <w:rsid w:val="7FD9F635"/>
    <w:rsid w:val="7FFB0EF9"/>
    <w:rsid w:val="7FFCD1BC"/>
    <w:rsid w:val="7FFDD0EB"/>
    <w:rsid w:val="7FFE45D6"/>
    <w:rsid w:val="7FFF9628"/>
    <w:rsid w:val="86CD7D49"/>
    <w:rsid w:val="9FE5CE10"/>
    <w:rsid w:val="A0F443B0"/>
    <w:rsid w:val="A1E99964"/>
    <w:rsid w:val="AFEE3E41"/>
    <w:rsid w:val="B29797F1"/>
    <w:rsid w:val="B9B72CD4"/>
    <w:rsid w:val="B9F50DD9"/>
    <w:rsid w:val="BB7BBB16"/>
    <w:rsid w:val="BBF7095A"/>
    <w:rsid w:val="BDA5BC9B"/>
    <w:rsid w:val="BEB11BA8"/>
    <w:rsid w:val="BF5F6562"/>
    <w:rsid w:val="C7FB425D"/>
    <w:rsid w:val="D73DDDB5"/>
    <w:rsid w:val="DE6B7AF1"/>
    <w:rsid w:val="DEF33786"/>
    <w:rsid w:val="DF9ECC8B"/>
    <w:rsid w:val="E93B1420"/>
    <w:rsid w:val="E9FD1A6E"/>
    <w:rsid w:val="E9FD6616"/>
    <w:rsid w:val="EBC78731"/>
    <w:rsid w:val="EDFEA9B4"/>
    <w:rsid w:val="EEBF0BA6"/>
    <w:rsid w:val="F4F1E077"/>
    <w:rsid w:val="F5F50571"/>
    <w:rsid w:val="F67F35A7"/>
    <w:rsid w:val="FA1FCF0C"/>
    <w:rsid w:val="FADFB69A"/>
    <w:rsid w:val="FAFF5275"/>
    <w:rsid w:val="FBFE95A4"/>
    <w:rsid w:val="FDEFA8A0"/>
    <w:rsid w:val="FEEF20C0"/>
    <w:rsid w:val="FF7A86E6"/>
    <w:rsid w:val="FF8D150C"/>
    <w:rsid w:val="FF9B962E"/>
    <w:rsid w:val="FFBB3DB2"/>
    <w:rsid w:val="FFCA1E8C"/>
    <w:rsid w:val="FFCF8195"/>
    <w:rsid w:val="FFD513EB"/>
    <w:rsid w:val="FFD5F671"/>
    <w:rsid w:val="FFFF84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1"/>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37"/>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35"/>
    <w:unhideWhenUsed/>
    <w:qFormat/>
    <w:uiPriority w:val="0"/>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44"/>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56"/>
    <w:semiHidden/>
    <w:unhideWhenUsed/>
    <w:qFormat/>
    <w:uiPriority w:val="9"/>
    <w:pPr>
      <w:keepNext/>
      <w:keepLines/>
      <w:spacing w:before="80" w:after="40"/>
      <w:outlineLvl w:val="4"/>
    </w:pPr>
    <w:rPr>
      <w:rFonts w:cstheme="majorBidi"/>
      <w:color w:val="2F5597" w:themeColor="accent1" w:themeShade="BF"/>
      <w:sz w:val="24"/>
    </w:rPr>
  </w:style>
  <w:style w:type="paragraph" w:styleId="7">
    <w:name w:val="heading 6"/>
    <w:basedOn w:val="1"/>
    <w:next w:val="1"/>
    <w:link w:val="59"/>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5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5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jc w:val="left"/>
    </w:pPr>
    <w:rPr>
      <w:sz w:val="22"/>
      <w14:ligatures w14:val="standardContextual"/>
    </w:rPr>
  </w:style>
  <w:style w:type="paragraph" w:styleId="12">
    <w:name w:val="caption"/>
    <w:basedOn w:val="1"/>
    <w:next w:val="1"/>
    <w:unhideWhenUsed/>
    <w:qFormat/>
    <w:uiPriority w:val="35"/>
    <w:rPr>
      <w:rFonts w:eastAsia="黑体" w:asciiTheme="majorHAnsi" w:hAnsiTheme="majorHAnsi" w:cstheme="majorBidi"/>
      <w:sz w:val="20"/>
      <w:szCs w:val="20"/>
    </w:rPr>
  </w:style>
  <w:style w:type="paragraph" w:styleId="13">
    <w:name w:val="annotation text"/>
    <w:link w:val="39"/>
    <w:semiHidden/>
    <w:unhideWhenUsed/>
    <w:qFormat/>
    <w:uiPriority w:val="99"/>
    <w:pPr>
      <w:widowControl w:val="0"/>
      <w:spacing w:after="160" w:line="278" w:lineRule="auto"/>
    </w:pPr>
    <w:rPr>
      <w:rFonts w:asciiTheme="minorHAnsi" w:hAnsiTheme="minorHAnsi" w:eastAsiaTheme="minorEastAsia" w:cstheme="minorBidi"/>
      <w:kern w:val="2"/>
      <w:sz w:val="21"/>
      <w:szCs w:val="24"/>
      <w:lang w:val="en-US" w:eastAsia="zh-CN" w:bidi="ar-SA"/>
    </w:rPr>
  </w:style>
  <w:style w:type="paragraph" w:styleId="14">
    <w:name w:val="toc 5"/>
    <w:basedOn w:val="1"/>
    <w:next w:val="1"/>
    <w:unhideWhenUsed/>
    <w:qFormat/>
    <w:uiPriority w:val="39"/>
    <w:pPr>
      <w:ind w:left="1680" w:leftChars="800"/>
      <w:jc w:val="left"/>
    </w:pPr>
    <w:rPr>
      <w:sz w:val="22"/>
      <w14:ligatures w14:val="standardContextual"/>
    </w:rPr>
  </w:style>
  <w:style w:type="paragraph" w:styleId="15">
    <w:name w:val="toc 3"/>
    <w:basedOn w:val="1"/>
    <w:next w:val="1"/>
    <w:unhideWhenUsed/>
    <w:qFormat/>
    <w:uiPriority w:val="39"/>
    <w:pPr>
      <w:ind w:left="840" w:leftChars="400"/>
    </w:pPr>
  </w:style>
  <w:style w:type="paragraph" w:styleId="16">
    <w:name w:val="toc 8"/>
    <w:basedOn w:val="1"/>
    <w:next w:val="1"/>
    <w:unhideWhenUsed/>
    <w:qFormat/>
    <w:uiPriority w:val="39"/>
    <w:pPr>
      <w:ind w:left="2940" w:leftChars="1400"/>
      <w:jc w:val="left"/>
    </w:pPr>
    <w:rPr>
      <w:sz w:val="22"/>
      <w14:ligatures w14:val="standardContextual"/>
    </w:rPr>
  </w:style>
  <w:style w:type="paragraph" w:styleId="17">
    <w:name w:val="footer"/>
    <w:basedOn w:val="1"/>
    <w:link w:val="53"/>
    <w:unhideWhenUsed/>
    <w:qFormat/>
    <w:uiPriority w:val="99"/>
    <w:pPr>
      <w:tabs>
        <w:tab w:val="center" w:pos="4153"/>
        <w:tab w:val="right" w:pos="8306"/>
      </w:tabs>
      <w:snapToGrid w:val="0"/>
      <w:jc w:val="left"/>
    </w:pPr>
    <w:rPr>
      <w:sz w:val="18"/>
      <w:szCs w:val="18"/>
    </w:rPr>
  </w:style>
  <w:style w:type="paragraph" w:styleId="18">
    <w:name w:val="header"/>
    <w:basedOn w:val="1"/>
    <w:link w:val="57"/>
    <w:unhideWhenUsed/>
    <w:qFormat/>
    <w:uiPriority w:val="99"/>
    <w:pP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oc 4"/>
    <w:basedOn w:val="1"/>
    <w:next w:val="1"/>
    <w:unhideWhenUsed/>
    <w:qFormat/>
    <w:uiPriority w:val="39"/>
    <w:pPr>
      <w:ind w:left="1260" w:leftChars="600"/>
      <w:jc w:val="left"/>
    </w:pPr>
    <w:rPr>
      <w:sz w:val="22"/>
      <w14:ligatures w14:val="standardContextual"/>
    </w:rPr>
  </w:style>
  <w:style w:type="paragraph" w:styleId="21">
    <w:name w:val="Subtitle"/>
    <w:basedOn w:val="1"/>
    <w:next w:val="1"/>
    <w:link w:val="6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2">
    <w:name w:val="footnote text"/>
    <w:basedOn w:val="1"/>
    <w:qFormat/>
    <w:uiPriority w:val="9"/>
    <w:rPr>
      <w:sz w:val="18"/>
      <w:szCs w:val="18"/>
    </w:rPr>
  </w:style>
  <w:style w:type="paragraph" w:styleId="23">
    <w:name w:val="toc 6"/>
    <w:basedOn w:val="1"/>
    <w:next w:val="1"/>
    <w:unhideWhenUsed/>
    <w:qFormat/>
    <w:uiPriority w:val="39"/>
    <w:pPr>
      <w:ind w:left="2100" w:leftChars="1000"/>
      <w:jc w:val="left"/>
    </w:pPr>
    <w:rPr>
      <w:sz w:val="22"/>
      <w14:ligatures w14:val="standardContextual"/>
    </w:rPr>
  </w:style>
  <w:style w:type="paragraph" w:styleId="24">
    <w:name w:val="toc 2"/>
    <w:basedOn w:val="1"/>
    <w:next w:val="1"/>
    <w:unhideWhenUsed/>
    <w:qFormat/>
    <w:uiPriority w:val="39"/>
    <w:pPr>
      <w:ind w:left="420" w:leftChars="200"/>
    </w:pPr>
  </w:style>
  <w:style w:type="paragraph" w:styleId="25">
    <w:name w:val="toc 9"/>
    <w:basedOn w:val="1"/>
    <w:next w:val="1"/>
    <w:unhideWhenUsed/>
    <w:qFormat/>
    <w:uiPriority w:val="39"/>
    <w:pPr>
      <w:ind w:left="3360" w:leftChars="1600"/>
      <w:jc w:val="left"/>
    </w:pPr>
    <w:rPr>
      <w:sz w:val="22"/>
      <w14:ligatures w14:val="standardContextual"/>
    </w:rPr>
  </w:style>
  <w:style w:type="paragraph" w:styleId="26">
    <w:name w:val="Normal (Web)"/>
    <w:basedOn w:val="1"/>
    <w:semiHidden/>
    <w:unhideWhenUsed/>
    <w:qFormat/>
    <w:uiPriority w:val="99"/>
    <w:rPr>
      <w:sz w:val="24"/>
    </w:rPr>
  </w:style>
  <w:style w:type="paragraph" w:styleId="27">
    <w:name w:val="Title"/>
    <w:basedOn w:val="1"/>
    <w:next w:val="1"/>
    <w:link w:val="54"/>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29">
    <w:name w:val="Table Grid"/>
    <w:basedOn w:val="28"/>
    <w:qFormat/>
    <w:uiPriority w:val="0"/>
    <w:rPr>
      <w:rFonts w:ascii="Times New Roman" w:hAnsi="Times New Roma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FollowedHyperlink"/>
    <w:basedOn w:val="30"/>
    <w:semiHidden/>
    <w:unhideWhenUsed/>
    <w:qFormat/>
    <w:uiPriority w:val="99"/>
    <w:rPr>
      <w:color w:val="954F72" w:themeColor="followedHyperlink"/>
      <w:u w:val="single"/>
      <w14:textFill>
        <w14:solidFill>
          <w14:schemeClr w14:val="folHlink"/>
        </w14:solidFill>
      </w14:textFill>
    </w:rPr>
  </w:style>
  <w:style w:type="character" w:styleId="32">
    <w:name w:val="Hyperlink"/>
    <w:basedOn w:val="30"/>
    <w:unhideWhenUsed/>
    <w:qFormat/>
    <w:uiPriority w:val="99"/>
    <w:rPr>
      <w:color w:val="0563C1" w:themeColor="hyperlink"/>
      <w:u w:val="single"/>
      <w14:textFill>
        <w14:solidFill>
          <w14:schemeClr w14:val="hlink"/>
        </w14:solidFill>
      </w14:textFill>
    </w:rPr>
  </w:style>
  <w:style w:type="character" w:styleId="33">
    <w:name w:val="annotation reference"/>
    <w:basedOn w:val="30"/>
    <w:semiHidden/>
    <w:unhideWhenUsed/>
    <w:qFormat/>
    <w:uiPriority w:val="99"/>
    <w:rPr>
      <w:sz w:val="21"/>
      <w:szCs w:val="21"/>
    </w:rPr>
  </w:style>
  <w:style w:type="character" w:styleId="34">
    <w:name w:val="footnote reference"/>
    <w:basedOn w:val="30"/>
    <w:semiHidden/>
    <w:unhideWhenUsed/>
    <w:qFormat/>
    <w:uiPriority w:val="99"/>
    <w:rPr>
      <w:vertAlign w:val="superscript"/>
    </w:rPr>
  </w:style>
  <w:style w:type="character" w:customStyle="1" w:styleId="35">
    <w:name w:val="标题 3 字符"/>
    <w:basedOn w:val="30"/>
    <w:link w:val="4"/>
    <w:qFormat/>
    <w:uiPriority w:val="0"/>
    <w:rPr>
      <w:rFonts w:asciiTheme="majorHAnsi" w:hAnsiTheme="majorHAnsi" w:eastAsiaTheme="majorEastAsia" w:cstheme="majorBidi"/>
      <w:color w:val="2F5597" w:themeColor="accent1" w:themeShade="BF"/>
      <w:sz w:val="32"/>
      <w:szCs w:val="32"/>
    </w:rPr>
  </w:style>
  <w:style w:type="character" w:customStyle="1" w:styleId="36">
    <w:name w:val="未处理的提及1"/>
    <w:basedOn w:val="30"/>
    <w:semiHidden/>
    <w:unhideWhenUsed/>
    <w:qFormat/>
    <w:uiPriority w:val="99"/>
    <w:rPr>
      <w:color w:val="605E5C"/>
      <w:shd w:val="clear" w:color="auto" w:fill="E1DFDD"/>
    </w:rPr>
  </w:style>
  <w:style w:type="character" w:customStyle="1" w:styleId="37">
    <w:name w:val="标题 2 字符"/>
    <w:basedOn w:val="30"/>
    <w:link w:val="3"/>
    <w:semiHidden/>
    <w:qFormat/>
    <w:uiPriority w:val="9"/>
    <w:rPr>
      <w:rFonts w:asciiTheme="majorHAnsi" w:hAnsiTheme="majorHAnsi" w:eastAsiaTheme="majorEastAsia" w:cstheme="majorBidi"/>
      <w:color w:val="2F5597" w:themeColor="accent1" w:themeShade="BF"/>
      <w:sz w:val="40"/>
      <w:szCs w:val="40"/>
    </w:rPr>
  </w:style>
  <w:style w:type="paragraph" w:styleId="38">
    <w:name w:val="Intense Quote"/>
    <w:basedOn w:val="1"/>
    <w:next w:val="1"/>
    <w:link w:val="5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9">
    <w:name w:val="批注文字 字符"/>
    <w:basedOn w:val="30"/>
    <w:link w:val="13"/>
    <w:semiHidden/>
    <w:qFormat/>
    <w:uiPriority w:val="99"/>
    <w:rPr>
      <w:kern w:val="2"/>
      <w:sz w:val="21"/>
      <w:szCs w:val="24"/>
    </w:rPr>
  </w:style>
  <w:style w:type="character" w:customStyle="1" w:styleId="40">
    <w:name w:val="未处理的提及11"/>
    <w:basedOn w:val="30"/>
    <w:semiHidden/>
    <w:unhideWhenUsed/>
    <w:qFormat/>
    <w:uiPriority w:val="99"/>
    <w:rPr>
      <w:color w:val="605E5C"/>
      <w:shd w:val="clear" w:color="auto" w:fill="E1DFDD"/>
    </w:rPr>
  </w:style>
  <w:style w:type="paragraph" w:customStyle="1" w:styleId="41">
    <w:name w:val="修订1"/>
    <w:hidden/>
    <w:unhideWhenUsed/>
    <w:qFormat/>
    <w:uiPriority w:val="99"/>
    <w:pPr>
      <w:spacing w:after="160" w:line="278" w:lineRule="auto"/>
    </w:pPr>
    <w:rPr>
      <w:rFonts w:asciiTheme="minorHAnsi" w:hAnsiTheme="minorHAnsi" w:eastAsiaTheme="minorEastAsia" w:cstheme="minorBidi"/>
      <w:kern w:val="2"/>
      <w:sz w:val="21"/>
      <w:szCs w:val="24"/>
      <w:lang w:val="en-US" w:eastAsia="zh-CN" w:bidi="ar-SA"/>
    </w:rPr>
  </w:style>
  <w:style w:type="paragraph" w:customStyle="1" w:styleId="42">
    <w:name w:val="TOC 标题1"/>
    <w:basedOn w:val="2"/>
    <w:next w:val="1"/>
    <w:unhideWhenUsed/>
    <w:qFormat/>
    <w:uiPriority w:val="39"/>
    <w:pPr>
      <w:widowControl/>
      <w:spacing w:before="240" w:after="0" w:line="259" w:lineRule="auto"/>
      <w:jc w:val="left"/>
      <w:outlineLvl w:val="9"/>
    </w:pPr>
    <w:rPr>
      <w:kern w:val="0"/>
      <w:sz w:val="32"/>
      <w:szCs w:val="32"/>
    </w:rPr>
  </w:style>
  <w:style w:type="character" w:customStyle="1" w:styleId="43">
    <w:name w:val="明显参考1"/>
    <w:basedOn w:val="30"/>
    <w:qFormat/>
    <w:uiPriority w:val="32"/>
    <w:rPr>
      <w:b/>
      <w:bCs/>
      <w:smallCaps/>
      <w:color w:val="2F5597" w:themeColor="accent1" w:themeShade="BF"/>
      <w:spacing w:val="5"/>
    </w:rPr>
  </w:style>
  <w:style w:type="character" w:customStyle="1" w:styleId="44">
    <w:name w:val="标题 4 字符"/>
    <w:basedOn w:val="30"/>
    <w:link w:val="5"/>
    <w:semiHidden/>
    <w:qFormat/>
    <w:uiPriority w:val="9"/>
    <w:rPr>
      <w:rFonts w:cstheme="majorBidi"/>
      <w:color w:val="2F5597" w:themeColor="accent1" w:themeShade="BF"/>
      <w:sz w:val="28"/>
      <w:szCs w:val="28"/>
    </w:rPr>
  </w:style>
  <w:style w:type="character" w:customStyle="1" w:styleId="45">
    <w:name w:val="引用 字符"/>
    <w:basedOn w:val="30"/>
    <w:link w:val="46"/>
    <w:qFormat/>
    <w:uiPriority w:val="29"/>
    <w:rPr>
      <w:i/>
      <w:iCs/>
      <w:color w:val="404040" w:themeColor="text1" w:themeTint="BF"/>
      <w14:textFill>
        <w14:solidFill>
          <w14:schemeClr w14:val="tx1">
            <w14:lumMod w14:val="75000"/>
            <w14:lumOff w14:val="25000"/>
          </w14:schemeClr>
        </w14:solidFill>
      </w14:textFill>
    </w:rPr>
  </w:style>
  <w:style w:type="paragraph" w:styleId="46">
    <w:name w:val="Quote"/>
    <w:basedOn w:val="1"/>
    <w:next w:val="1"/>
    <w:link w:val="4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paragraph" w:styleId="47">
    <w:name w:val="List Paragraph"/>
    <w:basedOn w:val="1"/>
    <w:qFormat/>
    <w:uiPriority w:val="99"/>
    <w:pPr>
      <w:ind w:left="720"/>
      <w:contextualSpacing/>
    </w:pPr>
  </w:style>
  <w:style w:type="character" w:customStyle="1" w:styleId="48">
    <w:name w:val="标题 9 字符"/>
    <w:basedOn w:val="30"/>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paragraph" w:customStyle="1" w:styleId="49">
    <w:name w:val="修订2"/>
    <w:hidden/>
    <w:unhideWhenUsed/>
    <w:qFormat/>
    <w:uiPriority w:val="99"/>
    <w:pPr>
      <w:spacing w:after="0" w:line="240" w:lineRule="auto"/>
    </w:pPr>
    <w:rPr>
      <w:rFonts w:asciiTheme="minorHAnsi" w:hAnsiTheme="minorHAnsi" w:eastAsiaTheme="minorEastAsia" w:cstheme="minorBidi"/>
      <w:kern w:val="2"/>
      <w:sz w:val="21"/>
      <w:szCs w:val="24"/>
      <w:lang w:val="en-US" w:eastAsia="zh-CN" w:bidi="ar-SA"/>
    </w:rPr>
  </w:style>
  <w:style w:type="character" w:customStyle="1" w:styleId="50">
    <w:name w:val="标题 7 字符"/>
    <w:basedOn w:val="30"/>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51">
    <w:name w:val="未处理的提及2"/>
    <w:basedOn w:val="30"/>
    <w:semiHidden/>
    <w:unhideWhenUsed/>
    <w:qFormat/>
    <w:uiPriority w:val="99"/>
    <w:rPr>
      <w:color w:val="605E5C"/>
      <w:shd w:val="clear" w:color="auto" w:fill="E1DFDD"/>
    </w:rPr>
  </w:style>
  <w:style w:type="character" w:customStyle="1" w:styleId="52">
    <w:name w:val="明显强调1"/>
    <w:basedOn w:val="30"/>
    <w:qFormat/>
    <w:uiPriority w:val="21"/>
    <w:rPr>
      <w:i/>
      <w:iCs/>
      <w:color w:val="2F5597" w:themeColor="accent1" w:themeShade="BF"/>
    </w:rPr>
  </w:style>
  <w:style w:type="character" w:customStyle="1" w:styleId="53">
    <w:name w:val="页脚 字符"/>
    <w:basedOn w:val="30"/>
    <w:link w:val="17"/>
    <w:qFormat/>
    <w:uiPriority w:val="99"/>
    <w:rPr>
      <w:sz w:val="18"/>
      <w:szCs w:val="18"/>
    </w:rPr>
  </w:style>
  <w:style w:type="character" w:customStyle="1" w:styleId="54">
    <w:name w:val="标题 字符"/>
    <w:basedOn w:val="30"/>
    <w:link w:val="27"/>
    <w:qFormat/>
    <w:uiPriority w:val="10"/>
    <w:rPr>
      <w:rFonts w:asciiTheme="majorHAnsi" w:hAnsiTheme="majorHAnsi" w:eastAsiaTheme="majorEastAsia" w:cstheme="majorBidi"/>
      <w:spacing w:val="-10"/>
      <w:kern w:val="28"/>
      <w:sz w:val="56"/>
      <w:szCs w:val="56"/>
    </w:rPr>
  </w:style>
  <w:style w:type="character" w:customStyle="1" w:styleId="55">
    <w:name w:val="标题 8 字符"/>
    <w:basedOn w:val="30"/>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56">
    <w:name w:val="标题 5 字符"/>
    <w:basedOn w:val="30"/>
    <w:link w:val="6"/>
    <w:semiHidden/>
    <w:qFormat/>
    <w:uiPriority w:val="9"/>
    <w:rPr>
      <w:rFonts w:cstheme="majorBidi"/>
      <w:color w:val="2F5597" w:themeColor="accent1" w:themeShade="BF"/>
      <w:sz w:val="24"/>
      <w:szCs w:val="24"/>
    </w:rPr>
  </w:style>
  <w:style w:type="character" w:customStyle="1" w:styleId="57">
    <w:name w:val="页眉 字符"/>
    <w:basedOn w:val="30"/>
    <w:link w:val="18"/>
    <w:qFormat/>
    <w:uiPriority w:val="99"/>
    <w:rPr>
      <w:sz w:val="18"/>
      <w:szCs w:val="18"/>
    </w:rPr>
  </w:style>
  <w:style w:type="character" w:customStyle="1" w:styleId="58">
    <w:name w:val="明显引用 字符"/>
    <w:basedOn w:val="30"/>
    <w:link w:val="38"/>
    <w:qFormat/>
    <w:uiPriority w:val="30"/>
    <w:rPr>
      <w:i/>
      <w:iCs/>
      <w:color w:val="2F5597" w:themeColor="accent1" w:themeShade="BF"/>
    </w:rPr>
  </w:style>
  <w:style w:type="character" w:customStyle="1" w:styleId="59">
    <w:name w:val="标题 6 字符"/>
    <w:basedOn w:val="30"/>
    <w:link w:val="7"/>
    <w:semiHidden/>
    <w:qFormat/>
    <w:uiPriority w:val="9"/>
    <w:rPr>
      <w:rFonts w:cstheme="majorBidi"/>
      <w:b/>
      <w:bCs/>
      <w:color w:val="2F5597" w:themeColor="accent1" w:themeShade="BF"/>
    </w:rPr>
  </w:style>
  <w:style w:type="character" w:customStyle="1" w:styleId="60">
    <w:name w:val="副标题 字符"/>
    <w:basedOn w:val="30"/>
    <w:link w:val="2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61">
    <w:name w:val="标题 1 字符"/>
    <w:basedOn w:val="30"/>
    <w:link w:val="2"/>
    <w:qFormat/>
    <w:uiPriority w:val="9"/>
    <w:rPr>
      <w:rFonts w:asciiTheme="majorHAnsi" w:hAnsiTheme="majorHAnsi" w:eastAsiaTheme="majorEastAsia" w:cstheme="majorBidi"/>
      <w:color w:val="2F5597" w:themeColor="accent1" w:themeShade="BF"/>
      <w:sz w:val="48"/>
      <w:szCs w:val="48"/>
    </w:rPr>
  </w:style>
  <w:style w:type="table" w:customStyle="1" w:styleId="62">
    <w:name w:val="网格型1"/>
    <w:basedOn w:val="28"/>
    <w:qFormat/>
    <w:uiPriority w:val="0"/>
    <w:rPr>
      <w:rFonts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3">
    <w:name w:val="Revision"/>
    <w:hidden/>
    <w:unhideWhenUsed/>
    <w:qFormat/>
    <w:uiPriority w:val="99"/>
    <w:pPr>
      <w:spacing w:after="0" w:line="240" w:lineRule="auto"/>
    </w:pPr>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5010</Words>
  <Characters>28563</Characters>
  <Lines>238</Lines>
  <Paragraphs>67</Paragraphs>
  <TotalTime>1</TotalTime>
  <ScaleCrop>false</ScaleCrop>
  <LinksUpToDate>false</LinksUpToDate>
  <CharactersWithSpaces>33506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2026-07-24T06:44:00Z</dcterms:created>
  <dc:creator>kylin</dc:creator>
  <cp:lastModifiedBy>kylin</cp:lastModifiedBy>
  <cp:lastPrinted>2026-08-07T20:03:00Z</cp:lastPrinted>
  <dcterms:modified xsi:type="dcterms:W3CDTF">2026-08-14T18:18:29Z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