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0" w:type="auto"/>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27"/>
        <w:gridCol w:w="261"/>
        <w:gridCol w:w="363"/>
        <w:gridCol w:w="332"/>
        <w:gridCol w:w="662"/>
        <w:gridCol w:w="1230"/>
        <w:gridCol w:w="637"/>
        <w:gridCol w:w="526"/>
        <w:gridCol w:w="1545"/>
        <w:gridCol w:w="261"/>
        <w:gridCol w:w="439"/>
        <w:gridCol w:w="439"/>
        <w:gridCol w:w="439"/>
        <w:gridCol w:w="363"/>
        <w:gridCol w:w="554"/>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rPr>
        <w:tc>
          <w:tcPr>
            <w:tcW w:w="432" w:type="dxa"/>
            <w:vMerge w:val="restart"/>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jc w:val="center"/>
              <w:rPr>
                <w:sz w:val="16"/>
                <w:szCs w:val="16"/>
              </w:rPr>
            </w:pPr>
            <w:r>
              <w:rPr>
                <w:rStyle w:val="5"/>
                <w:rFonts w:ascii="Arial" w:hAnsi="Arial" w:eastAsia="Arial" w:cs="Arial"/>
                <w:b/>
                <w:bCs/>
                <w:i w:val="0"/>
                <w:iCs w:val="0"/>
                <w:caps w:val="0"/>
                <w:color w:val="000000"/>
                <w:spacing w:val="0"/>
                <w:sz w:val="16"/>
                <w:szCs w:val="16"/>
                <w:bdr w:val="none" w:color="auto" w:sz="0" w:space="0"/>
              </w:rPr>
              <w:t>号</w:t>
            </w:r>
          </w:p>
        </w:tc>
        <w:tc>
          <w:tcPr>
            <w:tcW w:w="300" w:type="dxa"/>
            <w:vMerge w:val="restart"/>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jc w:val="center"/>
              <w:rPr>
                <w:sz w:val="16"/>
                <w:szCs w:val="16"/>
              </w:rPr>
            </w:pPr>
            <w:r>
              <w:rPr>
                <w:rStyle w:val="5"/>
                <w:rFonts w:hint="default" w:ascii="Arial" w:hAnsi="Arial" w:eastAsia="Arial" w:cs="Arial"/>
                <w:b/>
                <w:bCs/>
                <w:i w:val="0"/>
                <w:iCs w:val="0"/>
                <w:caps w:val="0"/>
                <w:color w:val="000000"/>
                <w:spacing w:val="0"/>
                <w:sz w:val="16"/>
                <w:szCs w:val="16"/>
                <w:bdr w:val="none" w:color="auto" w:sz="0" w:space="0"/>
              </w:rPr>
              <w:t>过程</w:t>
            </w:r>
          </w:p>
        </w:tc>
        <w:tc>
          <w:tcPr>
            <w:tcW w:w="1008" w:type="dxa"/>
            <w:gridSpan w:val="2"/>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jc w:val="center"/>
              <w:rPr>
                <w:sz w:val="16"/>
                <w:szCs w:val="16"/>
              </w:rPr>
            </w:pPr>
            <w:r>
              <w:rPr>
                <w:rStyle w:val="5"/>
                <w:rFonts w:hint="default" w:ascii="Arial" w:hAnsi="Arial" w:eastAsia="Arial" w:cs="Arial"/>
                <w:b/>
                <w:bCs/>
                <w:i w:val="0"/>
                <w:iCs w:val="0"/>
                <w:caps w:val="0"/>
                <w:color w:val="000000"/>
                <w:spacing w:val="0"/>
                <w:sz w:val="16"/>
                <w:szCs w:val="16"/>
                <w:bdr w:val="none" w:color="auto" w:sz="0" w:space="0"/>
              </w:rPr>
              <w:t>公开事项</w:t>
            </w:r>
          </w:p>
        </w:tc>
        <w:tc>
          <w:tcPr>
            <w:tcW w:w="1032" w:type="dxa"/>
            <w:vMerge w:val="restart"/>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jc w:val="center"/>
              <w:rPr>
                <w:sz w:val="16"/>
                <w:szCs w:val="16"/>
              </w:rPr>
            </w:pPr>
            <w:r>
              <w:rPr>
                <w:rStyle w:val="5"/>
                <w:rFonts w:hint="default" w:ascii="Arial" w:hAnsi="Arial" w:eastAsia="Arial" w:cs="Arial"/>
                <w:b/>
                <w:bCs/>
                <w:i w:val="0"/>
                <w:iCs w:val="0"/>
                <w:caps w:val="0"/>
                <w:color w:val="000000"/>
                <w:spacing w:val="0"/>
                <w:sz w:val="16"/>
                <w:szCs w:val="16"/>
                <w:bdr w:val="none" w:color="auto" w:sz="0" w:space="0"/>
              </w:rPr>
              <w:t>公开内容</w:t>
            </w:r>
          </w:p>
        </w:tc>
        <w:tc>
          <w:tcPr>
            <w:tcW w:w="2376" w:type="dxa"/>
            <w:vMerge w:val="restart"/>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jc w:val="center"/>
              <w:rPr>
                <w:sz w:val="16"/>
                <w:szCs w:val="16"/>
              </w:rPr>
            </w:pPr>
            <w:r>
              <w:rPr>
                <w:rStyle w:val="5"/>
                <w:rFonts w:hint="default" w:ascii="Arial" w:hAnsi="Arial" w:eastAsia="Arial" w:cs="Arial"/>
                <w:b/>
                <w:bCs/>
                <w:i w:val="0"/>
                <w:iCs w:val="0"/>
                <w:caps w:val="0"/>
                <w:color w:val="000000"/>
                <w:spacing w:val="0"/>
                <w:sz w:val="16"/>
                <w:szCs w:val="16"/>
                <w:bdr w:val="none" w:color="auto" w:sz="0" w:space="0"/>
              </w:rPr>
              <w:t>公开依据</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jc w:val="center"/>
              <w:rPr>
                <w:sz w:val="16"/>
                <w:szCs w:val="16"/>
              </w:rPr>
            </w:pPr>
            <w:r>
              <w:rPr>
                <w:rStyle w:val="5"/>
                <w:rFonts w:hint="default" w:ascii="Arial" w:hAnsi="Arial" w:eastAsia="Arial" w:cs="Arial"/>
                <w:b/>
                <w:bCs/>
                <w:i w:val="0"/>
                <w:iCs w:val="0"/>
                <w:caps w:val="0"/>
                <w:color w:val="000000"/>
                <w:spacing w:val="0"/>
                <w:sz w:val="16"/>
                <w:szCs w:val="16"/>
                <w:bdr w:val="none" w:color="auto" w:sz="0" w:space="0"/>
              </w:rPr>
              <w:t>公开时限</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jc w:val="center"/>
              <w:rPr>
                <w:sz w:val="16"/>
                <w:szCs w:val="16"/>
              </w:rPr>
            </w:pPr>
            <w:r>
              <w:rPr>
                <w:rStyle w:val="5"/>
                <w:rFonts w:hint="default" w:ascii="Arial" w:hAnsi="Arial" w:eastAsia="Arial" w:cs="Arial"/>
                <w:b/>
                <w:bCs/>
                <w:i w:val="0"/>
                <w:iCs w:val="0"/>
                <w:caps w:val="0"/>
                <w:color w:val="000000"/>
                <w:spacing w:val="0"/>
                <w:sz w:val="16"/>
                <w:szCs w:val="16"/>
                <w:bdr w:val="none" w:color="auto" w:sz="0" w:space="0"/>
              </w:rPr>
              <w:t>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jc w:val="center"/>
              <w:rPr>
                <w:sz w:val="16"/>
                <w:szCs w:val="16"/>
              </w:rPr>
            </w:pPr>
            <w:r>
              <w:rPr>
                <w:rStyle w:val="5"/>
                <w:rFonts w:hint="default" w:ascii="Arial" w:hAnsi="Arial" w:eastAsia="Arial" w:cs="Arial"/>
                <w:b/>
                <w:bCs/>
                <w:i w:val="0"/>
                <w:iCs w:val="0"/>
                <w:caps w:val="0"/>
                <w:color w:val="000000"/>
                <w:spacing w:val="0"/>
                <w:sz w:val="16"/>
                <w:szCs w:val="16"/>
                <w:bdr w:val="none" w:color="auto" w:sz="0" w:space="0"/>
              </w:rPr>
              <w:t>主体</w:t>
            </w:r>
          </w:p>
        </w:tc>
        <w:tc>
          <w:tcPr>
            <w:tcW w:w="2112" w:type="dxa"/>
            <w:vMerge w:val="restart"/>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jc w:val="center"/>
              <w:rPr>
                <w:sz w:val="16"/>
                <w:szCs w:val="16"/>
              </w:rPr>
            </w:pPr>
            <w:r>
              <w:rPr>
                <w:rStyle w:val="5"/>
                <w:rFonts w:hint="default" w:ascii="Arial" w:hAnsi="Arial" w:eastAsia="Arial" w:cs="Arial"/>
                <w:b/>
                <w:bCs/>
                <w:i w:val="0"/>
                <w:iCs w:val="0"/>
                <w:caps w:val="0"/>
                <w:color w:val="000000"/>
                <w:spacing w:val="0"/>
                <w:sz w:val="16"/>
                <w:szCs w:val="16"/>
                <w:bdr w:val="none" w:color="auto" w:sz="0" w:space="0"/>
              </w:rPr>
              <w:t>公开渠道和载体</w:t>
            </w:r>
          </w:p>
        </w:tc>
        <w:tc>
          <w:tcPr>
            <w:tcW w:w="588" w:type="dxa"/>
            <w:gridSpan w:val="2"/>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jc w:val="center"/>
              <w:rPr>
                <w:sz w:val="16"/>
                <w:szCs w:val="16"/>
              </w:rPr>
            </w:pPr>
            <w:r>
              <w:rPr>
                <w:rStyle w:val="5"/>
                <w:rFonts w:hint="default" w:ascii="Arial" w:hAnsi="Arial" w:eastAsia="Arial" w:cs="Arial"/>
                <w:b/>
                <w:bCs/>
                <w:i w:val="0"/>
                <w:iCs w:val="0"/>
                <w:caps w:val="0"/>
                <w:color w:val="000000"/>
                <w:spacing w:val="0"/>
                <w:sz w:val="16"/>
                <w:szCs w:val="16"/>
                <w:bdr w:val="none" w:color="auto" w:sz="0" w:space="0"/>
              </w:rPr>
              <w:t>公开对象</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jc w:val="center"/>
              <w:rPr>
                <w:sz w:val="16"/>
                <w:szCs w:val="16"/>
              </w:rPr>
            </w:pPr>
            <w:r>
              <w:rPr>
                <w:rStyle w:val="5"/>
                <w:rFonts w:hint="default" w:ascii="Arial" w:hAnsi="Arial" w:eastAsia="Arial" w:cs="Arial"/>
                <w:b/>
                <w:bCs/>
                <w:i w:val="0"/>
                <w:iCs w:val="0"/>
                <w:caps w:val="0"/>
                <w:color w:val="000000"/>
                <w:spacing w:val="0"/>
                <w:sz w:val="16"/>
                <w:szCs w:val="16"/>
                <w:bdr w:val="none" w:color="auto" w:sz="0" w:space="0"/>
              </w:rPr>
              <w:t>公开方式</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jc w:val="center"/>
              <w:rPr>
                <w:sz w:val="16"/>
                <w:szCs w:val="16"/>
              </w:rPr>
            </w:pPr>
            <w:r>
              <w:rPr>
                <w:rStyle w:val="5"/>
                <w:rFonts w:hint="default" w:ascii="Arial" w:hAnsi="Arial" w:eastAsia="Arial" w:cs="Arial"/>
                <w:b/>
                <w:bCs/>
                <w:i w:val="0"/>
                <w:iCs w:val="0"/>
                <w:caps w:val="0"/>
                <w:color w:val="000000"/>
                <w:spacing w:val="0"/>
                <w:sz w:val="16"/>
                <w:szCs w:val="16"/>
                <w:bdr w:val="none" w:color="auto" w:sz="0" w:space="0"/>
              </w:rPr>
              <w:t>公开层级</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0" w:type="dxa"/>
            <w:left w:w="0" w:type="dxa"/>
            <w:bottom w:w="0" w:type="dxa"/>
            <w:right w:w="0" w:type="dxa"/>
          </w:tblCellMar>
        </w:tblPrEx>
        <w:trPr>
          <w:trHeight w:val="889" w:hRule="atLeast"/>
        </w:trPr>
        <w:tc>
          <w:tcPr>
            <w:tcW w:w="43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jc w:val="center"/>
              <w:rPr>
                <w:rFonts w:hint="default" w:ascii="Arial" w:hAnsi="Arial" w:eastAsia="Arial" w:cs="Arial"/>
                <w:i w:val="0"/>
                <w:iCs w:val="0"/>
                <w:caps w:val="0"/>
                <w:color w:val="000000"/>
                <w:spacing w:val="0"/>
                <w:sz w:val="19"/>
                <w:szCs w:val="19"/>
              </w:rPr>
            </w:pPr>
          </w:p>
        </w:tc>
        <w:tc>
          <w:tcPr>
            <w:tcW w:w="30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jc w:val="center"/>
              <w:rPr>
                <w:rFonts w:hint="default" w:ascii="Arial" w:hAnsi="Arial" w:eastAsia="Arial" w:cs="Arial"/>
                <w:i w:val="0"/>
                <w:iCs w:val="0"/>
                <w:caps w:val="0"/>
                <w:color w:val="000000"/>
                <w:spacing w:val="0"/>
                <w:sz w:val="19"/>
                <w:szCs w:val="19"/>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jc w:val="center"/>
              <w:rPr>
                <w:sz w:val="16"/>
                <w:szCs w:val="16"/>
              </w:rPr>
            </w:pPr>
            <w:r>
              <w:rPr>
                <w:rStyle w:val="5"/>
                <w:rFonts w:hint="default" w:ascii="Arial" w:hAnsi="Arial" w:eastAsia="Arial" w:cs="Arial"/>
                <w:b/>
                <w:bCs/>
                <w:i w:val="0"/>
                <w:iCs w:val="0"/>
                <w:caps w:val="0"/>
                <w:color w:val="000000"/>
                <w:spacing w:val="0"/>
                <w:sz w:val="16"/>
                <w:szCs w:val="16"/>
                <w:bdr w:val="none" w:color="auto" w:sz="0" w:space="0"/>
              </w:rPr>
              <w:t>一级 事项</w:t>
            </w:r>
          </w:p>
        </w:tc>
        <w:tc>
          <w:tcPr>
            <w:tcW w:w="468"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jc w:val="center"/>
              <w:rPr>
                <w:sz w:val="16"/>
                <w:szCs w:val="16"/>
              </w:rPr>
            </w:pPr>
            <w:r>
              <w:rPr>
                <w:rStyle w:val="5"/>
                <w:rFonts w:hint="default" w:ascii="Arial" w:hAnsi="Arial" w:eastAsia="Arial" w:cs="Arial"/>
                <w:b/>
                <w:bCs/>
                <w:i w:val="0"/>
                <w:iCs w:val="0"/>
                <w:caps w:val="0"/>
                <w:color w:val="000000"/>
                <w:spacing w:val="0"/>
                <w:sz w:val="16"/>
                <w:szCs w:val="16"/>
                <w:bdr w:val="none" w:color="auto" w:sz="0" w:space="0"/>
              </w:rPr>
              <w:t>二级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jc w:val="center"/>
              <w:rPr>
                <w:sz w:val="16"/>
                <w:szCs w:val="16"/>
              </w:rPr>
            </w:pPr>
            <w:r>
              <w:rPr>
                <w:rStyle w:val="5"/>
                <w:rFonts w:hint="default" w:ascii="Arial" w:hAnsi="Arial" w:eastAsia="Arial" w:cs="Arial"/>
                <w:b/>
                <w:bCs/>
                <w:i w:val="0"/>
                <w:iCs w:val="0"/>
                <w:caps w:val="0"/>
                <w:color w:val="000000"/>
                <w:spacing w:val="0"/>
                <w:sz w:val="16"/>
                <w:szCs w:val="16"/>
                <w:bdr w:val="none" w:color="auto" w:sz="0" w:space="0"/>
              </w:rPr>
              <w:t>事项</w:t>
            </w: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jc w:val="center"/>
              <w:rPr>
                <w:rFonts w:hint="default" w:ascii="Arial" w:hAnsi="Arial" w:eastAsia="Arial" w:cs="Arial"/>
                <w:i w:val="0"/>
                <w:iCs w:val="0"/>
                <w:caps w:val="0"/>
                <w:color w:val="000000"/>
                <w:spacing w:val="0"/>
                <w:sz w:val="19"/>
                <w:szCs w:val="19"/>
              </w:rPr>
            </w:pPr>
          </w:p>
        </w:tc>
        <w:tc>
          <w:tcPr>
            <w:tcW w:w="237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jc w:val="center"/>
              <w:rPr>
                <w:rFonts w:hint="default" w:ascii="Arial" w:hAnsi="Arial" w:eastAsia="Arial" w:cs="Arial"/>
                <w:i w:val="0"/>
                <w:iCs w:val="0"/>
                <w:caps w:val="0"/>
                <w:color w:val="000000"/>
                <w:spacing w:val="0"/>
                <w:sz w:val="19"/>
                <w:szCs w:val="19"/>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jc w:val="center"/>
              <w:rPr>
                <w:rFonts w:hint="default" w:ascii="Arial" w:hAnsi="Arial" w:eastAsia="Arial" w:cs="Arial"/>
                <w:i w:val="0"/>
                <w:iCs w:val="0"/>
                <w:caps w:val="0"/>
                <w:color w:val="000000"/>
                <w:spacing w:val="0"/>
                <w:sz w:val="19"/>
                <w:szCs w:val="19"/>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jc w:val="center"/>
              <w:rPr>
                <w:rFonts w:hint="default" w:ascii="Arial" w:hAnsi="Arial" w:eastAsia="Arial" w:cs="Arial"/>
                <w:i w:val="0"/>
                <w:iCs w:val="0"/>
                <w:caps w:val="0"/>
                <w:color w:val="000000"/>
                <w:spacing w:val="0"/>
                <w:sz w:val="19"/>
                <w:szCs w:val="19"/>
              </w:rPr>
            </w:pPr>
          </w:p>
        </w:tc>
        <w:tc>
          <w:tcPr>
            <w:tcW w:w="211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jc w:val="center"/>
              <w:rPr>
                <w:rFonts w:hint="default" w:ascii="Arial" w:hAnsi="Arial" w:eastAsia="Arial" w:cs="Arial"/>
                <w:i w:val="0"/>
                <w:iCs w:val="0"/>
                <w:caps w:val="0"/>
                <w:color w:val="000000"/>
                <w:spacing w:val="0"/>
                <w:sz w:val="19"/>
                <w:szCs w:val="19"/>
              </w:rPr>
            </w:pPr>
          </w:p>
        </w:tc>
        <w:tc>
          <w:tcPr>
            <w:tcW w:w="300"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jc w:val="center"/>
              <w:rPr>
                <w:sz w:val="16"/>
                <w:szCs w:val="16"/>
              </w:rPr>
            </w:pPr>
            <w:r>
              <w:rPr>
                <w:rStyle w:val="5"/>
                <w:rFonts w:hint="default" w:ascii="Arial" w:hAnsi="Arial" w:eastAsia="Arial" w:cs="Arial"/>
                <w:b/>
                <w:bCs/>
                <w:i w:val="0"/>
                <w:iCs w:val="0"/>
                <w:caps w:val="0"/>
                <w:color w:val="000000"/>
                <w:spacing w:val="0"/>
                <w:sz w:val="16"/>
                <w:szCs w:val="16"/>
                <w:bdr w:val="none" w:color="auto" w:sz="0" w:space="0"/>
              </w:rPr>
              <w:t>全社会</w:t>
            </w:r>
          </w:p>
        </w:tc>
        <w:tc>
          <w:tcPr>
            <w:tcW w:w="540"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jc w:val="center"/>
              <w:rPr>
                <w:sz w:val="16"/>
                <w:szCs w:val="16"/>
              </w:rPr>
            </w:pPr>
            <w:r>
              <w:rPr>
                <w:rStyle w:val="5"/>
                <w:rFonts w:hint="default" w:ascii="Arial" w:hAnsi="Arial" w:eastAsia="Arial" w:cs="Arial"/>
                <w:b/>
                <w:bCs/>
                <w:i w:val="0"/>
                <w:iCs w:val="0"/>
                <w:caps w:val="0"/>
                <w:color w:val="000000"/>
                <w:spacing w:val="0"/>
                <w:sz w:val="16"/>
                <w:szCs w:val="16"/>
                <w:bdr w:val="none" w:color="auto" w:sz="0" w:space="0"/>
              </w:rPr>
              <w:t>特定 群体</w:t>
            </w:r>
          </w:p>
        </w:tc>
        <w:tc>
          <w:tcPr>
            <w:tcW w:w="540"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jc w:val="center"/>
              <w:rPr>
                <w:sz w:val="16"/>
                <w:szCs w:val="16"/>
              </w:rPr>
            </w:pPr>
            <w:r>
              <w:rPr>
                <w:rStyle w:val="5"/>
                <w:rFonts w:hint="default" w:ascii="Arial" w:hAnsi="Arial" w:eastAsia="Arial" w:cs="Arial"/>
                <w:b/>
                <w:bCs/>
                <w:i w:val="0"/>
                <w:iCs w:val="0"/>
                <w:caps w:val="0"/>
                <w:color w:val="000000"/>
                <w:spacing w:val="0"/>
                <w:sz w:val="16"/>
                <w:szCs w:val="16"/>
                <w:bdr w:val="none" w:color="auto" w:sz="0" w:space="0"/>
              </w:rPr>
              <w:t>主动</w:t>
            </w:r>
          </w:p>
        </w:tc>
        <w:tc>
          <w:tcPr>
            <w:tcW w:w="540"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jc w:val="center"/>
              <w:rPr>
                <w:sz w:val="16"/>
                <w:szCs w:val="16"/>
              </w:rPr>
            </w:pPr>
            <w:r>
              <w:rPr>
                <w:rStyle w:val="5"/>
                <w:rFonts w:hint="default" w:ascii="Arial" w:hAnsi="Arial" w:eastAsia="Arial" w:cs="Arial"/>
                <w:b/>
                <w:bCs/>
                <w:i w:val="0"/>
                <w:iCs w:val="0"/>
                <w:caps w:val="0"/>
                <w:color w:val="000000"/>
                <w:spacing w:val="0"/>
                <w:sz w:val="16"/>
                <w:szCs w:val="16"/>
                <w:bdr w:val="none" w:color="auto" w:sz="0" w:space="0"/>
              </w:rPr>
              <w:t>依申请</w:t>
            </w:r>
          </w:p>
        </w:tc>
        <w:tc>
          <w:tcPr>
            <w:tcW w:w="540"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jc w:val="center"/>
              <w:rPr>
                <w:sz w:val="16"/>
                <w:szCs w:val="16"/>
              </w:rPr>
            </w:pPr>
            <w:r>
              <w:rPr>
                <w:rStyle w:val="5"/>
                <w:rFonts w:hint="default" w:ascii="Arial" w:hAnsi="Arial" w:eastAsia="Arial" w:cs="Arial"/>
                <w:b/>
                <w:bCs/>
                <w:i w:val="0"/>
                <w:iCs w:val="0"/>
                <w:caps w:val="0"/>
                <w:color w:val="000000"/>
                <w:spacing w:val="0"/>
                <w:sz w:val="16"/>
                <w:szCs w:val="16"/>
                <w:bdr w:val="none" w:color="auto" w:sz="0" w:space="0"/>
              </w:rPr>
              <w:t>县级</w:t>
            </w:r>
          </w:p>
        </w:tc>
        <w:tc>
          <w:tcPr>
            <w:tcW w:w="540"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jc w:val="center"/>
              <w:rPr>
                <w:sz w:val="16"/>
                <w:szCs w:val="16"/>
              </w:rPr>
            </w:pPr>
            <w:r>
              <w:rPr>
                <w:rStyle w:val="5"/>
                <w:rFonts w:hint="default" w:ascii="Arial" w:hAnsi="Arial" w:eastAsia="Arial" w:cs="Arial"/>
                <w:b/>
                <w:bCs/>
                <w:i w:val="0"/>
                <w:iCs w:val="0"/>
                <w:caps w:val="0"/>
                <w:color w:val="000000"/>
                <w:spacing w:val="0"/>
                <w:sz w:val="16"/>
                <w:szCs w:val="16"/>
                <w:bdr w:val="none" w:color="auto" w:sz="0" w:space="0"/>
              </w:rPr>
              <w:t>乡（镇）级</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0" w:type="dxa"/>
            <w:left w:w="0" w:type="dxa"/>
            <w:bottom w:w="0" w:type="dxa"/>
            <w:right w:w="0" w:type="dxa"/>
          </w:tblCellMar>
        </w:tblPrEx>
        <w:trPr>
          <w:trHeight w:val="1728" w:hRule="atLeast"/>
        </w:trPr>
        <w:tc>
          <w:tcPr>
            <w:tcW w:w="432"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1</w:t>
            </w:r>
          </w:p>
        </w:tc>
        <w:tc>
          <w:tcPr>
            <w:tcW w:w="300" w:type="dxa"/>
            <w:vMerge w:val="restart"/>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决策</w:t>
            </w:r>
          </w:p>
        </w:tc>
        <w:tc>
          <w:tcPr>
            <w:tcW w:w="540"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文件</w:t>
            </w:r>
          </w:p>
        </w:tc>
        <w:tc>
          <w:tcPr>
            <w:tcW w:w="468"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农村危房改造相关文件</w:t>
            </w:r>
          </w:p>
        </w:tc>
        <w:tc>
          <w:tcPr>
            <w:tcW w:w="1032"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文件分类生成日期标题文号有效性关键词和具体内容等</w:t>
            </w:r>
          </w:p>
        </w:tc>
        <w:tc>
          <w:tcPr>
            <w:tcW w:w="2376" w:type="dxa"/>
            <w:vMerge w:val="restart"/>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《政府信息公开条例》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《中共中央办公厅国务院办公厅印发〈关于全面推进政务公开工作的意见〉的通知》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《中共中央办公厅 国务院办公厅关于建立健全信息发布和政策解读机制的意见》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《国务院办公厅印发〈关于全面推进政务公开工作的意见〉实施细则的通知》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新疆维吾尔自治区安居富民工程建设领导小组办公室关于转发《住房和城乡建设部办公厅关于做好“ 十三五”期间农村危房改造对象信息公示工作的通知》的通知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关于批准发布《自治区农村安居工程建设标准》的通知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年度《霍尔果斯市农村安居工程实施方案》</w:t>
            </w:r>
          </w:p>
        </w:tc>
        <w:tc>
          <w:tcPr>
            <w:tcW w:w="972"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信息形成之日起20个工作日内</w:t>
            </w:r>
          </w:p>
        </w:tc>
        <w:tc>
          <w:tcPr>
            <w:tcW w:w="708"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霍尔果斯市住房和城乡建设局</w:t>
            </w:r>
          </w:p>
        </w:tc>
        <w:tc>
          <w:tcPr>
            <w:tcW w:w="3120"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■政府网站 □政府公报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□两微一端 □发布会/听证会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□广播电视 □纸质媒体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□公开查阅点 □政务服务中心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□便民服务站 □入户/现场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□社区/企事业单位/村公示栏（电子屏）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□精准推送 □其他_</w:t>
            </w:r>
          </w:p>
        </w:tc>
        <w:tc>
          <w:tcPr>
            <w:tcW w:w="48"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w:t>
            </w:r>
          </w:p>
        </w:tc>
        <w:tc>
          <w:tcPr>
            <w:tcW w:w="540"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keepNext w:val="0"/>
              <w:keepLines w:val="0"/>
              <w:widowControl/>
              <w:suppressLineNumbers w:val="0"/>
              <w:spacing w:before="0" w:beforeAutospacing="0" w:after="0" w:afterAutospacing="0"/>
              <w:ind w:left="0" w:right="0" w:firstLine="420"/>
              <w:jc w:val="left"/>
              <w:rPr>
                <w:rFonts w:hint="default" w:ascii="Arial" w:hAnsi="Arial" w:eastAsia="Arial" w:cs="Arial"/>
                <w:i w:val="0"/>
                <w:iCs w:val="0"/>
                <w:caps w:val="0"/>
                <w:color w:val="000000"/>
                <w:spacing w:val="0"/>
                <w:sz w:val="19"/>
                <w:szCs w:val="19"/>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w:t>
            </w:r>
          </w:p>
        </w:tc>
        <w:tc>
          <w:tcPr>
            <w:tcW w:w="540"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keepNext w:val="0"/>
              <w:keepLines w:val="0"/>
              <w:widowControl/>
              <w:suppressLineNumbers w:val="0"/>
              <w:spacing w:before="0" w:beforeAutospacing="0" w:after="0" w:afterAutospacing="0"/>
              <w:ind w:left="0" w:right="0" w:firstLine="420"/>
              <w:jc w:val="left"/>
              <w:rPr>
                <w:rFonts w:hint="default" w:ascii="Arial" w:hAnsi="Arial" w:eastAsia="Arial" w:cs="Arial"/>
                <w:i w:val="0"/>
                <w:iCs w:val="0"/>
                <w:caps w:val="0"/>
                <w:color w:val="000000"/>
                <w:spacing w:val="0"/>
                <w:sz w:val="19"/>
                <w:szCs w:val="19"/>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w:t>
            </w:r>
          </w:p>
        </w:tc>
        <w:tc>
          <w:tcPr>
            <w:tcW w:w="540"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0" w:type="dxa"/>
            <w:left w:w="0" w:type="dxa"/>
            <w:bottom w:w="0" w:type="dxa"/>
            <w:right w:w="0" w:type="dxa"/>
          </w:tblCellMar>
        </w:tblPrEx>
        <w:trPr>
          <w:trHeight w:val="1777" w:hRule="atLeast"/>
        </w:trPr>
        <w:tc>
          <w:tcPr>
            <w:tcW w:w="432"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2</w:t>
            </w:r>
          </w:p>
        </w:tc>
        <w:tc>
          <w:tcPr>
            <w:tcW w:w="30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rPr>
                <w:rFonts w:hint="default" w:ascii="Arial" w:hAnsi="Arial" w:eastAsia="Arial" w:cs="Arial"/>
                <w:i w:val="0"/>
                <w:iCs w:val="0"/>
                <w:caps w:val="0"/>
                <w:color w:val="000000"/>
                <w:spacing w:val="0"/>
                <w:sz w:val="19"/>
                <w:szCs w:val="19"/>
              </w:rPr>
            </w:pP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解读</w:t>
            </w:r>
          </w:p>
        </w:tc>
        <w:tc>
          <w:tcPr>
            <w:tcW w:w="468"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上级政策解读</w:t>
            </w:r>
          </w:p>
        </w:tc>
        <w:tc>
          <w:tcPr>
            <w:tcW w:w="1032" w:type="dxa"/>
            <w:vMerge w:val="restart"/>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着重解读政策措施的背景依据目标任务主要内容涉及范围执行标准，以及注意事项关键词诠释惠民利民举措新旧政策差异等</w:t>
            </w:r>
          </w:p>
        </w:tc>
        <w:tc>
          <w:tcPr>
            <w:tcW w:w="237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rPr>
                <w:rFonts w:hint="default" w:ascii="Arial" w:hAnsi="Arial" w:eastAsia="Arial" w:cs="Arial"/>
                <w:i w:val="0"/>
                <w:iCs w:val="0"/>
                <w:caps w:val="0"/>
                <w:color w:val="000000"/>
                <w:spacing w:val="0"/>
                <w:sz w:val="19"/>
                <w:szCs w:val="19"/>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信息形成之日起20个工作日内</w:t>
            </w:r>
          </w:p>
        </w:tc>
        <w:tc>
          <w:tcPr>
            <w:tcW w:w="708"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霍尔果斯市住房和城乡建设局</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■政府网站 □政府公报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□两微一端 □发布会/听证会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□广播电视 □纸质媒体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□公开查阅点 □政务服务中心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□便民服务站 □入户/现场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□社区/企事业单位/村公示栏（电子屏）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□精准推送 □其他_</w:t>
            </w:r>
          </w:p>
        </w:tc>
        <w:tc>
          <w:tcPr>
            <w:tcW w:w="300"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keepNext w:val="0"/>
              <w:keepLines w:val="0"/>
              <w:widowControl/>
              <w:suppressLineNumbers w:val="0"/>
              <w:spacing w:before="0" w:beforeAutospacing="0" w:after="0" w:afterAutospacing="0"/>
              <w:ind w:left="0" w:right="0" w:firstLine="420"/>
              <w:jc w:val="left"/>
              <w:rPr>
                <w:rFonts w:hint="default" w:ascii="Arial" w:hAnsi="Arial" w:eastAsia="Arial" w:cs="Arial"/>
                <w:i w:val="0"/>
                <w:iCs w:val="0"/>
                <w:caps w:val="0"/>
                <w:color w:val="000000"/>
                <w:spacing w:val="0"/>
                <w:sz w:val="19"/>
                <w:szCs w:val="19"/>
              </w:rPr>
            </w:pPr>
          </w:p>
        </w:tc>
        <w:tc>
          <w:tcPr>
            <w:tcW w:w="192"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w:t>
            </w:r>
          </w:p>
        </w:tc>
        <w:tc>
          <w:tcPr>
            <w:tcW w:w="540"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keepNext w:val="0"/>
              <w:keepLines w:val="0"/>
              <w:widowControl/>
              <w:suppressLineNumbers w:val="0"/>
              <w:spacing w:before="0" w:beforeAutospacing="0" w:after="0" w:afterAutospacing="0"/>
              <w:ind w:left="0" w:right="0" w:firstLine="420"/>
              <w:jc w:val="left"/>
              <w:rPr>
                <w:rFonts w:hint="default" w:ascii="Arial" w:hAnsi="Arial" w:eastAsia="Arial" w:cs="Arial"/>
                <w:i w:val="0"/>
                <w:iCs w:val="0"/>
                <w:caps w:val="0"/>
                <w:color w:val="000000"/>
                <w:spacing w:val="0"/>
                <w:sz w:val="19"/>
                <w:szCs w:val="19"/>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w:t>
            </w:r>
          </w:p>
        </w:tc>
        <w:tc>
          <w:tcPr>
            <w:tcW w:w="540"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0" w:type="dxa"/>
            <w:left w:w="0" w:type="dxa"/>
            <w:bottom w:w="0" w:type="dxa"/>
            <w:right w:w="0" w:type="dxa"/>
          </w:tblCellMar>
        </w:tblPrEx>
        <w:trPr>
          <w:trHeight w:val="1764" w:hRule="atLeast"/>
        </w:trPr>
        <w:tc>
          <w:tcPr>
            <w:tcW w:w="432"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3</w:t>
            </w:r>
          </w:p>
        </w:tc>
        <w:tc>
          <w:tcPr>
            <w:tcW w:w="30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rPr>
                <w:rFonts w:hint="default" w:ascii="Arial" w:hAnsi="Arial" w:eastAsia="Arial" w:cs="Arial"/>
                <w:i w:val="0"/>
                <w:iCs w:val="0"/>
                <w:caps w:val="0"/>
                <w:color w:val="000000"/>
                <w:spacing w:val="0"/>
                <w:sz w:val="19"/>
                <w:szCs w:val="19"/>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rPr>
                <w:rFonts w:hint="default" w:ascii="Arial" w:hAnsi="Arial" w:eastAsia="Arial" w:cs="Arial"/>
                <w:i w:val="0"/>
                <w:iCs w:val="0"/>
                <w:caps w:val="0"/>
                <w:color w:val="000000"/>
                <w:spacing w:val="0"/>
                <w:sz w:val="19"/>
                <w:szCs w:val="19"/>
              </w:rPr>
            </w:pPr>
          </w:p>
        </w:tc>
        <w:tc>
          <w:tcPr>
            <w:tcW w:w="468"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本级政策解读</w:t>
            </w: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rPr>
                <w:rFonts w:hint="default" w:ascii="Arial" w:hAnsi="Arial" w:eastAsia="Arial" w:cs="Arial"/>
                <w:i w:val="0"/>
                <w:iCs w:val="0"/>
                <w:caps w:val="0"/>
                <w:color w:val="000000"/>
                <w:spacing w:val="0"/>
                <w:sz w:val="19"/>
                <w:szCs w:val="19"/>
              </w:rPr>
            </w:pPr>
          </w:p>
        </w:tc>
        <w:tc>
          <w:tcPr>
            <w:tcW w:w="237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rPr>
                <w:rFonts w:hint="default" w:ascii="Arial" w:hAnsi="Arial" w:eastAsia="Arial" w:cs="Arial"/>
                <w:i w:val="0"/>
                <w:iCs w:val="0"/>
                <w:caps w:val="0"/>
                <w:color w:val="000000"/>
                <w:spacing w:val="0"/>
                <w:sz w:val="19"/>
                <w:szCs w:val="19"/>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信息形成之日起20个工作日内</w:t>
            </w:r>
          </w:p>
        </w:tc>
        <w:tc>
          <w:tcPr>
            <w:tcW w:w="708"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霍尔果斯市住房和城乡建设局</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■政府网站 □政府公报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□两微一端 □发布会/听证会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□广播电视 □纸质媒体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□公开查阅点 □政务服务中心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□便民服务站 □入户/现场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□社区/企事业单位/村公示栏（电子屏）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□精准推送 □其他_</w:t>
            </w:r>
          </w:p>
        </w:tc>
        <w:tc>
          <w:tcPr>
            <w:tcW w:w="300"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w:t>
            </w:r>
          </w:p>
        </w:tc>
        <w:tc>
          <w:tcPr>
            <w:tcW w:w="540"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keepNext w:val="0"/>
              <w:keepLines w:val="0"/>
              <w:widowControl/>
              <w:suppressLineNumbers w:val="0"/>
              <w:spacing w:before="0" w:beforeAutospacing="0" w:after="0" w:afterAutospacing="0"/>
              <w:ind w:left="0" w:right="0" w:firstLine="420"/>
              <w:jc w:val="left"/>
              <w:rPr>
                <w:rFonts w:hint="default" w:ascii="Arial" w:hAnsi="Arial" w:eastAsia="Arial" w:cs="Arial"/>
                <w:i w:val="0"/>
                <w:iCs w:val="0"/>
                <w:caps w:val="0"/>
                <w:color w:val="000000"/>
                <w:spacing w:val="0"/>
                <w:sz w:val="19"/>
                <w:szCs w:val="19"/>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keepNext w:val="0"/>
              <w:keepLines w:val="0"/>
              <w:widowControl/>
              <w:suppressLineNumbers w:val="0"/>
              <w:spacing w:before="0" w:beforeAutospacing="0" w:after="0" w:afterAutospacing="0"/>
              <w:ind w:left="0" w:right="0" w:firstLine="420"/>
              <w:jc w:val="left"/>
              <w:rPr>
                <w:rFonts w:hint="default" w:ascii="Arial" w:hAnsi="Arial" w:eastAsia="Arial" w:cs="Arial"/>
                <w:i w:val="0"/>
                <w:iCs w:val="0"/>
                <w:caps w:val="0"/>
                <w:color w:val="000000"/>
                <w:spacing w:val="0"/>
                <w:sz w:val="19"/>
                <w:szCs w:val="19"/>
              </w:rPr>
            </w:pPr>
          </w:p>
        </w:tc>
        <w:tc>
          <w:tcPr>
            <w:tcW w:w="252"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w:t>
            </w:r>
          </w:p>
        </w:tc>
        <w:tc>
          <w:tcPr>
            <w:tcW w:w="540"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0" w:type="dxa"/>
            <w:left w:w="0" w:type="dxa"/>
            <w:bottom w:w="0" w:type="dxa"/>
            <w:right w:w="0" w:type="dxa"/>
          </w:tblCellMar>
        </w:tblPrEx>
        <w:trPr>
          <w:trHeight w:val="1764" w:hRule="atLeast"/>
        </w:trPr>
        <w:tc>
          <w:tcPr>
            <w:tcW w:w="432"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4</w:t>
            </w:r>
          </w:p>
        </w:tc>
        <w:tc>
          <w:tcPr>
            <w:tcW w:w="300" w:type="dxa"/>
            <w:vMerge w:val="restart"/>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执行</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计划实施</w:t>
            </w:r>
          </w:p>
        </w:tc>
        <w:tc>
          <w:tcPr>
            <w:tcW w:w="468"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任务分配</w:t>
            </w:r>
          </w:p>
        </w:tc>
        <w:tc>
          <w:tcPr>
            <w:tcW w:w="1032"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及时公开农村危房改造补助农户名单</w:t>
            </w:r>
          </w:p>
        </w:tc>
        <w:tc>
          <w:tcPr>
            <w:tcW w:w="2376"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《住房城乡建设部 财政部 国务院扶贫办关于加强和完善建档立卡贫困户等重点对象农村危房改造若干问题的通知》等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年度《霍尔果斯市农村安居工程实施方案》</w:t>
            </w:r>
          </w:p>
        </w:tc>
        <w:tc>
          <w:tcPr>
            <w:tcW w:w="972"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分配结果确定后20个工作日内</w:t>
            </w:r>
          </w:p>
        </w:tc>
        <w:tc>
          <w:tcPr>
            <w:tcW w:w="708"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霍尔果斯市住房和城乡建设局</w:t>
            </w:r>
          </w:p>
        </w:tc>
        <w:tc>
          <w:tcPr>
            <w:tcW w:w="3120"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■政府网站 □政府公报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□两微一端 □发布会/听证会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□广播电视 □纸质媒体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□公开查阅点 □政务服务中心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□便民服务站 □入户/现场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sym w:font="Wingdings 2" w:char="0052"/>
            </w:r>
            <w:r>
              <w:rPr>
                <w:rFonts w:hint="default" w:ascii="Arial" w:hAnsi="Arial" w:eastAsia="Arial" w:cs="Arial"/>
                <w:i w:val="0"/>
                <w:iCs w:val="0"/>
                <w:caps w:val="0"/>
                <w:color w:val="000000"/>
                <w:spacing w:val="0"/>
                <w:sz w:val="16"/>
                <w:szCs w:val="16"/>
                <w:bdr w:val="none" w:color="auto" w:sz="0" w:space="0"/>
              </w:rPr>
              <w:t>社区/企事业单位/村公示栏（电子屏）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□精准推送 □其他_</w:t>
            </w:r>
          </w:p>
        </w:tc>
        <w:tc>
          <w:tcPr>
            <w:tcW w:w="48"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w:t>
            </w:r>
          </w:p>
        </w:tc>
        <w:tc>
          <w:tcPr>
            <w:tcW w:w="540"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keepNext w:val="0"/>
              <w:keepLines w:val="0"/>
              <w:widowControl/>
              <w:suppressLineNumbers w:val="0"/>
              <w:spacing w:before="0" w:beforeAutospacing="0" w:after="0" w:afterAutospacing="0"/>
              <w:ind w:left="0" w:right="0" w:firstLine="420"/>
              <w:jc w:val="left"/>
              <w:rPr>
                <w:rFonts w:hint="default" w:ascii="Arial" w:hAnsi="Arial" w:eastAsia="Arial" w:cs="Arial"/>
                <w:i w:val="0"/>
                <w:iCs w:val="0"/>
                <w:caps w:val="0"/>
                <w:color w:val="000000"/>
                <w:spacing w:val="0"/>
                <w:sz w:val="19"/>
                <w:szCs w:val="19"/>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w:t>
            </w:r>
          </w:p>
        </w:tc>
        <w:tc>
          <w:tcPr>
            <w:tcW w:w="540"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keepNext w:val="0"/>
              <w:keepLines w:val="0"/>
              <w:widowControl/>
              <w:suppressLineNumbers w:val="0"/>
              <w:spacing w:before="0" w:beforeAutospacing="0" w:after="0" w:afterAutospacing="0"/>
              <w:ind w:left="0" w:right="0" w:firstLine="420"/>
              <w:jc w:val="left"/>
              <w:rPr>
                <w:rFonts w:hint="default" w:ascii="Arial" w:hAnsi="Arial" w:eastAsia="Arial" w:cs="Arial"/>
                <w:i w:val="0"/>
                <w:iCs w:val="0"/>
                <w:caps w:val="0"/>
                <w:color w:val="000000"/>
                <w:spacing w:val="0"/>
                <w:sz w:val="19"/>
                <w:szCs w:val="19"/>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keepNext w:val="0"/>
              <w:keepLines w:val="0"/>
              <w:widowControl/>
              <w:suppressLineNumbers w:val="0"/>
              <w:spacing w:before="0" w:beforeAutospacing="0" w:after="0" w:afterAutospacing="0"/>
              <w:ind w:left="0" w:right="0" w:firstLine="420"/>
              <w:jc w:val="left"/>
              <w:rPr>
                <w:rFonts w:hint="default" w:ascii="Arial" w:hAnsi="Arial" w:eastAsia="Arial" w:cs="Arial"/>
                <w:i w:val="0"/>
                <w:iCs w:val="0"/>
                <w:caps w:val="0"/>
                <w:color w:val="000000"/>
                <w:spacing w:val="0"/>
                <w:sz w:val="19"/>
                <w:szCs w:val="19"/>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0" w:type="dxa"/>
            <w:left w:w="0" w:type="dxa"/>
            <w:bottom w:w="0" w:type="dxa"/>
            <w:right w:w="0" w:type="dxa"/>
          </w:tblCellMar>
        </w:tblPrEx>
        <w:trPr>
          <w:trHeight w:val="1633" w:hRule="atLeast"/>
        </w:trPr>
        <w:tc>
          <w:tcPr>
            <w:tcW w:w="432"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5</w:t>
            </w:r>
          </w:p>
        </w:tc>
        <w:tc>
          <w:tcPr>
            <w:tcW w:w="30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rPr>
                <w:rFonts w:hint="default" w:ascii="Arial" w:hAnsi="Arial" w:eastAsia="Arial" w:cs="Arial"/>
                <w:i w:val="0"/>
                <w:iCs w:val="0"/>
                <w:caps w:val="0"/>
                <w:color w:val="000000"/>
                <w:spacing w:val="0"/>
                <w:sz w:val="19"/>
                <w:szCs w:val="19"/>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rPr>
                <w:rFonts w:hint="default" w:ascii="Arial" w:hAnsi="Arial" w:eastAsia="Arial" w:cs="Arial"/>
                <w:i w:val="0"/>
                <w:iCs w:val="0"/>
                <w:caps w:val="0"/>
                <w:color w:val="000000"/>
                <w:spacing w:val="0"/>
                <w:sz w:val="19"/>
                <w:szCs w:val="19"/>
              </w:rPr>
            </w:pPr>
          </w:p>
        </w:tc>
        <w:tc>
          <w:tcPr>
            <w:tcW w:w="468"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组织培训</w:t>
            </w:r>
          </w:p>
        </w:tc>
        <w:tc>
          <w:tcPr>
            <w:tcW w:w="1032"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组织开展农村建筑工匠培训文件</w:t>
            </w:r>
          </w:p>
        </w:tc>
        <w:tc>
          <w:tcPr>
            <w:tcW w:w="2376"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《住房城乡建设部 财政部 国务院扶贫办关于决战决胜脱贫攻坚进一步做好农村危房改造的通知》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《霍尔果斯市“冬季攻势”实施方案》</w:t>
            </w:r>
          </w:p>
        </w:tc>
        <w:tc>
          <w:tcPr>
            <w:tcW w:w="972"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信息形成之日起20个工作日内</w:t>
            </w:r>
          </w:p>
        </w:tc>
        <w:tc>
          <w:tcPr>
            <w:tcW w:w="708"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霍尔果斯市住房和城乡建设局、乡场</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■政府网站 □政府公报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□两微一端 □发布会/听证会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□广播电视 □纸质媒体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□公开查阅点 □政务服务中心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□便民服务站 □入户/现场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■社区/企事业单位/村公示栏（电子屏）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□精准推送 □其他_</w:t>
            </w:r>
          </w:p>
        </w:tc>
        <w:tc>
          <w:tcPr>
            <w:tcW w:w="300"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keepNext w:val="0"/>
              <w:keepLines w:val="0"/>
              <w:widowControl/>
              <w:suppressLineNumbers w:val="0"/>
              <w:spacing w:before="0" w:beforeAutospacing="0" w:after="0" w:afterAutospacing="0"/>
              <w:ind w:left="0" w:right="0" w:firstLine="420"/>
              <w:jc w:val="left"/>
              <w:rPr>
                <w:rFonts w:hint="default" w:ascii="Arial" w:hAnsi="Arial" w:eastAsia="Arial" w:cs="Arial"/>
                <w:i w:val="0"/>
                <w:iCs w:val="0"/>
                <w:caps w:val="0"/>
                <w:color w:val="000000"/>
                <w:spacing w:val="0"/>
                <w:sz w:val="19"/>
                <w:szCs w:val="19"/>
              </w:rPr>
            </w:pPr>
          </w:p>
        </w:tc>
        <w:tc>
          <w:tcPr>
            <w:tcW w:w="192"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w:t>
            </w:r>
          </w:p>
        </w:tc>
        <w:tc>
          <w:tcPr>
            <w:tcW w:w="540"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keepNext w:val="0"/>
              <w:keepLines w:val="0"/>
              <w:widowControl/>
              <w:suppressLineNumbers w:val="0"/>
              <w:spacing w:before="0" w:beforeAutospacing="0" w:after="0" w:afterAutospacing="0"/>
              <w:ind w:left="0" w:right="0" w:firstLine="420"/>
              <w:jc w:val="left"/>
              <w:rPr>
                <w:rFonts w:hint="default" w:ascii="Arial" w:hAnsi="Arial" w:eastAsia="Arial" w:cs="Arial"/>
                <w:i w:val="0"/>
                <w:iCs w:val="0"/>
                <w:caps w:val="0"/>
                <w:color w:val="000000"/>
                <w:spacing w:val="0"/>
                <w:sz w:val="19"/>
                <w:szCs w:val="19"/>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w:t>
            </w:r>
          </w:p>
        </w:tc>
        <w:tc>
          <w:tcPr>
            <w:tcW w:w="540"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0" w:type="dxa"/>
            <w:left w:w="0" w:type="dxa"/>
            <w:bottom w:w="0" w:type="dxa"/>
            <w:right w:w="0" w:type="dxa"/>
          </w:tblCellMar>
        </w:tblPrEx>
        <w:trPr>
          <w:trHeight w:val="1453" w:hRule="atLeast"/>
        </w:trPr>
        <w:tc>
          <w:tcPr>
            <w:tcW w:w="432"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6</w:t>
            </w:r>
          </w:p>
        </w:tc>
        <w:tc>
          <w:tcPr>
            <w:tcW w:w="300" w:type="dxa"/>
            <w:vMerge w:val="restart"/>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管理</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条件与标准</w:t>
            </w:r>
          </w:p>
        </w:tc>
        <w:tc>
          <w:tcPr>
            <w:tcW w:w="468"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农村危房等级评定标准</w:t>
            </w:r>
          </w:p>
        </w:tc>
        <w:tc>
          <w:tcPr>
            <w:tcW w:w="1032"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农村危房等级评定相关标准</w:t>
            </w:r>
          </w:p>
        </w:tc>
        <w:tc>
          <w:tcPr>
            <w:tcW w:w="2376" w:type="dxa"/>
            <w:vMerge w:val="restart"/>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《中华人民共和国预算法》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《政府信息公开条例》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《住房城乡建设部 财政部关于印发农村危房改造脱贫攻坚三年行动方案的通知》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《住房城乡建设部 财政部 国务院扶贫办关于加强和完善建档立卡贫困户等重点对象农村危房改造若干问题的通知》等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年度《霍尔果斯市农村安居工程实施方案》</w:t>
            </w:r>
          </w:p>
        </w:tc>
        <w:tc>
          <w:tcPr>
            <w:tcW w:w="972"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信息形成之日起20个工作日内</w:t>
            </w:r>
          </w:p>
        </w:tc>
        <w:tc>
          <w:tcPr>
            <w:tcW w:w="708"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霍尔果斯市住房和城乡建设局</w:t>
            </w:r>
          </w:p>
        </w:tc>
        <w:tc>
          <w:tcPr>
            <w:tcW w:w="3120"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■政府网站 □政府公报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□两微一端 □发布会/听证会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□广播电视 □纸质媒体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□公开查阅点 □政务服务中心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□便民服务站 □入户/现场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□社区/企事业单位/村公示栏（电子屏）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□精准推送 □其他_</w:t>
            </w:r>
          </w:p>
        </w:tc>
        <w:tc>
          <w:tcPr>
            <w:tcW w:w="48"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w:t>
            </w:r>
          </w:p>
        </w:tc>
        <w:tc>
          <w:tcPr>
            <w:tcW w:w="540"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keepNext w:val="0"/>
              <w:keepLines w:val="0"/>
              <w:widowControl/>
              <w:suppressLineNumbers w:val="0"/>
              <w:spacing w:before="0" w:beforeAutospacing="0" w:after="0" w:afterAutospacing="0"/>
              <w:ind w:left="0" w:right="0" w:firstLine="420"/>
              <w:jc w:val="left"/>
              <w:rPr>
                <w:rFonts w:hint="default" w:ascii="Arial" w:hAnsi="Arial" w:eastAsia="Arial" w:cs="Arial"/>
                <w:i w:val="0"/>
                <w:iCs w:val="0"/>
                <w:caps w:val="0"/>
                <w:color w:val="000000"/>
                <w:spacing w:val="0"/>
                <w:sz w:val="19"/>
                <w:szCs w:val="19"/>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w:t>
            </w:r>
          </w:p>
        </w:tc>
        <w:tc>
          <w:tcPr>
            <w:tcW w:w="540"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keepNext w:val="0"/>
              <w:keepLines w:val="0"/>
              <w:widowControl/>
              <w:suppressLineNumbers w:val="0"/>
              <w:spacing w:before="0" w:beforeAutospacing="0" w:after="0" w:afterAutospacing="0"/>
              <w:ind w:left="0" w:right="0" w:firstLine="420"/>
              <w:jc w:val="left"/>
              <w:rPr>
                <w:rFonts w:hint="default" w:ascii="Arial" w:hAnsi="Arial" w:eastAsia="Arial" w:cs="Arial"/>
                <w:i w:val="0"/>
                <w:iCs w:val="0"/>
                <w:caps w:val="0"/>
                <w:color w:val="000000"/>
                <w:spacing w:val="0"/>
                <w:sz w:val="19"/>
                <w:szCs w:val="19"/>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w:t>
            </w:r>
          </w:p>
        </w:tc>
        <w:tc>
          <w:tcPr>
            <w:tcW w:w="540"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0" w:type="dxa"/>
            <w:left w:w="0" w:type="dxa"/>
            <w:bottom w:w="0" w:type="dxa"/>
            <w:right w:w="0" w:type="dxa"/>
          </w:tblCellMar>
        </w:tblPrEx>
        <w:trPr>
          <w:trHeight w:val="1884" w:hRule="atLeast"/>
        </w:trPr>
        <w:tc>
          <w:tcPr>
            <w:tcW w:w="432"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7</w:t>
            </w:r>
          </w:p>
        </w:tc>
        <w:tc>
          <w:tcPr>
            <w:tcW w:w="30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rPr>
                <w:rFonts w:hint="default" w:ascii="Arial" w:hAnsi="Arial" w:eastAsia="Arial" w:cs="Arial"/>
                <w:i w:val="0"/>
                <w:iCs w:val="0"/>
                <w:caps w:val="0"/>
                <w:color w:val="000000"/>
                <w:spacing w:val="0"/>
                <w:sz w:val="19"/>
                <w:szCs w:val="19"/>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rPr>
                <w:rFonts w:hint="default" w:ascii="Arial" w:hAnsi="Arial" w:eastAsia="Arial" w:cs="Arial"/>
                <w:i w:val="0"/>
                <w:iCs w:val="0"/>
                <w:caps w:val="0"/>
                <w:color w:val="000000"/>
                <w:spacing w:val="0"/>
                <w:sz w:val="19"/>
                <w:szCs w:val="19"/>
              </w:rPr>
            </w:pPr>
          </w:p>
        </w:tc>
        <w:tc>
          <w:tcPr>
            <w:tcW w:w="468"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农村危房改造对象申请条件</w:t>
            </w:r>
          </w:p>
        </w:tc>
        <w:tc>
          <w:tcPr>
            <w:tcW w:w="1032"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农村危房改造农户申请条件</w:t>
            </w:r>
          </w:p>
        </w:tc>
        <w:tc>
          <w:tcPr>
            <w:tcW w:w="237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rPr>
                <w:rFonts w:hint="default" w:ascii="Arial" w:hAnsi="Arial" w:eastAsia="Arial" w:cs="Arial"/>
                <w:i w:val="0"/>
                <w:iCs w:val="0"/>
                <w:caps w:val="0"/>
                <w:color w:val="000000"/>
                <w:spacing w:val="0"/>
                <w:sz w:val="19"/>
                <w:szCs w:val="19"/>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信息形成之日起20个工作日内</w:t>
            </w:r>
          </w:p>
        </w:tc>
        <w:tc>
          <w:tcPr>
            <w:tcW w:w="708"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霍尔果斯市住房和城乡建设局</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■政府网站 □政府公报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□两微一端 □发布会/听证会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□广播电视 □纸质媒体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□公开查阅点 □政务服务中心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□便民服务站 □入户/现场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■社区/企事业单位/村公示栏（电子屏）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□精准推送 □其他_</w:t>
            </w:r>
          </w:p>
        </w:tc>
        <w:tc>
          <w:tcPr>
            <w:tcW w:w="300"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w:t>
            </w:r>
          </w:p>
        </w:tc>
        <w:tc>
          <w:tcPr>
            <w:tcW w:w="540"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keepNext w:val="0"/>
              <w:keepLines w:val="0"/>
              <w:widowControl/>
              <w:suppressLineNumbers w:val="0"/>
              <w:spacing w:before="0" w:beforeAutospacing="0" w:after="0" w:afterAutospacing="0"/>
              <w:ind w:left="0" w:right="0" w:firstLine="420"/>
              <w:jc w:val="left"/>
              <w:rPr>
                <w:rFonts w:hint="default" w:ascii="Arial" w:hAnsi="Arial" w:eastAsia="Arial" w:cs="Arial"/>
                <w:i w:val="0"/>
                <w:iCs w:val="0"/>
                <w:caps w:val="0"/>
                <w:color w:val="000000"/>
                <w:spacing w:val="0"/>
                <w:sz w:val="19"/>
                <w:szCs w:val="19"/>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w:t>
            </w:r>
          </w:p>
        </w:tc>
        <w:tc>
          <w:tcPr>
            <w:tcW w:w="252"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keepNext w:val="0"/>
              <w:keepLines w:val="0"/>
              <w:widowControl/>
              <w:suppressLineNumbers w:val="0"/>
              <w:spacing w:before="0" w:beforeAutospacing="0" w:after="0" w:afterAutospacing="0"/>
              <w:ind w:left="0" w:right="0" w:firstLine="420"/>
              <w:jc w:val="left"/>
              <w:rPr>
                <w:rFonts w:hint="default" w:ascii="Arial" w:hAnsi="Arial" w:eastAsia="Arial" w:cs="Arial"/>
                <w:i w:val="0"/>
                <w:iCs w:val="0"/>
                <w:caps w:val="0"/>
                <w:color w:val="000000"/>
                <w:spacing w:val="0"/>
                <w:sz w:val="19"/>
                <w:szCs w:val="19"/>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w:t>
            </w:r>
          </w:p>
        </w:tc>
        <w:tc>
          <w:tcPr>
            <w:tcW w:w="540"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0" w:type="dxa"/>
            <w:left w:w="0" w:type="dxa"/>
            <w:bottom w:w="0" w:type="dxa"/>
            <w:right w:w="0" w:type="dxa"/>
          </w:tblCellMar>
        </w:tblPrEx>
        <w:trPr>
          <w:trHeight w:val="1260" w:hRule="atLeast"/>
        </w:trPr>
        <w:tc>
          <w:tcPr>
            <w:tcW w:w="432"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8</w:t>
            </w:r>
          </w:p>
        </w:tc>
        <w:tc>
          <w:tcPr>
            <w:tcW w:w="30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rPr>
                <w:rFonts w:hint="default" w:ascii="Arial" w:hAnsi="Arial" w:eastAsia="Arial" w:cs="Arial"/>
                <w:i w:val="0"/>
                <w:iCs w:val="0"/>
                <w:caps w:val="0"/>
                <w:color w:val="000000"/>
                <w:spacing w:val="0"/>
                <w:sz w:val="19"/>
                <w:szCs w:val="19"/>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rPr>
                <w:rFonts w:hint="default" w:ascii="Arial" w:hAnsi="Arial" w:eastAsia="Arial" w:cs="Arial"/>
                <w:i w:val="0"/>
                <w:iCs w:val="0"/>
                <w:caps w:val="0"/>
                <w:color w:val="000000"/>
                <w:spacing w:val="0"/>
                <w:sz w:val="19"/>
                <w:szCs w:val="19"/>
              </w:rPr>
            </w:pPr>
          </w:p>
        </w:tc>
        <w:tc>
          <w:tcPr>
            <w:tcW w:w="468"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农村危房改造资金补助标准</w:t>
            </w:r>
          </w:p>
        </w:tc>
        <w:tc>
          <w:tcPr>
            <w:tcW w:w="1032"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农村危房改造资金补助标准</w:t>
            </w:r>
          </w:p>
        </w:tc>
        <w:tc>
          <w:tcPr>
            <w:tcW w:w="237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rPr>
                <w:rFonts w:hint="default" w:ascii="Arial" w:hAnsi="Arial" w:eastAsia="Arial" w:cs="Arial"/>
                <w:i w:val="0"/>
                <w:iCs w:val="0"/>
                <w:caps w:val="0"/>
                <w:color w:val="000000"/>
                <w:spacing w:val="0"/>
                <w:sz w:val="19"/>
                <w:szCs w:val="19"/>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信息形成之日起20个工作日内</w:t>
            </w:r>
          </w:p>
        </w:tc>
        <w:tc>
          <w:tcPr>
            <w:tcW w:w="708"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霍尔果斯市住房和城乡建设局</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■政府网站 □政府公报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□两微一端 □发布会/听证会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□广播电视 □纸质媒体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□公开查阅点 □政务服务中心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□便民服务站 □入户/现场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■社区/企事业单位/村公示栏（电子屏）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□精准推送 □其他_</w:t>
            </w:r>
          </w:p>
        </w:tc>
        <w:tc>
          <w:tcPr>
            <w:tcW w:w="300"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w:t>
            </w:r>
          </w:p>
        </w:tc>
        <w:tc>
          <w:tcPr>
            <w:tcW w:w="540"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keepNext w:val="0"/>
              <w:keepLines w:val="0"/>
              <w:widowControl/>
              <w:suppressLineNumbers w:val="0"/>
              <w:spacing w:before="0" w:beforeAutospacing="0" w:after="0" w:afterAutospacing="0"/>
              <w:ind w:left="0" w:right="0" w:firstLine="420"/>
              <w:jc w:val="left"/>
              <w:rPr>
                <w:rFonts w:hint="default" w:ascii="Arial" w:hAnsi="Arial" w:eastAsia="Arial" w:cs="Arial"/>
                <w:i w:val="0"/>
                <w:iCs w:val="0"/>
                <w:caps w:val="0"/>
                <w:color w:val="000000"/>
                <w:spacing w:val="0"/>
                <w:sz w:val="19"/>
                <w:szCs w:val="19"/>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w:t>
            </w:r>
          </w:p>
        </w:tc>
        <w:tc>
          <w:tcPr>
            <w:tcW w:w="252"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keepNext w:val="0"/>
              <w:keepLines w:val="0"/>
              <w:widowControl/>
              <w:suppressLineNumbers w:val="0"/>
              <w:spacing w:before="0" w:beforeAutospacing="0" w:after="0" w:afterAutospacing="0"/>
              <w:ind w:left="0" w:right="0" w:firstLine="420"/>
              <w:jc w:val="left"/>
              <w:rPr>
                <w:rFonts w:hint="default" w:ascii="Arial" w:hAnsi="Arial" w:eastAsia="Arial" w:cs="Arial"/>
                <w:i w:val="0"/>
                <w:iCs w:val="0"/>
                <w:caps w:val="0"/>
                <w:color w:val="000000"/>
                <w:spacing w:val="0"/>
                <w:sz w:val="19"/>
                <w:szCs w:val="19"/>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w:t>
            </w:r>
          </w:p>
        </w:tc>
        <w:tc>
          <w:tcPr>
            <w:tcW w:w="540"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873" w:hRule="atLeast"/>
        </w:trPr>
        <w:tc>
          <w:tcPr>
            <w:tcW w:w="432"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9</w:t>
            </w:r>
          </w:p>
        </w:tc>
        <w:tc>
          <w:tcPr>
            <w:tcW w:w="300" w:type="dxa"/>
            <w:vMerge w:val="restart"/>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管理</w:t>
            </w:r>
          </w:p>
        </w:tc>
        <w:tc>
          <w:tcPr>
            <w:tcW w:w="540"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条件与标准</w:t>
            </w:r>
          </w:p>
        </w:tc>
        <w:tc>
          <w:tcPr>
            <w:tcW w:w="468"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农村危房改造竣工合格标准</w:t>
            </w:r>
          </w:p>
        </w:tc>
        <w:tc>
          <w:tcPr>
            <w:tcW w:w="1032"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农村危房改造竣工验收要求</w:t>
            </w:r>
          </w:p>
        </w:tc>
        <w:tc>
          <w:tcPr>
            <w:tcW w:w="2376" w:type="dxa"/>
            <w:vMerge w:val="restart"/>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《住房城乡建设部 财政部关于印发农村危房改造脱贫攻坚三年行动方案的通知》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《住房城乡建设部 财政部 国务院扶贫办关于加强和完善建档立卡贫困户等重点对象农村危房改造若干问题的通知》等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关于做好农村危房鉴定和住房安全性认定工作的通知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关于批准发布《自治区农村安居工程建设标准》的通知</w:t>
            </w:r>
          </w:p>
        </w:tc>
        <w:tc>
          <w:tcPr>
            <w:tcW w:w="972"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信息形成之日起20个工作日内</w:t>
            </w:r>
          </w:p>
        </w:tc>
        <w:tc>
          <w:tcPr>
            <w:tcW w:w="708"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霍尔果斯市住房和城乡建设局</w:t>
            </w:r>
          </w:p>
        </w:tc>
        <w:tc>
          <w:tcPr>
            <w:tcW w:w="3120"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■政府网站 □政府公报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□两微一端 □发布会/听证会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□广播电视 □纸质媒体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□公开查阅点 □政务服务中心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□便民服务站 □入户/现场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■社区/企事业单位/村公示栏（电子屏）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□精准推送 □其他_</w:t>
            </w:r>
          </w:p>
        </w:tc>
        <w:tc>
          <w:tcPr>
            <w:tcW w:w="48"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w:t>
            </w:r>
          </w:p>
        </w:tc>
        <w:tc>
          <w:tcPr>
            <w:tcW w:w="540"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keepNext w:val="0"/>
              <w:keepLines w:val="0"/>
              <w:widowControl/>
              <w:suppressLineNumbers w:val="0"/>
              <w:spacing w:before="0" w:beforeAutospacing="0" w:after="0" w:afterAutospacing="0"/>
              <w:ind w:left="0" w:right="0" w:firstLine="420"/>
              <w:jc w:val="left"/>
              <w:rPr>
                <w:rFonts w:hint="default" w:ascii="Arial" w:hAnsi="Arial" w:eastAsia="Arial" w:cs="Arial"/>
                <w:i w:val="0"/>
                <w:iCs w:val="0"/>
                <w:caps w:val="0"/>
                <w:color w:val="000000"/>
                <w:spacing w:val="0"/>
                <w:sz w:val="19"/>
                <w:szCs w:val="19"/>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w:t>
            </w:r>
          </w:p>
        </w:tc>
        <w:tc>
          <w:tcPr>
            <w:tcW w:w="540"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keepNext w:val="0"/>
              <w:keepLines w:val="0"/>
              <w:widowControl/>
              <w:suppressLineNumbers w:val="0"/>
              <w:spacing w:before="0" w:beforeAutospacing="0" w:after="0" w:afterAutospacing="0"/>
              <w:ind w:left="0" w:right="0" w:firstLine="420"/>
              <w:jc w:val="left"/>
              <w:rPr>
                <w:rFonts w:hint="default" w:ascii="Arial" w:hAnsi="Arial" w:eastAsia="Arial" w:cs="Arial"/>
                <w:i w:val="0"/>
                <w:iCs w:val="0"/>
                <w:caps w:val="0"/>
                <w:color w:val="000000"/>
                <w:spacing w:val="0"/>
                <w:sz w:val="19"/>
                <w:szCs w:val="19"/>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w:t>
            </w:r>
          </w:p>
        </w:tc>
        <w:tc>
          <w:tcPr>
            <w:tcW w:w="540"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036" w:hRule="atLeast"/>
        </w:trPr>
        <w:tc>
          <w:tcPr>
            <w:tcW w:w="432"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10</w:t>
            </w:r>
          </w:p>
        </w:tc>
        <w:tc>
          <w:tcPr>
            <w:tcW w:w="30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rPr>
                <w:rFonts w:hint="default" w:ascii="Arial" w:hAnsi="Arial" w:eastAsia="Arial" w:cs="Arial"/>
                <w:i w:val="0"/>
                <w:iCs w:val="0"/>
                <w:caps w:val="0"/>
                <w:color w:val="000000"/>
                <w:spacing w:val="0"/>
                <w:sz w:val="19"/>
                <w:szCs w:val="19"/>
              </w:rPr>
            </w:pP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对象认定</w:t>
            </w:r>
          </w:p>
        </w:tc>
        <w:tc>
          <w:tcPr>
            <w:tcW w:w="468"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危改户认定程序</w:t>
            </w:r>
          </w:p>
        </w:tc>
        <w:tc>
          <w:tcPr>
            <w:tcW w:w="1032"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农村危房改造申请程序</w:t>
            </w:r>
          </w:p>
        </w:tc>
        <w:tc>
          <w:tcPr>
            <w:tcW w:w="237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rPr>
                <w:rFonts w:hint="default" w:ascii="Arial" w:hAnsi="Arial" w:eastAsia="Arial" w:cs="Arial"/>
                <w:i w:val="0"/>
                <w:iCs w:val="0"/>
                <w:caps w:val="0"/>
                <w:color w:val="000000"/>
                <w:spacing w:val="0"/>
                <w:sz w:val="19"/>
                <w:szCs w:val="19"/>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信息形成之日起20个工作日内</w:t>
            </w:r>
          </w:p>
        </w:tc>
        <w:tc>
          <w:tcPr>
            <w:tcW w:w="708"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霍尔果斯市住房和城乡建设局</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■政府网站 □政府公报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□两微一端 □发布会/听证会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□广播电视 □纸质媒体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□公开查阅点 □政务服务中心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□便民服务站 □入户/现场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■社区/企事业单位/村公示栏（电子屏）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□精准推送 □其他_</w:t>
            </w:r>
          </w:p>
        </w:tc>
        <w:tc>
          <w:tcPr>
            <w:tcW w:w="300"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keepNext w:val="0"/>
              <w:keepLines w:val="0"/>
              <w:widowControl/>
              <w:suppressLineNumbers w:val="0"/>
              <w:spacing w:before="0" w:beforeAutospacing="0" w:after="0" w:afterAutospacing="0"/>
              <w:ind w:left="0" w:right="0" w:firstLine="420"/>
              <w:jc w:val="left"/>
              <w:rPr>
                <w:rFonts w:hint="default" w:ascii="Arial" w:hAnsi="Arial" w:eastAsia="Arial" w:cs="Arial"/>
                <w:i w:val="0"/>
                <w:iCs w:val="0"/>
                <w:caps w:val="0"/>
                <w:color w:val="000000"/>
                <w:spacing w:val="0"/>
                <w:sz w:val="19"/>
                <w:szCs w:val="19"/>
              </w:rPr>
            </w:pPr>
          </w:p>
        </w:tc>
        <w:tc>
          <w:tcPr>
            <w:tcW w:w="192"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w:t>
            </w:r>
          </w:p>
        </w:tc>
        <w:tc>
          <w:tcPr>
            <w:tcW w:w="540"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keepNext w:val="0"/>
              <w:keepLines w:val="0"/>
              <w:widowControl/>
              <w:suppressLineNumbers w:val="0"/>
              <w:spacing w:before="0" w:beforeAutospacing="0" w:after="0" w:afterAutospacing="0"/>
              <w:ind w:left="0" w:right="0" w:firstLine="420"/>
              <w:jc w:val="left"/>
              <w:rPr>
                <w:rFonts w:hint="default" w:ascii="Arial" w:hAnsi="Arial" w:eastAsia="Arial" w:cs="Arial"/>
                <w:i w:val="0"/>
                <w:iCs w:val="0"/>
                <w:caps w:val="0"/>
                <w:color w:val="000000"/>
                <w:spacing w:val="0"/>
                <w:sz w:val="19"/>
                <w:szCs w:val="19"/>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w:t>
            </w:r>
          </w:p>
        </w:tc>
        <w:tc>
          <w:tcPr>
            <w:tcW w:w="540"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0" w:type="dxa"/>
            <w:left w:w="0" w:type="dxa"/>
            <w:bottom w:w="0" w:type="dxa"/>
            <w:right w:w="0" w:type="dxa"/>
          </w:tblCellMar>
        </w:tblPrEx>
        <w:trPr>
          <w:trHeight w:val="1248" w:hRule="atLeast"/>
        </w:trPr>
        <w:tc>
          <w:tcPr>
            <w:tcW w:w="432"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11</w:t>
            </w:r>
          </w:p>
        </w:tc>
        <w:tc>
          <w:tcPr>
            <w:tcW w:w="30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rPr>
                <w:rFonts w:hint="default" w:ascii="Arial" w:hAnsi="Arial" w:eastAsia="Arial" w:cs="Arial"/>
                <w:i w:val="0"/>
                <w:iCs w:val="0"/>
                <w:caps w:val="0"/>
                <w:color w:val="000000"/>
                <w:spacing w:val="0"/>
                <w:sz w:val="19"/>
                <w:szCs w:val="19"/>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rPr>
                <w:rFonts w:hint="default" w:ascii="Arial" w:hAnsi="Arial" w:eastAsia="Arial" w:cs="Arial"/>
                <w:i w:val="0"/>
                <w:iCs w:val="0"/>
                <w:caps w:val="0"/>
                <w:color w:val="000000"/>
                <w:spacing w:val="0"/>
                <w:sz w:val="19"/>
                <w:szCs w:val="19"/>
              </w:rPr>
            </w:pPr>
          </w:p>
        </w:tc>
        <w:tc>
          <w:tcPr>
            <w:tcW w:w="468"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认定结果</w:t>
            </w:r>
          </w:p>
        </w:tc>
        <w:tc>
          <w:tcPr>
            <w:tcW w:w="1032"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认定结果</w:t>
            </w:r>
          </w:p>
        </w:tc>
        <w:tc>
          <w:tcPr>
            <w:tcW w:w="237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rPr>
                <w:rFonts w:hint="default" w:ascii="Arial" w:hAnsi="Arial" w:eastAsia="Arial" w:cs="Arial"/>
                <w:i w:val="0"/>
                <w:iCs w:val="0"/>
                <w:caps w:val="0"/>
                <w:color w:val="000000"/>
                <w:spacing w:val="0"/>
                <w:sz w:val="19"/>
                <w:szCs w:val="19"/>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信息形成之日起20个工作日内</w:t>
            </w:r>
          </w:p>
        </w:tc>
        <w:tc>
          <w:tcPr>
            <w:tcW w:w="708"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霍尔果斯市住房和城乡建设局</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■政府网站 □政府公报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□两微一端 □发布会/听证会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□广播电视 □纸质媒体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□公开查阅点 □政务服务中心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□便民服务站 □入户/现场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■社区/企事业单位/村公示栏（电子屏）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□精准推送 □其他_</w:t>
            </w:r>
          </w:p>
        </w:tc>
        <w:tc>
          <w:tcPr>
            <w:tcW w:w="300"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w:t>
            </w:r>
          </w:p>
        </w:tc>
        <w:tc>
          <w:tcPr>
            <w:tcW w:w="540"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keepNext w:val="0"/>
              <w:keepLines w:val="0"/>
              <w:widowControl/>
              <w:suppressLineNumbers w:val="0"/>
              <w:spacing w:before="0" w:beforeAutospacing="0" w:after="0" w:afterAutospacing="0"/>
              <w:ind w:left="0" w:right="0" w:firstLine="420"/>
              <w:jc w:val="left"/>
              <w:rPr>
                <w:rFonts w:hint="default" w:ascii="Arial" w:hAnsi="Arial" w:eastAsia="Arial" w:cs="Arial"/>
                <w:i w:val="0"/>
                <w:iCs w:val="0"/>
                <w:caps w:val="0"/>
                <w:color w:val="000000"/>
                <w:spacing w:val="0"/>
                <w:sz w:val="19"/>
                <w:szCs w:val="19"/>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w:t>
            </w:r>
          </w:p>
        </w:tc>
        <w:tc>
          <w:tcPr>
            <w:tcW w:w="252"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keepNext w:val="0"/>
              <w:keepLines w:val="0"/>
              <w:widowControl/>
              <w:suppressLineNumbers w:val="0"/>
              <w:spacing w:before="0" w:beforeAutospacing="0" w:after="0" w:afterAutospacing="0"/>
              <w:ind w:left="0" w:right="0" w:firstLine="420"/>
              <w:jc w:val="left"/>
              <w:rPr>
                <w:rFonts w:hint="default" w:ascii="Arial" w:hAnsi="Arial" w:eastAsia="Arial" w:cs="Arial"/>
                <w:i w:val="0"/>
                <w:iCs w:val="0"/>
                <w:caps w:val="0"/>
                <w:color w:val="000000"/>
                <w:spacing w:val="0"/>
                <w:sz w:val="19"/>
                <w:szCs w:val="19"/>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w:t>
            </w:r>
          </w:p>
        </w:tc>
        <w:tc>
          <w:tcPr>
            <w:tcW w:w="540"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0" w:type="dxa"/>
            <w:left w:w="0" w:type="dxa"/>
            <w:bottom w:w="0" w:type="dxa"/>
            <w:right w:w="0" w:type="dxa"/>
          </w:tblCellMar>
        </w:tblPrEx>
        <w:trPr>
          <w:trHeight w:val="2257" w:hRule="atLeast"/>
        </w:trPr>
        <w:tc>
          <w:tcPr>
            <w:tcW w:w="432"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12</w:t>
            </w:r>
          </w:p>
        </w:tc>
        <w:tc>
          <w:tcPr>
            <w:tcW w:w="300"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管理</w:t>
            </w:r>
          </w:p>
        </w:tc>
        <w:tc>
          <w:tcPr>
            <w:tcW w:w="540"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预算管理</w:t>
            </w:r>
          </w:p>
        </w:tc>
        <w:tc>
          <w:tcPr>
            <w:tcW w:w="468"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预算编制和执行情况</w:t>
            </w:r>
          </w:p>
        </w:tc>
        <w:tc>
          <w:tcPr>
            <w:tcW w:w="1032"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预算预算调整决算预算执行情况的报告及报表有关内容，部门预算决算及报表有关内容</w:t>
            </w:r>
          </w:p>
        </w:tc>
        <w:tc>
          <w:tcPr>
            <w:tcW w:w="2376"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《中华人民共和国预算法》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《政府信息公开条例》</w:t>
            </w:r>
          </w:p>
        </w:tc>
        <w:tc>
          <w:tcPr>
            <w:tcW w:w="972"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经县级人民代表大会人民代表大会常务委员会批准或财政部门批复后20日内</w:t>
            </w:r>
          </w:p>
        </w:tc>
        <w:tc>
          <w:tcPr>
            <w:tcW w:w="708"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霍尔果斯市住房和城乡建设局</w:t>
            </w:r>
          </w:p>
        </w:tc>
        <w:tc>
          <w:tcPr>
            <w:tcW w:w="3120"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■政府网站 □政府公报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□两微一端 □发布会/听证会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□广播电视 □纸质媒体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□公开查阅点 □政务服务中心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□便民服务站 □入户/现场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□社区/企事业单位/村公示栏（电子屏）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□精准推送 □其他_</w:t>
            </w:r>
          </w:p>
        </w:tc>
        <w:tc>
          <w:tcPr>
            <w:tcW w:w="48"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w:t>
            </w:r>
          </w:p>
        </w:tc>
        <w:tc>
          <w:tcPr>
            <w:tcW w:w="540"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keepNext w:val="0"/>
              <w:keepLines w:val="0"/>
              <w:widowControl/>
              <w:suppressLineNumbers w:val="0"/>
              <w:spacing w:before="0" w:beforeAutospacing="0" w:after="0" w:afterAutospacing="0"/>
              <w:ind w:left="0" w:right="0" w:firstLine="420"/>
              <w:jc w:val="left"/>
              <w:rPr>
                <w:rFonts w:hint="default" w:ascii="Arial" w:hAnsi="Arial" w:eastAsia="Arial" w:cs="Arial"/>
                <w:i w:val="0"/>
                <w:iCs w:val="0"/>
                <w:caps w:val="0"/>
                <w:color w:val="000000"/>
                <w:spacing w:val="0"/>
                <w:sz w:val="19"/>
                <w:szCs w:val="19"/>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w:t>
            </w:r>
          </w:p>
        </w:tc>
        <w:tc>
          <w:tcPr>
            <w:tcW w:w="540"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keepNext w:val="0"/>
              <w:keepLines w:val="0"/>
              <w:widowControl/>
              <w:suppressLineNumbers w:val="0"/>
              <w:spacing w:before="0" w:beforeAutospacing="0" w:after="0" w:afterAutospacing="0"/>
              <w:ind w:left="0" w:right="0" w:firstLine="420"/>
              <w:jc w:val="left"/>
              <w:rPr>
                <w:rFonts w:hint="default" w:ascii="Arial" w:hAnsi="Arial" w:eastAsia="Arial" w:cs="Arial"/>
                <w:i w:val="0"/>
                <w:iCs w:val="0"/>
                <w:caps w:val="0"/>
                <w:color w:val="000000"/>
                <w:spacing w:val="0"/>
                <w:sz w:val="19"/>
                <w:szCs w:val="19"/>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w:t>
            </w:r>
          </w:p>
        </w:tc>
        <w:tc>
          <w:tcPr>
            <w:tcW w:w="540"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keepNext w:val="0"/>
              <w:keepLines w:val="0"/>
              <w:widowControl/>
              <w:suppressLineNumbers w:val="0"/>
              <w:spacing w:before="0" w:beforeAutospacing="0" w:after="0" w:afterAutospacing="0"/>
              <w:ind w:left="0" w:right="0" w:firstLine="420"/>
              <w:jc w:val="left"/>
              <w:rPr>
                <w:rFonts w:hint="default" w:ascii="Arial" w:hAnsi="Arial" w:eastAsia="Arial" w:cs="Arial"/>
                <w:i w:val="0"/>
                <w:iCs w:val="0"/>
                <w:caps w:val="0"/>
                <w:color w:val="000000"/>
                <w:spacing w:val="0"/>
                <w:sz w:val="19"/>
                <w:szCs w:val="19"/>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0" w:type="dxa"/>
            <w:left w:w="0" w:type="dxa"/>
            <w:bottom w:w="0" w:type="dxa"/>
            <w:right w:w="0" w:type="dxa"/>
          </w:tblCellMar>
        </w:tblPrEx>
        <w:trPr>
          <w:trHeight w:val="1921" w:hRule="atLeast"/>
        </w:trPr>
        <w:tc>
          <w:tcPr>
            <w:tcW w:w="432"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13</w:t>
            </w:r>
          </w:p>
        </w:tc>
        <w:tc>
          <w:tcPr>
            <w:tcW w:w="300" w:type="dxa"/>
            <w:vMerge w:val="restart"/>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结果</w:t>
            </w:r>
          </w:p>
        </w:tc>
        <w:tc>
          <w:tcPr>
            <w:tcW w:w="540"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决策部署</w:t>
            </w:r>
          </w:p>
        </w:tc>
        <w:tc>
          <w:tcPr>
            <w:tcW w:w="468"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决策部署落实情况</w:t>
            </w:r>
          </w:p>
        </w:tc>
        <w:tc>
          <w:tcPr>
            <w:tcW w:w="1032"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决策部署落实情况等</w:t>
            </w:r>
          </w:p>
        </w:tc>
        <w:tc>
          <w:tcPr>
            <w:tcW w:w="2376" w:type="dxa"/>
            <w:vMerge w:val="restart"/>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《中共中央办公厅国务院办公厅印发〈关于全面推进政务公开工作的意见〉的通知》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《国务院办公厅印发〈关于全面推进政务公开工作的意见〉实施细则的通知》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关于印发《自治区农村安居工程质量控制和认定实施意见》的通知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年度《霍尔果斯市农村安居工程实施方案》</w:t>
            </w:r>
          </w:p>
        </w:tc>
        <w:tc>
          <w:tcPr>
            <w:tcW w:w="972"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信息形成之日起20个工作日内</w:t>
            </w:r>
          </w:p>
        </w:tc>
        <w:tc>
          <w:tcPr>
            <w:tcW w:w="708"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霍尔果斯市住房和城乡建设局、乡场</w:t>
            </w:r>
          </w:p>
        </w:tc>
        <w:tc>
          <w:tcPr>
            <w:tcW w:w="3120"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■政府网站 □政府公报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□两微一端 □发布会/听证会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□广播电视 □纸质媒体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□公开查阅点 □政务服务中心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□便民服务站 □入户/现场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■社区/企事业单位/村公示栏（电子屏）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□精准推送 □其他_</w:t>
            </w:r>
          </w:p>
        </w:tc>
        <w:tc>
          <w:tcPr>
            <w:tcW w:w="48"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w:t>
            </w:r>
          </w:p>
        </w:tc>
        <w:tc>
          <w:tcPr>
            <w:tcW w:w="540"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keepNext w:val="0"/>
              <w:keepLines w:val="0"/>
              <w:widowControl/>
              <w:suppressLineNumbers w:val="0"/>
              <w:spacing w:before="0" w:beforeAutospacing="0" w:after="0" w:afterAutospacing="0"/>
              <w:ind w:left="0" w:right="0" w:firstLine="420"/>
              <w:jc w:val="left"/>
              <w:rPr>
                <w:rFonts w:hint="default" w:ascii="Arial" w:hAnsi="Arial" w:eastAsia="Arial" w:cs="Arial"/>
                <w:i w:val="0"/>
                <w:iCs w:val="0"/>
                <w:caps w:val="0"/>
                <w:color w:val="000000"/>
                <w:spacing w:val="0"/>
                <w:sz w:val="19"/>
                <w:szCs w:val="19"/>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w:t>
            </w:r>
          </w:p>
        </w:tc>
        <w:tc>
          <w:tcPr>
            <w:tcW w:w="540"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keepNext w:val="0"/>
              <w:keepLines w:val="0"/>
              <w:widowControl/>
              <w:suppressLineNumbers w:val="0"/>
              <w:spacing w:before="0" w:beforeAutospacing="0" w:after="0" w:afterAutospacing="0"/>
              <w:ind w:left="0" w:right="0" w:firstLine="420"/>
              <w:jc w:val="left"/>
              <w:rPr>
                <w:rFonts w:hint="default" w:ascii="Arial" w:hAnsi="Arial" w:eastAsia="Arial" w:cs="Arial"/>
                <w:i w:val="0"/>
                <w:iCs w:val="0"/>
                <w:caps w:val="0"/>
                <w:color w:val="000000"/>
                <w:spacing w:val="0"/>
                <w:sz w:val="19"/>
                <w:szCs w:val="19"/>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w:t>
            </w:r>
          </w:p>
        </w:tc>
        <w:tc>
          <w:tcPr>
            <w:tcW w:w="540"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0" w:type="dxa"/>
            <w:left w:w="0" w:type="dxa"/>
            <w:bottom w:w="0" w:type="dxa"/>
            <w:right w:w="0" w:type="dxa"/>
          </w:tblCellMar>
        </w:tblPrEx>
        <w:trPr>
          <w:trHeight w:val="1681" w:hRule="atLeast"/>
        </w:trPr>
        <w:tc>
          <w:tcPr>
            <w:tcW w:w="432"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14</w:t>
            </w:r>
          </w:p>
        </w:tc>
        <w:tc>
          <w:tcPr>
            <w:tcW w:w="30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rPr>
                <w:rFonts w:hint="default" w:ascii="Arial" w:hAnsi="Arial" w:eastAsia="Arial" w:cs="Arial"/>
                <w:i w:val="0"/>
                <w:iCs w:val="0"/>
                <w:caps w:val="0"/>
                <w:color w:val="000000"/>
                <w:spacing w:val="0"/>
                <w:sz w:val="19"/>
                <w:szCs w:val="19"/>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年度任务实施</w:t>
            </w:r>
          </w:p>
        </w:tc>
        <w:tc>
          <w:tcPr>
            <w:tcW w:w="468"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年度任务执行情况</w:t>
            </w:r>
          </w:p>
        </w:tc>
        <w:tc>
          <w:tcPr>
            <w:tcW w:w="1032"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年度工作完成情况等</w:t>
            </w:r>
          </w:p>
        </w:tc>
        <w:tc>
          <w:tcPr>
            <w:tcW w:w="237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rPr>
                <w:rFonts w:hint="default" w:ascii="Arial" w:hAnsi="Arial" w:eastAsia="Arial" w:cs="Arial"/>
                <w:i w:val="0"/>
                <w:iCs w:val="0"/>
                <w:caps w:val="0"/>
                <w:color w:val="000000"/>
                <w:spacing w:val="0"/>
                <w:sz w:val="19"/>
                <w:szCs w:val="19"/>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信息形成之日起20个工作日内</w:t>
            </w:r>
          </w:p>
        </w:tc>
        <w:tc>
          <w:tcPr>
            <w:tcW w:w="708"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霍尔果斯市住房和城乡建设局、乡场</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■政府网站 □政府公报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□两微一端 □发布会/听证会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□广播电视 □纸质媒体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□公开查阅点 □政务服务中心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□便民服务站 □入户/现场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■社区/企事业单位/村公示栏（电子屏）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□精准推送 □其他_</w:t>
            </w:r>
          </w:p>
        </w:tc>
        <w:tc>
          <w:tcPr>
            <w:tcW w:w="300"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keepNext w:val="0"/>
              <w:keepLines w:val="0"/>
              <w:widowControl/>
              <w:suppressLineNumbers w:val="0"/>
              <w:spacing w:before="0" w:beforeAutospacing="0" w:after="0" w:afterAutospacing="0"/>
              <w:ind w:left="0" w:right="0" w:firstLine="420"/>
              <w:jc w:val="left"/>
              <w:rPr>
                <w:rFonts w:hint="default" w:ascii="Arial" w:hAnsi="Arial" w:eastAsia="Arial" w:cs="Arial"/>
                <w:i w:val="0"/>
                <w:iCs w:val="0"/>
                <w:caps w:val="0"/>
                <w:color w:val="000000"/>
                <w:spacing w:val="0"/>
                <w:sz w:val="19"/>
                <w:szCs w:val="19"/>
              </w:rPr>
            </w:pPr>
          </w:p>
        </w:tc>
        <w:tc>
          <w:tcPr>
            <w:tcW w:w="192"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w:t>
            </w:r>
          </w:p>
        </w:tc>
        <w:tc>
          <w:tcPr>
            <w:tcW w:w="540"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keepNext w:val="0"/>
              <w:keepLines w:val="0"/>
              <w:widowControl/>
              <w:suppressLineNumbers w:val="0"/>
              <w:spacing w:before="0" w:beforeAutospacing="0" w:after="0" w:afterAutospacing="0"/>
              <w:ind w:left="0" w:right="0" w:firstLine="420"/>
              <w:jc w:val="left"/>
              <w:rPr>
                <w:rFonts w:hint="default" w:ascii="Arial" w:hAnsi="Arial" w:eastAsia="Arial" w:cs="Arial"/>
                <w:i w:val="0"/>
                <w:iCs w:val="0"/>
                <w:caps w:val="0"/>
                <w:color w:val="000000"/>
                <w:spacing w:val="0"/>
                <w:sz w:val="19"/>
                <w:szCs w:val="19"/>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w:t>
            </w:r>
          </w:p>
        </w:tc>
        <w:tc>
          <w:tcPr>
            <w:tcW w:w="540"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0" w:type="dxa"/>
            <w:left w:w="0" w:type="dxa"/>
            <w:bottom w:w="0" w:type="dxa"/>
            <w:right w:w="0" w:type="dxa"/>
          </w:tblCellMar>
        </w:tblPrEx>
        <w:trPr>
          <w:trHeight w:val="1921" w:hRule="atLeast"/>
        </w:trPr>
        <w:tc>
          <w:tcPr>
            <w:tcW w:w="432"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15</w:t>
            </w:r>
          </w:p>
        </w:tc>
        <w:tc>
          <w:tcPr>
            <w:tcW w:w="300" w:type="dxa"/>
            <w:vMerge w:val="restart"/>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回应关切</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舆情收集热点及关键问题回应</w:t>
            </w:r>
          </w:p>
        </w:tc>
        <w:tc>
          <w:tcPr>
            <w:tcW w:w="468"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舆情收集回应</w:t>
            </w:r>
          </w:p>
        </w:tc>
        <w:tc>
          <w:tcPr>
            <w:tcW w:w="1032"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接受投诉咨询建议等联系电话通信地址等</w:t>
            </w:r>
          </w:p>
        </w:tc>
        <w:tc>
          <w:tcPr>
            <w:tcW w:w="2376" w:type="dxa"/>
            <w:vMerge w:val="restart"/>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《政府信息公开条例》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《中共中央办公厅国务院办公厅印发〈关于全面推进政务公开工作的意见〉的通知》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《国务院办公厅印发〈关于全面推进政务公开工作的意见〉实施细则的通知》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新疆维吾尔自治区安居富民工程建设领导小组办公室关于转发《住房和城乡建设部办公厅关于做好“ 十三五”期间农村危房改造对象信息公示工作的通知》的通知</w:t>
            </w:r>
          </w:p>
        </w:tc>
        <w:tc>
          <w:tcPr>
            <w:tcW w:w="972"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信息形成之日起20个工作日内</w:t>
            </w:r>
          </w:p>
        </w:tc>
        <w:tc>
          <w:tcPr>
            <w:tcW w:w="708"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霍尔果斯市住房和城乡建设局</w:t>
            </w:r>
            <w:bookmarkStart w:id="0" w:name="_GoBack"/>
            <w:bookmarkEnd w:id="0"/>
          </w:p>
        </w:tc>
        <w:tc>
          <w:tcPr>
            <w:tcW w:w="3120"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■政府网站 □政府公报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□两微一端 □发布会/听证会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□广播电视 □纸质媒体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□公开查阅点 □政务服务中心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□便民服务站 □入户/现场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sym w:font="Wingdings 2" w:char="0052"/>
            </w:r>
            <w:r>
              <w:rPr>
                <w:rFonts w:hint="default" w:ascii="Arial" w:hAnsi="Arial" w:eastAsia="Arial" w:cs="Arial"/>
                <w:i w:val="0"/>
                <w:iCs w:val="0"/>
                <w:caps w:val="0"/>
                <w:color w:val="000000"/>
                <w:spacing w:val="0"/>
                <w:sz w:val="16"/>
                <w:szCs w:val="16"/>
                <w:bdr w:val="none" w:color="auto" w:sz="0" w:space="0"/>
              </w:rPr>
              <w:t>社区/企事业单位/村公示栏（电子屏）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□精准推送 □其他_</w:t>
            </w:r>
          </w:p>
        </w:tc>
        <w:tc>
          <w:tcPr>
            <w:tcW w:w="48"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w:t>
            </w:r>
          </w:p>
        </w:tc>
        <w:tc>
          <w:tcPr>
            <w:tcW w:w="540"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keepNext w:val="0"/>
              <w:keepLines w:val="0"/>
              <w:widowControl/>
              <w:suppressLineNumbers w:val="0"/>
              <w:spacing w:before="0" w:beforeAutospacing="0" w:after="0" w:afterAutospacing="0"/>
              <w:ind w:left="0" w:right="0" w:firstLine="420"/>
              <w:jc w:val="left"/>
              <w:rPr>
                <w:rFonts w:hint="default" w:ascii="Arial" w:hAnsi="Arial" w:eastAsia="Arial" w:cs="Arial"/>
                <w:i w:val="0"/>
                <w:iCs w:val="0"/>
                <w:caps w:val="0"/>
                <w:color w:val="000000"/>
                <w:spacing w:val="0"/>
                <w:sz w:val="19"/>
                <w:szCs w:val="19"/>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w:t>
            </w:r>
          </w:p>
        </w:tc>
        <w:tc>
          <w:tcPr>
            <w:tcW w:w="540"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keepNext w:val="0"/>
              <w:keepLines w:val="0"/>
              <w:widowControl/>
              <w:suppressLineNumbers w:val="0"/>
              <w:spacing w:before="0" w:beforeAutospacing="0" w:after="0" w:afterAutospacing="0"/>
              <w:ind w:left="0" w:right="0" w:firstLine="420"/>
              <w:jc w:val="left"/>
              <w:rPr>
                <w:rFonts w:hint="default" w:ascii="Arial" w:hAnsi="Arial" w:eastAsia="Arial" w:cs="Arial"/>
                <w:i w:val="0"/>
                <w:iCs w:val="0"/>
                <w:caps w:val="0"/>
                <w:color w:val="000000"/>
                <w:spacing w:val="0"/>
                <w:sz w:val="19"/>
                <w:szCs w:val="19"/>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w:t>
            </w:r>
          </w:p>
        </w:tc>
        <w:tc>
          <w:tcPr>
            <w:tcW w:w="540"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0" w:type="dxa"/>
            <w:left w:w="0" w:type="dxa"/>
            <w:bottom w:w="0" w:type="dxa"/>
            <w:right w:w="0" w:type="dxa"/>
          </w:tblCellMar>
        </w:tblPrEx>
        <w:trPr>
          <w:trHeight w:val="1873" w:hRule="atLeast"/>
        </w:trPr>
        <w:tc>
          <w:tcPr>
            <w:tcW w:w="432"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16</w:t>
            </w:r>
          </w:p>
        </w:tc>
        <w:tc>
          <w:tcPr>
            <w:tcW w:w="30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rPr>
                <w:rFonts w:hint="default" w:ascii="Arial" w:hAnsi="Arial" w:eastAsia="Arial" w:cs="Arial"/>
                <w:i w:val="0"/>
                <w:iCs w:val="0"/>
                <w:caps w:val="0"/>
                <w:color w:val="000000"/>
                <w:spacing w:val="0"/>
                <w:sz w:val="19"/>
                <w:szCs w:val="19"/>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rPr>
                <w:rFonts w:hint="default" w:ascii="Arial" w:hAnsi="Arial" w:eastAsia="Arial" w:cs="Arial"/>
                <w:i w:val="0"/>
                <w:iCs w:val="0"/>
                <w:caps w:val="0"/>
                <w:color w:val="000000"/>
                <w:spacing w:val="0"/>
                <w:sz w:val="19"/>
                <w:szCs w:val="19"/>
              </w:rPr>
            </w:pPr>
          </w:p>
        </w:tc>
        <w:tc>
          <w:tcPr>
            <w:tcW w:w="468"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互动回应</w:t>
            </w:r>
          </w:p>
        </w:tc>
        <w:tc>
          <w:tcPr>
            <w:tcW w:w="1032"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涉及群众切身利益和舆论关注的焦点热点及关键问题等回应内容</w:t>
            </w:r>
          </w:p>
        </w:tc>
        <w:tc>
          <w:tcPr>
            <w:tcW w:w="237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rPr>
                <w:rFonts w:hint="default" w:ascii="Arial" w:hAnsi="Arial" w:eastAsia="Arial" w:cs="Arial"/>
                <w:i w:val="0"/>
                <w:iCs w:val="0"/>
                <w:caps w:val="0"/>
                <w:color w:val="000000"/>
                <w:spacing w:val="0"/>
                <w:sz w:val="19"/>
                <w:szCs w:val="19"/>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及时发布信息；对涉及重大舆情的，要快速反应，并根据工作进展情况，持续发布信息。</w:t>
            </w:r>
          </w:p>
        </w:tc>
        <w:tc>
          <w:tcPr>
            <w:tcW w:w="708"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霍尔果斯市住房和城乡建设局</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■政府网站 □政府公报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□两微一端 □发布会/听证会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□广播电视 □纸质媒体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□公开查阅点 □政务服务中心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□便民服务站 □入户/现场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□社区/企事业单位/村公示栏（电子屏）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□精准推送 □其他_</w:t>
            </w:r>
          </w:p>
        </w:tc>
        <w:tc>
          <w:tcPr>
            <w:tcW w:w="300"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w:t>
            </w:r>
          </w:p>
        </w:tc>
        <w:tc>
          <w:tcPr>
            <w:tcW w:w="540"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keepNext w:val="0"/>
              <w:keepLines w:val="0"/>
              <w:widowControl/>
              <w:suppressLineNumbers w:val="0"/>
              <w:spacing w:before="0" w:beforeAutospacing="0" w:after="0" w:afterAutospacing="0"/>
              <w:ind w:left="0" w:right="0" w:firstLine="420"/>
              <w:jc w:val="left"/>
              <w:rPr>
                <w:rFonts w:hint="default" w:ascii="Arial" w:hAnsi="Arial" w:eastAsia="Arial" w:cs="Arial"/>
                <w:i w:val="0"/>
                <w:iCs w:val="0"/>
                <w:caps w:val="0"/>
                <w:color w:val="000000"/>
                <w:spacing w:val="0"/>
                <w:sz w:val="19"/>
                <w:szCs w:val="19"/>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w:t>
            </w:r>
          </w:p>
        </w:tc>
        <w:tc>
          <w:tcPr>
            <w:tcW w:w="252"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keepNext w:val="0"/>
              <w:keepLines w:val="0"/>
              <w:widowControl/>
              <w:suppressLineNumbers w:val="0"/>
              <w:spacing w:before="0" w:beforeAutospacing="0" w:after="0" w:afterAutospacing="0"/>
              <w:ind w:left="0" w:right="0" w:firstLine="420"/>
              <w:jc w:val="left"/>
              <w:rPr>
                <w:rFonts w:hint="default" w:ascii="Arial" w:hAnsi="Arial" w:eastAsia="Arial" w:cs="Arial"/>
                <w:i w:val="0"/>
                <w:iCs w:val="0"/>
                <w:caps w:val="0"/>
                <w:color w:val="000000"/>
                <w:spacing w:val="0"/>
                <w:sz w:val="19"/>
                <w:szCs w:val="19"/>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keepNext w:val="0"/>
              <w:keepLines w:val="0"/>
              <w:widowControl/>
              <w:suppressLineNumbers w:val="0"/>
              <w:spacing w:before="0" w:beforeAutospacing="0" w:after="0" w:afterAutospacing="0"/>
              <w:ind w:left="0" w:right="0" w:firstLine="420"/>
              <w:jc w:val="left"/>
              <w:rPr>
                <w:rFonts w:hint="default" w:ascii="Arial" w:hAnsi="Arial" w:eastAsia="Arial" w:cs="Arial"/>
                <w:i w:val="0"/>
                <w:iCs w:val="0"/>
                <w:caps w:val="0"/>
                <w:color w:val="000000"/>
                <w:spacing w:val="0"/>
                <w:sz w:val="19"/>
                <w:szCs w:val="19"/>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16"/>
                <w:szCs w:val="16"/>
              </w:rPr>
            </w:pPr>
            <w:r>
              <w:rPr>
                <w:rFonts w:hint="default" w:ascii="Arial" w:hAnsi="Arial" w:eastAsia="Arial" w:cs="Arial"/>
                <w:i w:val="0"/>
                <w:iCs w:val="0"/>
                <w:caps w:val="0"/>
                <w:color w:val="000000"/>
                <w:spacing w:val="0"/>
                <w:sz w:val="16"/>
                <w:szCs w:val="16"/>
                <w:bdr w:val="none" w:color="auto" w:sz="0" w:space="0"/>
              </w:rPr>
              <w:t>√</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iNWViMDM0NzBhMzMzZTU1NDY2NDQ2NmQzMmVmNTIifQ=="/>
  </w:docVars>
  <w:rsids>
    <w:rsidRoot w:val="00000000"/>
    <w:rsid w:val="11721C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邓云飞</dc:creator>
  <cp:lastModifiedBy>^-^alemjan</cp:lastModifiedBy>
  <dcterms:modified xsi:type="dcterms:W3CDTF">2022-08-23T13:35:25Z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C17ACA8AA3BB429D9B163CEFC5A2C923</vt:lpwstr>
  </property>
</Properties>
</file>