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7"/>
        <w:gridCol w:w="261"/>
        <w:gridCol w:w="363"/>
        <w:gridCol w:w="332"/>
        <w:gridCol w:w="662"/>
        <w:gridCol w:w="1230"/>
        <w:gridCol w:w="637"/>
        <w:gridCol w:w="526"/>
        <w:gridCol w:w="1545"/>
        <w:gridCol w:w="261"/>
        <w:gridCol w:w="439"/>
        <w:gridCol w:w="439"/>
        <w:gridCol w:w="439"/>
        <w:gridCol w:w="363"/>
        <w:gridCol w:w="55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ascii="Arial" w:hAnsi="Arial" w:eastAsia="Arial" w:cs="Arial"/>
                <w:b/>
                <w:bCs/>
                <w:i w:val="0"/>
                <w:iCs w:val="0"/>
                <w:caps w:val="0"/>
                <w:color w:val="000000"/>
                <w:spacing w:val="0"/>
                <w:sz w:val="16"/>
                <w:szCs w:val="16"/>
                <w:bdr w:val="none" w:color="auto" w:sz="0" w:space="0"/>
              </w:rPr>
              <w:t>号</w:t>
            </w:r>
          </w:p>
        </w:tc>
        <w:tc>
          <w:tcPr>
            <w:tcW w:w="3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过程</w:t>
            </w:r>
          </w:p>
        </w:tc>
        <w:tc>
          <w:tcPr>
            <w:tcW w:w="1008" w:type="dxa"/>
            <w:gridSpan w:val="2"/>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公开事项</w:t>
            </w:r>
          </w:p>
        </w:tc>
        <w:tc>
          <w:tcPr>
            <w:tcW w:w="10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公开内容</w:t>
            </w:r>
          </w:p>
        </w:tc>
        <w:tc>
          <w:tcPr>
            <w:tcW w:w="23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公开依据</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公开时限</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主体</w:t>
            </w:r>
          </w:p>
        </w:tc>
        <w:tc>
          <w:tcPr>
            <w:tcW w:w="2112"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公开渠道和载体</w:t>
            </w:r>
          </w:p>
        </w:tc>
        <w:tc>
          <w:tcPr>
            <w:tcW w:w="588" w:type="dxa"/>
            <w:gridSpan w:val="2"/>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公开方式</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公开层级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889" w:hRule="atLeast"/>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jc w:val="center"/>
              <w:rPr>
                <w:rFonts w:hint="default" w:ascii="Arial" w:hAnsi="Arial" w:eastAsia="Arial" w:cs="Arial"/>
                <w:i w:val="0"/>
                <w:iCs w:val="0"/>
                <w:caps w:val="0"/>
                <w:color w:val="000000"/>
                <w:spacing w:val="0"/>
                <w:sz w:val="19"/>
                <w:szCs w:val="19"/>
              </w:rPr>
            </w:pPr>
          </w:p>
        </w:tc>
        <w:tc>
          <w:tcPr>
            <w:tcW w:w="3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jc w:val="center"/>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一级 事项</w:t>
            </w: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事项</w:t>
            </w:r>
          </w:p>
        </w:tc>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jc w:val="center"/>
              <w:rPr>
                <w:rFonts w:hint="default" w:ascii="Arial" w:hAnsi="Arial" w:eastAsia="Arial" w:cs="Arial"/>
                <w:i w:val="0"/>
                <w:iCs w:val="0"/>
                <w:caps w:val="0"/>
                <w:color w:val="000000"/>
                <w:spacing w:val="0"/>
                <w:sz w:val="19"/>
                <w:szCs w:val="19"/>
              </w:rPr>
            </w:pPr>
          </w:p>
        </w:tc>
        <w:tc>
          <w:tcPr>
            <w:tcW w:w="2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jc w:val="center"/>
              <w:rPr>
                <w:rFonts w:hint="default" w:ascii="Arial" w:hAnsi="Arial" w:eastAsia="Arial" w:cs="Arial"/>
                <w:i w:val="0"/>
                <w:iCs w:val="0"/>
                <w:caps w:val="0"/>
                <w:color w:val="000000"/>
                <w:spacing w:val="0"/>
                <w:sz w:val="19"/>
                <w:szCs w:val="19"/>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jc w:val="center"/>
              <w:rPr>
                <w:rFonts w:hint="default" w:ascii="Arial" w:hAnsi="Arial" w:eastAsia="Arial" w:cs="Arial"/>
                <w:i w:val="0"/>
                <w:iCs w:val="0"/>
                <w:caps w:val="0"/>
                <w:color w:val="000000"/>
                <w:spacing w:val="0"/>
                <w:sz w:val="19"/>
                <w:szCs w:val="19"/>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jc w:val="center"/>
              <w:rPr>
                <w:rFonts w:hint="default" w:ascii="Arial" w:hAnsi="Arial" w:eastAsia="Arial" w:cs="Arial"/>
                <w:i w:val="0"/>
                <w:iCs w:val="0"/>
                <w:caps w:val="0"/>
                <w:color w:val="000000"/>
                <w:spacing w:val="0"/>
                <w:sz w:val="19"/>
                <w:szCs w:val="19"/>
              </w:rPr>
            </w:pPr>
          </w:p>
        </w:tc>
        <w:tc>
          <w:tcPr>
            <w:tcW w:w="211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jc w:val="center"/>
              <w:rPr>
                <w:rFonts w:hint="default" w:ascii="Arial" w:hAnsi="Arial" w:eastAsia="Arial" w:cs="Arial"/>
                <w:i w:val="0"/>
                <w:iCs w:val="0"/>
                <w:caps w:val="0"/>
                <w:color w:val="000000"/>
                <w:spacing w:val="0"/>
                <w:sz w:val="19"/>
                <w:szCs w:val="19"/>
              </w:rPr>
            </w:pPr>
          </w:p>
        </w:tc>
        <w:tc>
          <w:tcPr>
            <w:tcW w:w="30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特定 群体</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主动</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依申请</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县级</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5"/>
                <w:rFonts w:hint="default" w:ascii="Arial" w:hAnsi="Arial" w:eastAsia="Arial" w:cs="Arial"/>
                <w:b/>
                <w:bCs/>
                <w:i w:val="0"/>
                <w:iCs w:val="0"/>
                <w:caps w:val="0"/>
                <w:color w:val="000000"/>
                <w:spacing w:val="0"/>
                <w:sz w:val="16"/>
                <w:szCs w:val="16"/>
                <w:bdr w:val="none" w:color="auto" w:sz="0" w:space="0"/>
              </w:rPr>
              <w:t>乡（镇）级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1728"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1</w:t>
            </w:r>
          </w:p>
        </w:tc>
        <w:tc>
          <w:tcPr>
            <w:tcW w:w="3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决策</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文件</w:t>
            </w: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农村危房改造相关文件</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文件分类生成日期标题文号有效性关键词和具体内容等</w:t>
            </w:r>
          </w:p>
        </w:tc>
        <w:tc>
          <w:tcPr>
            <w:tcW w:w="23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《中共中央办公厅国务院办公厅印发〈关于全面推进政务公开工作的意见〉的通知》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《中共中央办公厅 国务院办公厅关于建立健全信息发布和政策解读机制的意见》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《国务院办公厅印发〈关于全面推进政务公开工作的意见〉实施细则的通知》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新疆维吾尔自治区安居富民工程建设领导小组办公室关于转发《住房和城乡建设部办公厅关于做好“ 十三五”期间农村危房改造对象信息公示工作的通知》的通知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关于批准发布《自治区农村安居工程建设标准》的通知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年度《霍尔果斯市农村安居工程实施方案》</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信息形成之日起20个工作日内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4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1777"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2</w:t>
            </w:r>
          </w:p>
        </w:tc>
        <w:tc>
          <w:tcPr>
            <w:tcW w:w="3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解读</w:t>
            </w: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上级政策解读</w:t>
            </w:r>
          </w:p>
        </w:tc>
        <w:tc>
          <w:tcPr>
            <w:tcW w:w="10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着重解读政策措施的背景依据目标任务主要内容涉及范围执行标准，以及注意事项关键词诠释惠民利民举措新旧政策差异等</w:t>
            </w:r>
          </w:p>
        </w:tc>
        <w:tc>
          <w:tcPr>
            <w:tcW w:w="2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信息形成之日起20个工作日内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30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19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1764"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3</w:t>
            </w:r>
          </w:p>
        </w:tc>
        <w:tc>
          <w:tcPr>
            <w:tcW w:w="3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本级政策解读</w:t>
            </w:r>
          </w:p>
        </w:tc>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2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信息形成之日起20个工作日内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30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25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1764"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4</w:t>
            </w:r>
          </w:p>
        </w:tc>
        <w:tc>
          <w:tcPr>
            <w:tcW w:w="3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执行</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计划实施</w:t>
            </w: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任务分配</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及时公开农村危房改造补助农户名单</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《住房城乡建设部 财政部 国务院扶贫办关于加强和完善建档立卡贫困户等重点对象农村危房改造若干问题的通知》等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年度《霍尔果斯市农村安居工程实施方案》</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分配结果确定后20个工作日内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sym w:font="Wingdings 2" w:char="0052"/>
            </w: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4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1633"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5</w:t>
            </w:r>
          </w:p>
        </w:tc>
        <w:tc>
          <w:tcPr>
            <w:tcW w:w="3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组织培训</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组织开展农村建筑工匠培训文件</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《住房城乡建设部 财政部 国务院扶贫办关于决战决胜脱贫攻坚进一步做好农村危房改造的通知》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《霍尔果斯市“冬季攻势”实施方案》</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信息形成之日起20个工作日内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霍尔果斯市住房和城乡建设局、乡场</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30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19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1453"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6</w:t>
            </w:r>
          </w:p>
        </w:tc>
        <w:tc>
          <w:tcPr>
            <w:tcW w:w="3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管理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条件与标准</w:t>
            </w: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农村危房等级评定标准</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农村危房等级评定相关标准</w:t>
            </w:r>
          </w:p>
        </w:tc>
        <w:tc>
          <w:tcPr>
            <w:tcW w:w="23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《中华人民共和国预算法》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《住房城乡建设部 财政部关于印发农村危房改造脱贫攻坚三年行动方案的通知》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《住房城乡建设部 财政部 国务院扶贫办关于加强和完善建档立卡贫困户等重点对象农村危房改造若干问题的通知》等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年度《霍尔果斯市农村安居工程实施方案》</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信息形成之日起20个工作日内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4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1884"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7</w:t>
            </w:r>
          </w:p>
        </w:tc>
        <w:tc>
          <w:tcPr>
            <w:tcW w:w="3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农村危房改造对象申请条件</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农村危房改造农户申请条件</w:t>
            </w:r>
          </w:p>
        </w:tc>
        <w:tc>
          <w:tcPr>
            <w:tcW w:w="2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信息形成之日起20个工作日内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30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25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1260"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8</w:t>
            </w:r>
          </w:p>
        </w:tc>
        <w:tc>
          <w:tcPr>
            <w:tcW w:w="3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农村危房改造资金补助标准</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农村危房改造资金补助标准</w:t>
            </w:r>
          </w:p>
        </w:tc>
        <w:tc>
          <w:tcPr>
            <w:tcW w:w="2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信息形成之日起20个工作日内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30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25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873"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9</w:t>
            </w:r>
          </w:p>
        </w:tc>
        <w:tc>
          <w:tcPr>
            <w:tcW w:w="3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管理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条件与标准</w:t>
            </w: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农村危房改造竣工合格标准</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农村危房改造竣工验收要求</w:t>
            </w:r>
          </w:p>
        </w:tc>
        <w:tc>
          <w:tcPr>
            <w:tcW w:w="23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《住房城乡建设部 财政部关于印发农村危房改造脱贫攻坚三年行动方案的通知》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《住房城乡建设部 财政部 国务院扶贫办关于加强和完善建档立卡贫困户等重点对象农村危房改造若干问题的通知》等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关于做好农村危房鉴定和住房安全性认定工作的通知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关于批准发布《自治区农村安居工程建设标准》的通知</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信息形成之日起20个工作日内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4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036"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10</w:t>
            </w:r>
          </w:p>
        </w:tc>
        <w:tc>
          <w:tcPr>
            <w:tcW w:w="3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对象认定</w:t>
            </w: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危改户认定程序</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农村危房改造申请程序</w:t>
            </w:r>
          </w:p>
        </w:tc>
        <w:tc>
          <w:tcPr>
            <w:tcW w:w="2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信息形成之日起20个工作日内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30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19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1248"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11</w:t>
            </w:r>
          </w:p>
        </w:tc>
        <w:tc>
          <w:tcPr>
            <w:tcW w:w="3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认定结果</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认定结果</w:t>
            </w:r>
          </w:p>
        </w:tc>
        <w:tc>
          <w:tcPr>
            <w:tcW w:w="2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信息形成之日起20个工作日内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30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25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257"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12</w:t>
            </w:r>
          </w:p>
        </w:tc>
        <w:tc>
          <w:tcPr>
            <w:tcW w:w="30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管理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预算管理</w:t>
            </w: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预算编制和执行情况</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预算预算调整决算预算执行情况的报告及报表有关内容，部门预算决算及报表有关内容</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《中华人民共和国预算法》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《政府信息公开条例》</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经县级人民代表大会人民代表大会常务委员会批准或财政部门批复后20日内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4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1921"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13</w:t>
            </w:r>
          </w:p>
        </w:tc>
        <w:tc>
          <w:tcPr>
            <w:tcW w:w="3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结果</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决策部署</w:t>
            </w: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决策部署落实情况</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决策部署落实情况等</w:t>
            </w:r>
          </w:p>
        </w:tc>
        <w:tc>
          <w:tcPr>
            <w:tcW w:w="23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《中共中央办公厅国务院办公厅印发〈关于全面推进政务公开工作的意见〉的通知》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《国务院办公厅印发〈关于全面推进政务公开工作的意见〉实施细则的通知》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关于印发《自治区农村安居工程质量控制和认定实施意见》的通知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年度《霍尔果斯市农村安居工程实施方案》</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信息形成之日起20个工作日内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霍尔果斯市住房和城乡建设局、乡场</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4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1681"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14</w:t>
            </w:r>
          </w:p>
        </w:tc>
        <w:tc>
          <w:tcPr>
            <w:tcW w:w="3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年度任务实施</w:t>
            </w: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年度任务执行情况</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年度工作完成情况等</w:t>
            </w:r>
          </w:p>
        </w:tc>
        <w:tc>
          <w:tcPr>
            <w:tcW w:w="2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信息形成之日起20个工作日内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霍尔果斯市住房和城乡建设局、乡场</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30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19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1921"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15</w:t>
            </w:r>
          </w:p>
        </w:tc>
        <w:tc>
          <w:tcPr>
            <w:tcW w:w="3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回应关切</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舆情收集热点及关键问题回应</w:t>
            </w: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舆情收集回应</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接受投诉咨询建议等联系电话通信地址等</w:t>
            </w:r>
          </w:p>
        </w:tc>
        <w:tc>
          <w:tcPr>
            <w:tcW w:w="23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《中共中央办公厅国务院办公厅印发〈关于全面推进政务公开工作的意见〉的通知》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《国务院办公厅印发〈关于全面推进政务公开工作的意见〉实施细则的通知》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新疆维吾尔自治区安居富民工程建设领导小组办公室关于转发《住房和城乡建设部办公厅关于做好“ 十三五”期间农村危房改造对象信息公示工作的通知》的通知</w:t>
            </w: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信息形成之日起20个工作日内</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w:t>
            </w:r>
            <w:bookmarkStart w:id="0" w:name="_GoBack"/>
            <w:bookmarkEnd w:id="0"/>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sym w:font="Wingdings 2" w:char="0052"/>
            </w: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4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1873" w:hRule="atLeast"/>
        </w:trPr>
        <w:tc>
          <w:tcPr>
            <w:tcW w:w="4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16</w:t>
            </w:r>
          </w:p>
        </w:tc>
        <w:tc>
          <w:tcPr>
            <w:tcW w:w="3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46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互动回应</w:t>
            </w:r>
          </w:p>
        </w:tc>
        <w:tc>
          <w:tcPr>
            <w:tcW w:w="103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涉及群众切身利益和舆论关注的焦点热点及关键问题等回应内容</w:t>
            </w:r>
          </w:p>
        </w:tc>
        <w:tc>
          <w:tcPr>
            <w:tcW w:w="2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rPr>
                <w:rFonts w:hint="default" w:ascii="Arial" w:hAnsi="Arial" w:eastAsia="Arial" w:cs="Arial"/>
                <w:i w:val="0"/>
                <w:iCs w:val="0"/>
                <w:caps w:val="0"/>
                <w:color w:val="000000"/>
                <w:spacing w:val="0"/>
                <w:sz w:val="19"/>
                <w:szCs w:val="19"/>
              </w:rPr>
            </w:pPr>
          </w:p>
        </w:tc>
        <w:tc>
          <w:tcPr>
            <w:tcW w:w="97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及时发布信息；对涉及重大舆情的，要快速反应，并根据工作进展情况，持续发布信息。</w:t>
            </w:r>
          </w:p>
        </w:tc>
        <w:tc>
          <w:tcPr>
            <w:tcW w:w="708"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霍尔果斯市住房和城乡建设局</w:t>
            </w:r>
          </w:p>
        </w:tc>
        <w:tc>
          <w:tcPr>
            <w:tcW w:w="29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■政府网站 □政府公报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□两微一端 □发布会/听证会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□广播电视 □纸质媒体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□公开查阅点 □政务服务中心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□便民服务站 □入户/现场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□社区/企事业单位/村公示栏（电子屏）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□精准推送 □其他_</w:t>
            </w:r>
          </w:p>
        </w:tc>
        <w:tc>
          <w:tcPr>
            <w:tcW w:w="30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c>
          <w:tcPr>
            <w:tcW w:w="252"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keepNext w:val="0"/>
              <w:keepLines w:val="0"/>
              <w:widowControl/>
              <w:suppressLineNumbers w:val="0"/>
              <w:spacing w:before="0" w:beforeAutospacing="0" w:after="0" w:afterAutospacing="0"/>
              <w:ind w:left="0" w:right="0" w:firstLine="420"/>
              <w:jc w:val="left"/>
              <w:rPr>
                <w:rFonts w:hint="default" w:ascii="Arial" w:hAnsi="Arial" w:eastAsia="Arial" w:cs="Arial"/>
                <w:i w:val="0"/>
                <w:iCs w:val="0"/>
                <w:caps w:val="0"/>
                <w:color w:val="000000"/>
                <w:spacing w:val="0"/>
                <w:sz w:val="19"/>
                <w:szCs w:val="19"/>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24" w:type="dxa"/>
              <w:left w:w="36" w:type="dxa"/>
              <w:bottom w:w="24"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sz w:val="16"/>
                <w:szCs w:val="16"/>
              </w:rPr>
            </w:pPr>
            <w:r>
              <w:rPr>
                <w:rFonts w:hint="default" w:ascii="Arial" w:hAnsi="Arial" w:eastAsia="Arial" w:cs="Arial"/>
                <w:i w:val="0"/>
                <w:iCs w:val="0"/>
                <w:caps w:val="0"/>
                <w:color w:val="000000"/>
                <w:spacing w:val="0"/>
                <w:sz w:val="16"/>
                <w:szCs w:val="16"/>
                <w:bdr w:val="none" w:color="auto" w:sz="0" w:space="0"/>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iNWViMDM0NzBhMzMzZTU1NDY2NDQ2NmQzMmVmNTIifQ=="/>
  </w:docVars>
  <w:rsids>
    <w:rsidRoot w:val="00000000"/>
    <w:rsid w:val="11721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邓云飞</dc:creator>
  <cp:lastModifiedBy>^-^alemjan</cp:lastModifiedBy>
  <dcterms:modified xsi:type="dcterms:W3CDTF">2022-08-23T13:35:25Z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C17ACA8AA3BB429D9B163CEFC5A2C923</vt:lpwstr>
  </property>
</Properties>
</file>