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960" w:firstLineChars="200"/>
        <w:jc w:val="both"/>
        <w:textAlignment w:val="auto"/>
        <w:rPr>
          <w:rFonts w:ascii="宋体" w:hAnsi="宋体" w:eastAsia="方正小标宋_GBK" w:cs="宋体"/>
          <w:b/>
          <w:kern w:val="0"/>
          <w:sz w:val="48"/>
          <w:szCs w:val="48"/>
        </w:rPr>
      </w:pPr>
    </w:p>
    <w:p>
      <w:pPr>
        <w:keepNext w:val="0"/>
        <w:keepLines w:val="0"/>
        <w:pageBreakBefore w:val="0"/>
        <w:widowControl w:val="0"/>
        <w:kinsoku/>
        <w:wordWrap/>
        <w:overflowPunct/>
        <w:topLinePunct w:val="0"/>
        <w:autoSpaceDE/>
        <w:autoSpaceDN/>
        <w:bidi w:val="0"/>
        <w:adjustRightInd/>
        <w:spacing w:line="560" w:lineRule="exact"/>
        <w:ind w:left="0" w:leftChars="0" w:firstLine="883" w:firstLineChars="200"/>
        <w:jc w:val="both"/>
        <w:textAlignment w:val="auto"/>
        <w:rPr>
          <w:rFonts w:hint="eastAsia" w:ascii="宋体" w:hAnsi="宋体" w:eastAsia="方正小标宋简体" w:cs="方正小标宋简体"/>
          <w:b/>
          <w:bCs w:val="0"/>
          <w:kern w:val="0"/>
          <w:sz w:val="44"/>
          <w:szCs w:val="44"/>
          <w:lang w:val="en-US" w:eastAsia="zh-CN"/>
        </w:rPr>
      </w:pPr>
      <w:r>
        <w:rPr>
          <w:rFonts w:hint="eastAsia" w:ascii="宋体" w:hAnsi="宋体" w:eastAsia="方正小标宋简体" w:cs="方正小标宋简体"/>
          <w:b/>
          <w:bCs w:val="0"/>
          <w:kern w:val="0"/>
          <w:sz w:val="44"/>
          <w:szCs w:val="44"/>
          <w:lang w:val="en-US" w:eastAsia="zh-CN"/>
        </w:rPr>
        <w:t>霍尔果斯市人民政府外事办公室</w:t>
      </w:r>
    </w:p>
    <w:p>
      <w:pPr>
        <w:keepNext w:val="0"/>
        <w:keepLines w:val="0"/>
        <w:pageBreakBefore w:val="0"/>
        <w:widowControl w:val="0"/>
        <w:kinsoku/>
        <w:wordWrap/>
        <w:overflowPunct/>
        <w:topLinePunct w:val="0"/>
        <w:autoSpaceDE/>
        <w:autoSpaceDN/>
        <w:bidi w:val="0"/>
        <w:adjustRightInd/>
        <w:spacing w:line="560" w:lineRule="exact"/>
        <w:ind w:left="0" w:leftChars="0" w:firstLine="1767" w:firstLineChars="400"/>
        <w:jc w:val="both"/>
        <w:textAlignment w:val="auto"/>
        <w:rPr>
          <w:rFonts w:ascii="宋体" w:hAnsi="宋体" w:eastAsia="华文中宋" w:cs="宋体"/>
          <w:b/>
          <w:kern w:val="0"/>
          <w:sz w:val="44"/>
          <w:szCs w:val="44"/>
        </w:rPr>
      </w:pPr>
      <w:r>
        <w:rPr>
          <w:rFonts w:hint="eastAsia" w:ascii="宋体" w:hAnsi="宋体" w:eastAsia="方正小标宋简体" w:cs="方正小标宋简体"/>
          <w:b/>
          <w:kern w:val="0"/>
          <w:sz w:val="44"/>
          <w:szCs w:val="44"/>
        </w:rPr>
        <w:t>整体支出绩效自评报告</w:t>
      </w:r>
    </w:p>
    <w:p>
      <w:pPr>
        <w:keepNext w:val="0"/>
        <w:keepLines w:val="0"/>
        <w:pageBreakBefore w:val="0"/>
        <w:widowControl w:val="0"/>
        <w:kinsoku/>
        <w:wordWrap/>
        <w:overflowPunct/>
        <w:topLinePunct w:val="0"/>
        <w:autoSpaceDE/>
        <w:autoSpaceDN/>
        <w:bidi w:val="0"/>
        <w:adjustRightInd/>
        <w:spacing w:line="560" w:lineRule="exact"/>
        <w:ind w:left="0" w:leftChars="0" w:firstLine="3240" w:firstLineChars="900"/>
        <w:jc w:val="both"/>
        <w:textAlignment w:val="auto"/>
        <w:rPr>
          <w:rFonts w:hint="eastAsia" w:ascii="宋体" w:hAnsi="宋体" w:eastAsia="方正楷体简体" w:cs="方正楷体简体"/>
          <w:b w:val="0"/>
          <w:bCs w:val="0"/>
          <w:kern w:val="0"/>
          <w:sz w:val="36"/>
          <w:szCs w:val="36"/>
        </w:rPr>
      </w:pPr>
      <w:r>
        <w:rPr>
          <w:rFonts w:hint="eastAsia" w:ascii="宋体" w:hAnsi="宋体" w:eastAsia="方正楷体简体" w:cs="方正楷体简体"/>
          <w:b w:val="0"/>
          <w:bCs w:val="0"/>
          <w:kern w:val="0"/>
          <w:sz w:val="36"/>
          <w:szCs w:val="36"/>
        </w:rPr>
        <w:t>（</w:t>
      </w:r>
      <w:r>
        <w:rPr>
          <w:rFonts w:hint="eastAsia" w:ascii="宋体" w:hAnsi="宋体" w:eastAsia="方正楷体简体" w:cs="方正楷体简体"/>
          <w:b w:val="0"/>
          <w:bCs w:val="0"/>
          <w:sz w:val="36"/>
          <w:szCs w:val="36"/>
        </w:rPr>
        <w:t>2024</w:t>
      </w:r>
      <w:r>
        <w:rPr>
          <w:rFonts w:hint="eastAsia" w:ascii="宋体" w:hAnsi="宋体" w:eastAsia="方正楷体简体" w:cs="方正楷体简体"/>
          <w:b w:val="0"/>
          <w:bCs w:val="0"/>
          <w:kern w:val="0"/>
          <w:sz w:val="36"/>
          <w:szCs w:val="36"/>
        </w:rPr>
        <w:t>年度）</w:t>
      </w: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720" w:firstLineChars="200"/>
        <w:jc w:val="both"/>
        <w:textAlignment w:val="auto"/>
        <w:rPr>
          <w:rFonts w:ascii="宋体" w:hAnsi="宋体" w:eastAsia="仿宋_GB2312" w:cs="宋体"/>
          <w:kern w:val="0"/>
          <w:sz w:val="36"/>
          <w:szCs w:val="36"/>
        </w:rPr>
      </w:pP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小标宋简体" w:cs="方正小标宋简体"/>
          <w:kern w:val="0"/>
          <w:sz w:val="32"/>
          <w:szCs w:val="32"/>
        </w:rPr>
      </w:pPr>
    </w:p>
    <w:p>
      <w:pPr>
        <w:keepNext w:val="0"/>
        <w:keepLines w:val="0"/>
        <w:pageBreakBefore w:val="0"/>
        <w:widowControl w:val="0"/>
        <w:kinsoku/>
        <w:wordWrap/>
        <w:overflowPunct/>
        <w:topLinePunct w:val="0"/>
        <w:autoSpaceDE/>
        <w:autoSpaceDN/>
        <w:bidi w:val="0"/>
        <w:adjustRightInd/>
        <w:spacing w:line="560" w:lineRule="exact"/>
        <w:jc w:val="both"/>
        <w:textAlignment w:val="auto"/>
        <w:rPr>
          <w:rFonts w:hint="eastAsia" w:ascii="宋体" w:hAnsi="宋体" w:eastAsia="方正小标宋简体" w:cs="方正小标宋简体"/>
          <w:kern w:val="0"/>
          <w:sz w:val="32"/>
          <w:szCs w:val="32"/>
        </w:rPr>
      </w:pPr>
    </w:p>
    <w:p>
      <w:pPr>
        <w:keepNext w:val="0"/>
        <w:keepLines w:val="0"/>
        <w:pageBreakBefore w:val="0"/>
        <w:widowControl w:val="0"/>
        <w:kinsoku/>
        <w:wordWrap/>
        <w:overflowPunct/>
        <w:topLinePunct w:val="0"/>
        <w:autoSpaceDE/>
        <w:autoSpaceDN/>
        <w:bidi w:val="0"/>
        <w:adjustRightInd/>
        <w:spacing w:line="560" w:lineRule="exact"/>
        <w:jc w:val="both"/>
        <w:textAlignment w:val="auto"/>
        <w:rPr>
          <w:rFonts w:hint="eastAsia" w:ascii="宋体" w:hAnsi="宋体" w:eastAsia="方正仿宋简体" w:cs="方正仿宋简体"/>
          <w:kern w:val="0"/>
          <w:sz w:val="36"/>
          <w:szCs w:val="36"/>
        </w:rPr>
      </w:pPr>
      <w:r>
        <w:rPr>
          <w:rFonts w:hint="eastAsia" w:ascii="宋体" w:hAnsi="宋体" w:eastAsia="方正仿宋简体" w:cs="方正仿宋简体"/>
          <w:kern w:val="0"/>
          <w:sz w:val="36"/>
          <w:szCs w:val="36"/>
        </w:rPr>
        <w:t>部门单位名称（公章）：</w:t>
      </w:r>
      <w:r>
        <w:rPr>
          <w:rStyle w:val="8"/>
          <w:rFonts w:hint="eastAsia" w:ascii="宋体" w:hAnsi="宋体" w:eastAsia="方正仿宋简体" w:cs="方正仿宋简体"/>
          <w:b w:val="0"/>
          <w:bCs w:val="0"/>
          <w:spacing w:val="-4"/>
          <w:sz w:val="36"/>
          <w:szCs w:val="36"/>
        </w:rPr>
        <w:t>霍尔果斯市人民政府外事办公室</w:t>
      </w:r>
    </w:p>
    <w:p>
      <w:pPr>
        <w:keepNext w:val="0"/>
        <w:keepLines w:val="0"/>
        <w:pageBreakBefore w:val="0"/>
        <w:widowControl w:val="0"/>
        <w:kinsoku/>
        <w:wordWrap/>
        <w:overflowPunct/>
        <w:topLinePunct w:val="0"/>
        <w:autoSpaceDE/>
        <w:autoSpaceDN/>
        <w:bidi w:val="0"/>
        <w:adjustRightInd/>
        <w:spacing w:line="560" w:lineRule="exact"/>
        <w:jc w:val="both"/>
        <w:textAlignment w:val="auto"/>
        <w:rPr>
          <w:rFonts w:hint="eastAsia" w:ascii="宋体" w:hAnsi="宋体" w:eastAsia="方正仿宋简体" w:cs="方正仿宋简体"/>
          <w:kern w:val="0"/>
          <w:sz w:val="36"/>
          <w:szCs w:val="36"/>
        </w:rPr>
      </w:pPr>
      <w:r>
        <w:rPr>
          <w:rFonts w:hint="eastAsia" w:ascii="宋体" w:hAnsi="宋体" w:eastAsia="方正仿宋简体" w:cs="方正仿宋简体"/>
          <w:kern w:val="0"/>
          <w:sz w:val="36"/>
          <w:szCs w:val="36"/>
        </w:rPr>
        <w:t>填报时间：</w:t>
      </w:r>
      <w:r>
        <w:rPr>
          <w:rStyle w:val="8"/>
          <w:rFonts w:hint="eastAsia" w:ascii="宋体" w:hAnsi="宋体" w:eastAsia="方正仿宋简体" w:cs="方正仿宋简体"/>
          <w:b w:val="0"/>
          <w:bCs w:val="0"/>
          <w:spacing w:val="-4"/>
          <w:sz w:val="36"/>
          <w:szCs w:val="36"/>
        </w:rPr>
        <w:t>2025年04月01日</w:t>
      </w:r>
    </w:p>
    <w:p>
      <w:pPr>
        <w:keepNext w:val="0"/>
        <w:keepLines w:val="0"/>
        <w:pageBreakBefore w:val="0"/>
        <w:kinsoku/>
        <w:wordWrap/>
        <w:overflowPunct/>
        <w:topLinePunct w:val="0"/>
        <w:autoSpaceDE/>
        <w:autoSpaceDN/>
        <w:bidi w:val="0"/>
        <w:adjustRightInd/>
        <w:spacing w:line="560" w:lineRule="exact"/>
        <w:ind w:left="0" w:leftChars="0" w:firstLine="640" w:firstLineChars="200"/>
        <w:jc w:val="both"/>
        <w:rPr>
          <w:rFonts w:hint="eastAsia" w:ascii="宋体" w:hAnsi="宋体" w:eastAsia="方正仿宋简体" w:cs="方正仿宋简体"/>
          <w:sz w:val="32"/>
          <w:szCs w:val="32"/>
        </w:rPr>
      </w:pPr>
    </w:p>
    <w:p>
      <w:pPr>
        <w:keepNext w:val="0"/>
        <w:keepLines w:val="0"/>
        <w:pageBreakBefore w:val="0"/>
        <w:kinsoku/>
        <w:wordWrap/>
        <w:overflowPunct/>
        <w:topLinePunct w:val="0"/>
        <w:autoSpaceDE/>
        <w:autoSpaceDN/>
        <w:bidi w:val="0"/>
        <w:adjustRightInd/>
        <w:spacing w:line="560" w:lineRule="exact"/>
        <w:ind w:left="0" w:leftChars="0" w:firstLine="640" w:firstLineChars="200"/>
        <w:jc w:val="both"/>
        <w:rPr>
          <w:rFonts w:hint="eastAsia" w:ascii="宋体" w:hAnsi="宋体" w:eastAsia="方正仿宋简体" w:cs="方正仿宋简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bidi="ar"/>
          <w14:textFill>
            <w14:solidFill>
              <w14:schemeClr w14:val="tx1"/>
            </w14:solidFill>
          </w14:textFill>
        </w:rPr>
      </w:pPr>
      <w:r>
        <w:rPr>
          <w:rFonts w:hint="eastAsia" w:ascii="宋体" w:hAnsi="宋体" w:eastAsia="黑体" w:cs="黑体"/>
          <w:b w:val="0"/>
          <w:bCs/>
          <w:color w:val="000000" w:themeColor="text1"/>
          <w:sz w:val="32"/>
          <w:szCs w:val="32"/>
          <w:lang w:eastAsia="zh-CN" w:bidi="ar"/>
          <w14:textFill>
            <w14:solidFill>
              <w14:schemeClr w14:val="tx1"/>
            </w14:solidFill>
          </w14:textFill>
        </w:rPr>
        <w:t>一、</w:t>
      </w:r>
      <w:r>
        <w:rPr>
          <w:rFonts w:hint="eastAsia" w:ascii="宋体" w:hAnsi="宋体" w:eastAsia="黑体" w:cs="黑体"/>
          <w:b w:val="0"/>
          <w:bCs/>
          <w:color w:val="000000" w:themeColor="text1"/>
          <w:sz w:val="32"/>
          <w:szCs w:val="32"/>
          <w:lang w:bidi="ar"/>
          <w14:textFill>
            <w14:solidFill>
              <w14:schemeClr w14:val="tx1"/>
            </w14:solidFill>
          </w14:textFill>
        </w:rPr>
        <w:t>基本概况：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333333"/>
          <w:sz w:val="32"/>
          <w:szCs w:val="32"/>
        </w:rPr>
      </w:pPr>
      <w:r>
        <w:rPr>
          <w:rFonts w:hint="eastAsia" w:ascii="方正楷体简体" w:hAnsi="方正楷体简体" w:eastAsia="方正楷体简体" w:cs="方正楷体简体"/>
          <w:b/>
          <w:bCs w:val="0"/>
          <w:color w:val="000000" w:themeColor="text1"/>
          <w:sz w:val="32"/>
          <w:szCs w:val="32"/>
          <w:lang w:eastAsia="zh-CN" w:bidi="ar"/>
          <w14:textFill>
            <w14:solidFill>
              <w14:schemeClr w14:val="tx1"/>
            </w14:solidFill>
          </w14:textFill>
        </w:rPr>
        <w:t>（一）</w:t>
      </w:r>
      <w:r>
        <w:rPr>
          <w:rFonts w:hint="eastAsia" w:ascii="方正楷体简体" w:hAnsi="方正楷体简体" w:eastAsia="方正楷体简体" w:cs="方正楷体简体"/>
          <w:b/>
          <w:bCs w:val="0"/>
          <w:color w:val="000000" w:themeColor="text1"/>
          <w:sz w:val="32"/>
          <w:szCs w:val="32"/>
          <w:lang w:bidi="ar"/>
          <w14:textFill>
            <w14:solidFill>
              <w14:schemeClr w14:val="tx1"/>
            </w14:solidFill>
          </w14:textFill>
        </w:rPr>
        <w:t>部门单位基本情况</w:t>
      </w:r>
      <w:r>
        <w:rPr>
          <w:rFonts w:hint="eastAsia" w:ascii="方正楷体简体" w:hAnsi="方正楷体简体" w:eastAsia="方正楷体简体" w:cs="方正楷体简体"/>
          <w:b/>
          <w:bCs w:val="0"/>
          <w:color w:val="333333"/>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宋体" w:hAnsi="宋体" w:eastAsia="方正仿宋简体" w:cs="方正仿宋简体"/>
          <w:b/>
          <w:bCs w:val="0"/>
          <w:sz w:val="32"/>
          <w:szCs w:val="32"/>
        </w:rPr>
      </w:pPr>
      <w:r>
        <w:rPr>
          <w:rFonts w:hint="eastAsia" w:ascii="宋体" w:hAnsi="宋体" w:eastAsia="方正仿宋简体" w:cs="方正仿宋简体"/>
          <w:b/>
          <w:bCs w:val="0"/>
          <w:sz w:val="32"/>
          <w:szCs w:val="32"/>
        </w:rPr>
        <w:t>1.主要职能</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（一）会同有关</w:t>
      </w:r>
      <w:r>
        <w:rPr>
          <w:rFonts w:hint="eastAsia" w:ascii="宋体" w:hAnsi="宋体" w:eastAsia="方正仿宋简体" w:cs="方正仿宋简体"/>
          <w:bCs/>
          <w:sz w:val="32"/>
          <w:szCs w:val="32"/>
          <w:lang w:val="en-US" w:eastAsia="zh-CN"/>
        </w:rPr>
        <w:t>部门</w:t>
      </w:r>
      <w:r>
        <w:rPr>
          <w:rFonts w:hint="eastAsia" w:ascii="宋体" w:hAnsi="宋体" w:eastAsia="方正仿宋简体" w:cs="方正仿宋简体"/>
          <w:bCs/>
          <w:sz w:val="32"/>
          <w:szCs w:val="32"/>
        </w:rPr>
        <w:t>研究拟订外事政策法规。</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（二）做好外事系统的联络和宾客接待工作；外国及港澳地</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区记者来我市（区）采访的接待和管理工作；外国专家、外教、合资企业外籍员涉外事项的管理；协助处理涉外案件及其他涉及外国管理的事项。</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rPr>
        <w:t>负责本市因公临时出国（境）、赴港澳地区的审核与管理，办理我市</w:t>
      </w:r>
      <w:r>
        <w:rPr>
          <w:rFonts w:hint="eastAsia" w:ascii="宋体" w:hAnsi="宋体" w:eastAsia="方正仿宋简体" w:cs="方正仿宋简体"/>
          <w:bCs/>
          <w:sz w:val="32"/>
          <w:szCs w:val="32"/>
          <w:lang w:val="en-US" w:eastAsia="zh-CN"/>
        </w:rPr>
        <w:t>人</w:t>
      </w:r>
      <w:r>
        <w:rPr>
          <w:rFonts w:hint="eastAsia" w:ascii="宋体" w:hAnsi="宋体" w:eastAsia="方正仿宋简体" w:cs="方正仿宋简体"/>
          <w:bCs/>
          <w:sz w:val="32"/>
          <w:szCs w:val="32"/>
        </w:rPr>
        <w:t>员</w:t>
      </w:r>
      <w:r>
        <w:rPr>
          <w:rFonts w:hint="eastAsia" w:ascii="宋体" w:hAnsi="宋体" w:eastAsia="方正仿宋简体" w:cs="方正仿宋简体"/>
          <w:bCs/>
          <w:sz w:val="32"/>
          <w:szCs w:val="32"/>
        </w:rPr>
        <w:t>因公出国（境）和邀请外国事访问的有关事宜。</w:t>
      </w:r>
      <w:r>
        <w:rPr>
          <w:rFonts w:hint="eastAsia" w:ascii="宋体" w:hAnsi="宋体" w:eastAsia="方正仿宋简体" w:cs="方正仿宋简体"/>
          <w:bCs/>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及时了解并发布哈方的信息、动态。</w:t>
      </w:r>
      <w:r>
        <w:rPr>
          <w:rFonts w:hint="eastAsia" w:ascii="宋体" w:hAnsi="宋体" w:eastAsia="方正仿宋简体" w:cs="方正仿宋简体"/>
          <w:bCs/>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（五）做好与哈方的会谈会晤相关</w:t>
      </w:r>
      <w:r>
        <w:rPr>
          <w:rFonts w:hint="eastAsia" w:ascii="宋体" w:hAnsi="宋体" w:eastAsia="方正仿宋简体" w:cs="方正仿宋简体"/>
          <w:bCs/>
          <w:sz w:val="32"/>
          <w:szCs w:val="32"/>
          <w:lang w:val="en-US" w:eastAsia="zh-CN"/>
        </w:rPr>
        <w:t>工</w:t>
      </w:r>
      <w:r>
        <w:rPr>
          <w:rFonts w:hint="eastAsia" w:ascii="宋体" w:hAnsi="宋体" w:eastAsia="方正仿宋简体" w:cs="方正仿宋简体"/>
          <w:bCs/>
          <w:sz w:val="32"/>
          <w:szCs w:val="32"/>
        </w:rPr>
        <w:t>作</w:t>
      </w:r>
      <w:r>
        <w:rPr>
          <w:rFonts w:hint="eastAsia" w:ascii="宋体" w:hAnsi="宋体" w:eastAsia="方正仿宋简体" w:cs="方正仿宋简体"/>
          <w:bCs/>
          <w:sz w:val="32"/>
          <w:szCs w:val="32"/>
        </w:rPr>
        <w:t>，并编撰会谈会晤纪作。2.机构设置及人员情况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lang w:val="en-US" w:eastAsia="zh-CN"/>
        </w:rPr>
        <w:t>外事办内设机构5个（办公室、外事、涉外安全科、边界事务科、市委外事工作委员会办公室）。</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lang w:val="en-US" w:eastAsia="zh-CN"/>
        </w:rPr>
        <w:t>外事办</w:t>
      </w:r>
      <w:r>
        <w:rPr>
          <w:rFonts w:hint="eastAsia" w:ascii="宋体" w:hAnsi="宋体" w:eastAsia="方正仿宋简体" w:cs="方正仿宋简体"/>
          <w:bCs/>
          <w:sz w:val="32"/>
          <w:szCs w:val="32"/>
        </w:rPr>
        <w:t>编制数</w:t>
      </w:r>
      <w:r>
        <w:rPr>
          <w:rFonts w:hint="eastAsia" w:ascii="宋体" w:hAnsi="宋体" w:eastAsia="方正仿宋简体" w:cs="方正仿宋简体"/>
          <w:bCs/>
          <w:sz w:val="32"/>
          <w:szCs w:val="32"/>
          <w:lang w:val="en-US" w:eastAsia="zh-CN"/>
        </w:rPr>
        <w:t>20</w:t>
      </w:r>
      <w:r>
        <w:rPr>
          <w:rFonts w:hint="eastAsia" w:ascii="宋体" w:hAnsi="宋体" w:eastAsia="方正仿宋简体" w:cs="方正仿宋简体"/>
          <w:bCs/>
          <w:sz w:val="32"/>
          <w:szCs w:val="32"/>
        </w:rPr>
        <w:t>，实有人数</w:t>
      </w:r>
      <w:r>
        <w:rPr>
          <w:rFonts w:hint="eastAsia" w:ascii="宋体" w:hAnsi="宋体" w:eastAsia="方正仿宋简体" w:cs="方正仿宋简体"/>
          <w:bCs/>
          <w:sz w:val="32"/>
          <w:szCs w:val="32"/>
          <w:lang w:val="en-US" w:eastAsia="zh-CN"/>
        </w:rPr>
        <w:t>17</w:t>
      </w:r>
      <w:r>
        <w:rPr>
          <w:rFonts w:hint="eastAsia" w:ascii="宋体" w:hAnsi="宋体" w:eastAsia="方正仿宋简体" w:cs="方正仿宋简体"/>
          <w:bCs/>
          <w:sz w:val="32"/>
          <w:szCs w:val="32"/>
        </w:rPr>
        <w:t>人，其中：在职</w:t>
      </w:r>
      <w:r>
        <w:rPr>
          <w:rFonts w:hint="eastAsia" w:ascii="宋体" w:hAnsi="宋体" w:eastAsia="方正仿宋简体" w:cs="方正仿宋简体"/>
          <w:bCs/>
          <w:sz w:val="32"/>
          <w:szCs w:val="32"/>
          <w:lang w:val="en-US" w:eastAsia="zh-CN"/>
        </w:rPr>
        <w:t>17</w:t>
      </w:r>
      <w:r>
        <w:rPr>
          <w:rFonts w:hint="eastAsia" w:ascii="宋体" w:hAnsi="宋体" w:eastAsia="方正仿宋简体" w:cs="方正仿宋简体"/>
          <w:bCs/>
          <w:sz w:val="32"/>
          <w:szCs w:val="32"/>
        </w:rPr>
        <w:t>人，</w:t>
      </w:r>
      <w:bookmarkStart w:id="0" w:name="_Hlk43849111"/>
      <w:bookmarkEnd w:id="0"/>
      <w:r>
        <w:rPr>
          <w:rFonts w:hint="eastAsia" w:ascii="仿宋_GB2312" w:hAnsi="宋体" w:eastAsia="仿宋_GB2312" w:cs="宋体"/>
          <w:color w:val="000000"/>
          <w:kern w:val="0"/>
          <w:sz w:val="32"/>
          <w:szCs w:val="32"/>
          <w:highlight w:val="none"/>
        </w:rPr>
        <w:t>增加</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人；退休</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人，增加</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人；离休</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人，增加</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eastAsia="zh-CN" w:bidi="ar"/>
          <w14:textFill>
            <w14:solidFill>
              <w14:schemeClr w14:val="tx1"/>
            </w14:solidFill>
          </w14:textFill>
        </w:rPr>
      </w:pPr>
      <w:r>
        <w:rPr>
          <w:rFonts w:hint="eastAsia" w:ascii="方正楷体简体" w:hAnsi="方正楷体简体" w:eastAsia="方正楷体简体" w:cs="方正楷体简体"/>
          <w:b/>
          <w:bCs w:val="0"/>
          <w:color w:val="000000" w:themeColor="text1"/>
          <w:sz w:val="32"/>
          <w:szCs w:val="32"/>
          <w:lang w:eastAsia="zh-CN" w:bidi="ar"/>
          <w14:textFill>
            <w14:solidFill>
              <w14:schemeClr w14:val="tx1"/>
            </w14:solidFill>
          </w14:textFill>
        </w:rPr>
        <w:t>（二）部门单位年度重点工作：</w:t>
      </w:r>
    </w:p>
    <w:p>
      <w:pPr>
        <w:keepNext w:val="0"/>
        <w:keepLines w:val="0"/>
        <w:pageBreakBefore w:val="0"/>
        <w:widowControl w:val="0"/>
        <w:numPr>
          <w:ilvl w:val="0"/>
          <w:numId w:val="0"/>
        </w:numPr>
        <w:tabs>
          <w:tab w:val="left" w:pos="489"/>
        </w:tabs>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宋体" w:hAnsi="宋体" w:eastAsia="方正仿宋简体" w:cs="方正仿宋简体"/>
          <w:b/>
          <w:bCs w:val="0"/>
          <w:sz w:val="32"/>
          <w:szCs w:val="32"/>
        </w:rPr>
      </w:pPr>
      <w:r>
        <w:rPr>
          <w:rFonts w:hint="eastAsia" w:ascii="宋体" w:hAnsi="宋体" w:eastAsia="方正仿宋简体" w:cs="方正仿宋简体"/>
          <w:b/>
          <w:bCs w:val="0"/>
          <w:sz w:val="32"/>
          <w:szCs w:val="32"/>
        </w:rPr>
        <w:t>1.</w:t>
      </w:r>
      <w:r>
        <w:rPr>
          <w:rFonts w:hint="eastAsia" w:ascii="宋体" w:hAnsi="宋体" w:eastAsia="方正仿宋简体" w:cs="方正仿宋简体"/>
          <w:b/>
          <w:bCs w:val="0"/>
          <w:sz w:val="32"/>
          <w:szCs w:val="32"/>
          <w:lang w:val="en-US" w:eastAsia="zh-CN"/>
        </w:rPr>
        <w:t>年度总体目标</w:t>
      </w:r>
    </w:p>
    <w:p>
      <w:pPr>
        <w:keepNext w:val="0"/>
        <w:keepLines w:val="0"/>
        <w:pageBreakBefore w:val="0"/>
        <w:widowControl w:val="0"/>
        <w:numPr>
          <w:ilvl w:val="0"/>
          <w:numId w:val="0"/>
        </w:numPr>
        <w:tabs>
          <w:tab w:val="left" w:pos="489"/>
        </w:tabs>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bookmarkStart w:id="1" w:name="_Toc7397"/>
      <w:r>
        <w:rPr>
          <w:rFonts w:hint="eastAsia" w:ascii="宋体" w:hAnsi="宋体" w:eastAsia="方正仿宋简体" w:cs="方正仿宋简体"/>
          <w:bCs/>
          <w:sz w:val="32"/>
          <w:szCs w:val="32"/>
        </w:rPr>
        <w:t>霍尔果斯外事工作坚持以习近平新时代中国特色社会主义思想为指导，深入贯彻落实习近平新时代外交思想和中央外事工作会议精神，立足“一带一路”合作倡议的标杆和示范目标定位，扎实推进各项工作开展，较好完成了会晤会谈、往来函件翻译、宣传视频拍摄、参访点位打造、边界堪踏、辖区入境人员走访、涉外团体接待等工作，保障对外工作正常运转，对外沟通、交流、宣传工作落实到位。</w:t>
      </w:r>
    </w:p>
    <w:p>
      <w:pPr>
        <w:keepNext w:val="0"/>
        <w:keepLines w:val="0"/>
        <w:pageBreakBefore w:val="0"/>
        <w:widowControl w:val="0"/>
        <w:numPr>
          <w:ilvl w:val="0"/>
          <w:numId w:val="1"/>
        </w:numPr>
        <w:tabs>
          <w:tab w:val="left" w:pos="489"/>
          <w:tab w:val="clear" w:pos="312"/>
        </w:tabs>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宋体" w:hAnsi="宋体" w:eastAsia="方正仿宋简体" w:cs="方正仿宋简体"/>
          <w:b/>
          <w:bCs w:val="0"/>
          <w:sz w:val="32"/>
          <w:szCs w:val="32"/>
          <w:lang w:val="en-US" w:eastAsia="zh-CN"/>
        </w:rPr>
      </w:pPr>
      <w:r>
        <w:rPr>
          <w:rFonts w:hint="eastAsia" w:ascii="宋体" w:hAnsi="宋体" w:eastAsia="方正仿宋简体" w:cs="方正仿宋简体"/>
          <w:b/>
          <w:bCs w:val="0"/>
          <w:sz w:val="32"/>
          <w:szCs w:val="32"/>
          <w:lang w:val="en-US" w:eastAsia="zh-CN"/>
        </w:rPr>
        <w:t>重点工作计划</w:t>
      </w:r>
      <w:bookmarkEnd w:id="1"/>
    </w:p>
    <w:p>
      <w:pPr>
        <w:keepNext w:val="0"/>
        <w:keepLines w:val="0"/>
        <w:pageBreakBefore w:val="0"/>
        <w:widowControl w:val="0"/>
        <w:numPr>
          <w:ilvl w:val="0"/>
          <w:numId w:val="0"/>
        </w:numPr>
        <w:tabs>
          <w:tab w:val="left" w:pos="489"/>
        </w:tabs>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lang w:val="en-US" w:eastAsia="zh-CN"/>
        </w:rPr>
        <w:t>深入贯彻落实习近平新时代外交思想和中央外事工作会议精神，立足“一带一路”合作倡议的标杆和示范目标定位，扎实推进各项工作开展，(一）</w:t>
      </w:r>
      <w:r>
        <w:rPr>
          <w:rFonts w:hint="eastAsia" w:ascii="宋体" w:hAnsi="宋体" w:eastAsia="方正仿宋简体" w:cs="方正仿宋简体"/>
          <w:bCs/>
          <w:sz w:val="32"/>
          <w:szCs w:val="32"/>
        </w:rPr>
        <w:t>加强对外联络，主动服务国家外交大局。（二）加快霍尔果斯与周边和地区间经贸、文化的合作交流。（三）增强“请进来、走出去”工作底气和力度。（四）持续贯彻落实国家陆地边界工作，维护国家核心利益。</w:t>
      </w:r>
    </w:p>
    <w:p>
      <w:pPr>
        <w:keepNext w:val="0"/>
        <w:keepLines w:val="0"/>
        <w:pageBreakBefore w:val="0"/>
        <w:widowControl w:val="0"/>
        <w:numPr>
          <w:ilvl w:val="0"/>
          <w:numId w:val="0"/>
        </w:numPr>
        <w:tabs>
          <w:tab w:val="left" w:pos="489"/>
        </w:tabs>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宋体" w:hAnsi="宋体" w:eastAsia="方正仿宋简体" w:cs="方正仿宋简体"/>
          <w:b/>
          <w:bCs w:val="0"/>
          <w:color w:val="000000" w:themeColor="text1"/>
          <w:sz w:val="32"/>
          <w:szCs w:val="32"/>
          <w:lang w:eastAsia="zh-CN" w:bidi="ar"/>
          <w14:textFill>
            <w14:solidFill>
              <w14:schemeClr w14:val="tx1"/>
            </w14:solidFill>
          </w14:textFill>
        </w:rPr>
      </w:pPr>
      <w:r>
        <w:rPr>
          <w:rFonts w:hint="eastAsia" w:ascii="宋体" w:hAnsi="宋体" w:eastAsia="方正仿宋简体" w:cs="方正仿宋简体"/>
          <w:b/>
          <w:bCs w:val="0"/>
          <w:color w:val="000000" w:themeColor="text1"/>
          <w:sz w:val="32"/>
          <w:szCs w:val="32"/>
          <w:lang w:eastAsia="zh-CN" w:bidi="ar"/>
          <w14:textFill>
            <w14:solidFill>
              <w14:schemeClr w14:val="tx1"/>
            </w14:solidFill>
          </w14:textFill>
        </w:rPr>
        <w:t>（</w:t>
      </w:r>
      <w:r>
        <w:rPr>
          <w:rFonts w:hint="eastAsia" w:ascii="宋体" w:hAnsi="宋体" w:eastAsia="方正仿宋简体" w:cs="方正仿宋简体"/>
          <w:b/>
          <w:bCs w:val="0"/>
          <w:color w:val="000000" w:themeColor="text1"/>
          <w:sz w:val="32"/>
          <w:szCs w:val="32"/>
          <w:lang w:val="en-US" w:eastAsia="zh-CN" w:bidi="ar"/>
          <w14:textFill>
            <w14:solidFill>
              <w14:schemeClr w14:val="tx1"/>
            </w14:solidFill>
          </w14:textFill>
        </w:rPr>
        <w:t>二</w:t>
      </w:r>
      <w:r>
        <w:rPr>
          <w:rFonts w:hint="eastAsia" w:ascii="宋体" w:hAnsi="宋体" w:eastAsia="方正仿宋简体" w:cs="方正仿宋简体"/>
          <w:b/>
          <w:bCs w:val="0"/>
          <w:color w:val="000000" w:themeColor="text1"/>
          <w:sz w:val="32"/>
          <w:szCs w:val="32"/>
          <w:lang w:eastAsia="zh-CN" w:bidi="ar"/>
          <w14:textFill>
            <w14:solidFill>
              <w14:schemeClr w14:val="tx1"/>
            </w14:solidFill>
          </w14:textFill>
        </w:rPr>
        <w:t>）部门单位整体预算规模及安排情况：</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2024年外事办年初预算安排</w:t>
      </w:r>
      <w:r>
        <w:rPr>
          <w:rFonts w:hint="eastAsia" w:ascii="宋体" w:hAnsi="宋体" w:eastAsia="方正仿宋简体" w:cs="方正仿宋简体"/>
          <w:bCs/>
          <w:sz w:val="32"/>
          <w:szCs w:val="32"/>
        </w:rPr>
        <w:t>346.42</w:t>
      </w:r>
      <w:r>
        <w:rPr>
          <w:rFonts w:hint="eastAsia" w:ascii="宋体" w:hAnsi="宋体" w:eastAsia="方正仿宋简体" w:cs="方正仿宋简体"/>
          <w:bCs/>
          <w:sz w:val="32"/>
          <w:szCs w:val="32"/>
          <w:lang w:val="en-US" w:eastAsia="zh-CN"/>
        </w:rPr>
        <w:t>万元，其中财政拨款</w:t>
      </w:r>
      <w:r>
        <w:rPr>
          <w:rFonts w:hint="eastAsia" w:ascii="宋体" w:hAnsi="宋体" w:eastAsia="方正仿宋简体" w:cs="方正仿宋简体"/>
          <w:bCs/>
          <w:sz w:val="32"/>
          <w:szCs w:val="32"/>
        </w:rPr>
        <w:t>346.42</w:t>
      </w:r>
      <w:r>
        <w:rPr>
          <w:rFonts w:hint="eastAsia" w:ascii="宋体" w:hAnsi="宋体" w:eastAsia="方正仿宋简体" w:cs="方正仿宋简体"/>
          <w:bCs/>
          <w:sz w:val="32"/>
          <w:szCs w:val="32"/>
          <w:lang w:val="en-US" w:eastAsia="zh-CN"/>
        </w:rPr>
        <w:t>万元，其他资金0万元，主要用于工资福利支出</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办公经费</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公务接待</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边境涉外事务</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行政运行和专项活动等保障外事工作顺利开展。</w:t>
      </w: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firstLine="640" w:firstLineChars="200"/>
        <w:jc w:val="both"/>
        <w:textAlignment w:val="auto"/>
        <w:rPr>
          <w:rFonts w:hint="eastAsia" w:ascii="宋体" w:hAnsi="宋体" w:eastAsia="方正仿宋简体" w:cs="方正仿宋简体"/>
          <w:color w:val="auto"/>
          <w:sz w:val="32"/>
          <w:szCs w:val="32"/>
          <w:lang w:eastAsia="zh-CN"/>
        </w:rPr>
      </w:pPr>
      <w:r>
        <w:rPr>
          <w:rFonts w:hint="eastAsia" w:ascii="宋体" w:hAnsi="宋体" w:eastAsia="方正仿宋简体" w:cs="方正仿宋简体"/>
          <w:bCs/>
          <w:sz w:val="32"/>
          <w:szCs w:val="32"/>
          <w:lang w:val="en-US" w:eastAsia="zh-CN"/>
        </w:rPr>
        <w:t>年中调整31.36万元，调整后全年预算315.06万元，预算调整率9.05%，调整预算的主要原因</w:t>
      </w:r>
      <w:r>
        <w:rPr>
          <w:rFonts w:hint="eastAsia" w:ascii="宋体" w:hAnsi="宋体" w:eastAsia="方正仿宋简体" w:cs="方正仿宋简体"/>
          <w:b w:val="0"/>
          <w:bCs/>
          <w:color w:val="000000"/>
          <w:spacing w:val="-4"/>
          <w:sz w:val="32"/>
          <w:szCs w:val="32"/>
          <w:lang w:val="en-US" w:eastAsia="zh-CN"/>
        </w:rPr>
        <w:t>为</w:t>
      </w:r>
      <w:r>
        <w:rPr>
          <w:rFonts w:hint="eastAsia" w:ascii="宋体" w:hAnsi="宋体" w:eastAsia="方正仿宋简体" w:cs="方正仿宋简体"/>
          <w:bCs/>
          <w:sz w:val="32"/>
          <w:szCs w:val="32"/>
          <w:lang w:val="en-US" w:eastAsia="zh-CN"/>
        </w:rPr>
        <w:t>对外宣传片拍摄预算50万，</w:t>
      </w:r>
      <w:r>
        <w:rPr>
          <w:rFonts w:hint="eastAsia" w:ascii="方正仿宋简体" w:hAnsi="方正仿宋简体" w:eastAsia="方正仿宋简体" w:cs="方正仿宋简体"/>
          <w:sz w:val="32"/>
          <w:szCs w:val="32"/>
          <w:lang w:val="en-US" w:eastAsia="zh-CN"/>
        </w:rPr>
        <w:t>在后期工作中这项工作的具体落实由宣传部负责，这项资金未使用，财政收回资金</w:t>
      </w:r>
      <w:r>
        <w:rPr>
          <w:rFonts w:hint="eastAsia" w:ascii="宋体" w:hAnsi="宋体" w:eastAsia="方正仿宋简体" w:cs="方正仿宋简体"/>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eastAsia="zh-CN" w:bidi="ar"/>
          <w14:textFill>
            <w14:solidFill>
              <w14:schemeClr w14:val="tx1"/>
            </w14:solidFill>
          </w14:textFill>
        </w:rPr>
      </w:pPr>
      <w:r>
        <w:rPr>
          <w:rFonts w:hint="eastAsia" w:ascii="宋体" w:hAnsi="宋体" w:eastAsia="黑体" w:cs="黑体"/>
          <w:b w:val="0"/>
          <w:bCs/>
          <w:color w:val="000000" w:themeColor="text1"/>
          <w:sz w:val="32"/>
          <w:szCs w:val="32"/>
          <w:lang w:eastAsia="zh-CN" w:bidi="ar"/>
          <w14:textFill>
            <w14:solidFill>
              <w14:schemeClr w14:val="tx1"/>
            </w14:solidFill>
          </w14:textFill>
        </w:rPr>
        <w:t>二、部门单位整体支出管理及使用情况：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pPr>
      <w:bookmarkStart w:id="2" w:name="_Toc12906"/>
      <w:r>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t>（一）部门单位整体支出管理情况</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宋体" w:hAnsi="宋体" w:eastAsia="方正仿宋简体" w:cs="方正仿宋简体"/>
          <w:b/>
          <w:sz w:val="32"/>
          <w:szCs w:val="32"/>
          <w:lang w:val="en-US" w:eastAsia="zh-CN"/>
        </w:rPr>
      </w:pPr>
      <w:bookmarkStart w:id="3" w:name="_Toc3057"/>
      <w:r>
        <w:rPr>
          <w:rFonts w:hint="eastAsia" w:ascii="宋体" w:hAnsi="宋体" w:eastAsia="方正仿宋简体" w:cs="方正仿宋简体"/>
          <w:b/>
          <w:sz w:val="32"/>
          <w:szCs w:val="32"/>
          <w:lang w:val="en-US" w:eastAsia="zh-CN"/>
        </w:rPr>
        <w:t>1.预算编制</w:t>
      </w:r>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宋体" w:hAnsi="宋体" w:eastAsia="方正仿宋简体" w:cs="方正仿宋简体"/>
          <w:b/>
          <w:sz w:val="32"/>
          <w:szCs w:val="32"/>
          <w:lang w:val="en-US" w:eastAsia="zh-CN"/>
        </w:rPr>
      </w:pPr>
      <w:r>
        <w:rPr>
          <w:rFonts w:hint="eastAsia" w:ascii="宋体" w:hAnsi="宋体" w:eastAsia="方正仿宋简体" w:cs="方正仿宋简体"/>
          <w:bCs/>
          <w:sz w:val="32"/>
          <w:szCs w:val="32"/>
          <w:lang w:val="en-US" w:eastAsia="zh-CN"/>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r>
        <w:rPr>
          <w:rFonts w:hint="eastAsia" w:ascii="宋体" w:hAnsi="宋体" w:eastAsia="方正仿宋简体" w:cs="方正仿宋简体"/>
          <w:bCs/>
          <w:sz w:val="32"/>
          <w:szCs w:val="32"/>
        </w:rPr>
        <w:br w:type="textWrapping"/>
      </w:r>
      <w:bookmarkStart w:id="4" w:name="_Toc26162"/>
      <w:r>
        <w:rPr>
          <w:rFonts w:hint="eastAsia" w:ascii="宋体" w:hAnsi="宋体" w:eastAsia="方正仿宋简体" w:cs="方正仿宋简体"/>
          <w:bCs/>
          <w:sz w:val="32"/>
          <w:szCs w:val="32"/>
          <w:lang w:val="en-US" w:eastAsia="zh-CN"/>
        </w:rPr>
        <w:t xml:space="preserve">    </w:t>
      </w:r>
      <w:r>
        <w:rPr>
          <w:rFonts w:hint="eastAsia" w:ascii="宋体" w:hAnsi="宋体" w:eastAsia="方正仿宋简体" w:cs="方正仿宋简体"/>
          <w:b/>
          <w:sz w:val="32"/>
          <w:szCs w:val="32"/>
          <w:lang w:val="en-US" w:eastAsia="zh-CN"/>
        </w:rPr>
        <w:t>2.预算执行</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color w:val="auto"/>
          <w:sz w:val="32"/>
          <w:szCs w:val="32"/>
          <w:lang w:val="en-US" w:eastAsia="zh-CN"/>
        </w:rPr>
        <w:t>市财政批复预算后</w:t>
      </w:r>
      <w:r>
        <w:rPr>
          <w:rFonts w:hint="eastAsia" w:ascii="宋体" w:hAnsi="宋体" w:eastAsia="方正仿宋简体" w:cs="方正仿宋简体"/>
          <w:bCs/>
          <w:sz w:val="32"/>
          <w:szCs w:val="32"/>
          <w:lang w:val="en-US" w:eastAsia="zh-CN"/>
        </w:rPr>
        <w:t>，我部门按要求及时制定并报批部门预算支出计划，严格落实预算执行定期分析机制，靠前抓好支出执行，坚持严肃财经纪律，硬化预算约束，持续树牢厉行节约理念，严控一般性支出，努力降低行政运行成本。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2"/>
        <w:rPr>
          <w:rFonts w:hint="eastAsia" w:ascii="宋体" w:hAnsi="宋体" w:eastAsia="方正仿宋简体" w:cs="方正仿宋简体"/>
          <w:b/>
          <w:sz w:val="32"/>
          <w:szCs w:val="32"/>
          <w:lang w:val="en-US" w:eastAsia="zh-CN"/>
        </w:rPr>
      </w:pPr>
      <w:bookmarkStart w:id="5" w:name="_Toc31456"/>
      <w:r>
        <w:rPr>
          <w:rFonts w:hint="eastAsia" w:ascii="宋体" w:hAnsi="宋体" w:eastAsia="方正仿宋简体" w:cs="方正仿宋简体"/>
          <w:b/>
          <w:sz w:val="32"/>
          <w:szCs w:val="32"/>
          <w:lang w:val="en-US" w:eastAsia="zh-CN"/>
        </w:rPr>
        <w:t>3.绩效管理</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2"/>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2024年，我部门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outlineLvl w:val="2"/>
        <w:rPr>
          <w:rFonts w:hint="eastAsia" w:ascii="宋体" w:hAnsi="宋体" w:eastAsia="方正仿宋简体" w:cs="方正仿宋简体"/>
          <w:b/>
          <w:sz w:val="32"/>
          <w:szCs w:val="32"/>
          <w:lang w:val="en-US" w:eastAsia="zh-CN"/>
        </w:rPr>
      </w:pPr>
      <w:bookmarkStart w:id="6" w:name="_Toc2740"/>
      <w:r>
        <w:rPr>
          <w:rFonts w:hint="eastAsia" w:ascii="宋体" w:hAnsi="宋体" w:eastAsia="方正仿宋简体" w:cs="方正仿宋简体"/>
          <w:b/>
          <w:sz w:val="32"/>
          <w:szCs w:val="32"/>
          <w:lang w:val="en-US" w:eastAsia="zh-CN"/>
        </w:rPr>
        <w:t>4.信息公开</w:t>
      </w:r>
      <w:bookmarkEnd w:id="6"/>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bCs/>
          <w:sz w:val="32"/>
          <w:szCs w:val="32"/>
          <w:lang w:val="en-US" w:eastAsia="zh-CN"/>
        </w:rPr>
        <w:t>我部门已按要求在霍尔果斯</w:t>
      </w:r>
      <w:r>
        <w:rPr>
          <w:rFonts w:hint="eastAsia" w:ascii="宋体" w:hAnsi="宋体" w:eastAsia="方正仿宋简体" w:cs="方正仿宋简体"/>
          <w:bCs/>
          <w:color w:val="auto"/>
          <w:sz w:val="32"/>
          <w:szCs w:val="32"/>
          <w:highlight w:val="none"/>
          <w:lang w:val="en-US" w:eastAsia="zh-CN"/>
        </w:rPr>
        <w:t>市民</w:t>
      </w:r>
      <w:r>
        <w:rPr>
          <w:rFonts w:hint="eastAsia" w:ascii="宋体" w:hAnsi="宋体" w:eastAsia="方正仿宋简体" w:cs="方正仿宋简体"/>
          <w:bCs/>
          <w:sz w:val="32"/>
          <w:szCs w:val="32"/>
          <w:lang w:val="en-US" w:eastAsia="zh-CN"/>
        </w:rPr>
        <w:t>政府网站公开部门预算信息，同步公开绩效目标表；在霍尔果斯市人民政府网站公开部门决算信息，同步公开自评表及自评报告</w:t>
      </w:r>
      <w:r>
        <w:rPr>
          <w:rFonts w:hint="eastAsia" w:ascii="宋体" w:hAnsi="宋体" w:eastAsia="方正仿宋简体" w:cs="方正仿宋简体"/>
          <w:color w:val="auto"/>
          <w:kern w:val="0"/>
          <w:sz w:val="32"/>
          <w:szCs w:val="32"/>
          <w:lang w:val="en-US" w:eastAsia="zh-CN" w:bidi="ar"/>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pPr>
      <w:bookmarkStart w:id="7" w:name="_Toc2315"/>
      <w:r>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t>（二）部门单位整体支出使用情况</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outlineLvl w:val="2"/>
        <w:rPr>
          <w:rFonts w:hint="eastAsia" w:ascii="宋体" w:hAnsi="宋体" w:eastAsia="方正仿宋简体" w:cs="方正仿宋简体"/>
          <w:b/>
          <w:sz w:val="32"/>
          <w:szCs w:val="32"/>
          <w:lang w:val="en-US" w:eastAsia="zh-CN"/>
        </w:rPr>
      </w:pPr>
      <w:bookmarkStart w:id="8" w:name="_Toc32320"/>
      <w:r>
        <w:rPr>
          <w:rFonts w:hint="eastAsia" w:ascii="宋体" w:hAnsi="宋体" w:eastAsia="方正仿宋简体" w:cs="方正仿宋简体"/>
          <w:b/>
          <w:sz w:val="32"/>
          <w:szCs w:val="32"/>
          <w:lang w:val="en-US" w:eastAsia="zh-CN"/>
        </w:rPr>
        <w:t>1.基本支出</w:t>
      </w:r>
      <w:bookmarkEnd w:id="8"/>
      <w:r>
        <w:rPr>
          <w:rFonts w:hint="eastAsia" w:ascii="宋体" w:hAnsi="宋体" w:eastAsia="方正仿宋简体" w:cs="方正仿宋简体"/>
          <w:b/>
          <w:sz w:val="32"/>
          <w:szCs w:val="32"/>
          <w:lang w:val="en-US" w:eastAsia="zh-CN"/>
        </w:rPr>
        <w:t>情况</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rPr>
      </w:pPr>
      <w:r>
        <w:rPr>
          <w:rFonts w:hint="eastAsia" w:ascii="宋体" w:hAnsi="宋体" w:eastAsia="方正仿宋简体" w:cs="方正仿宋简体"/>
          <w:bCs/>
          <w:color w:val="auto"/>
          <w:sz w:val="32"/>
          <w:szCs w:val="32"/>
          <w:lang w:val="en-US" w:eastAsia="zh-CN"/>
        </w:rPr>
        <w:t>2024年基本支出273.27万元，包括工资福利支出259.41万元，商品和服务支出13.60万元，对个人和家庭的补助0万元，资本性支出0.26万元。其中：“三公”经费支出22.33万元，比上年减少0.39万元，主要原因是公务接待次数比上年少；培训费支出0.15万元，比上年减少0.08万元，主要原因是培训安排次数比上年少。</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rPr>
      </w:pPr>
      <w:bookmarkStart w:id="9" w:name="_Toc8425"/>
      <w:r>
        <w:rPr>
          <w:rFonts w:hint="eastAsia" w:ascii="宋体" w:hAnsi="宋体" w:eastAsia="方正仿宋简体" w:cs="方正仿宋简体"/>
          <w:bCs/>
          <w:color w:val="auto"/>
          <w:sz w:val="32"/>
          <w:szCs w:val="32"/>
          <w:lang w:val="en-US" w:eastAsia="zh-CN"/>
        </w:rPr>
        <w:t>2.专项资金支出情况</w:t>
      </w:r>
      <w:bookmarkEnd w:id="9"/>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2024年专项项目支出</w:t>
      </w:r>
      <w:r>
        <w:rPr>
          <w:rFonts w:hint="eastAsia" w:ascii="宋体" w:hAnsi="宋体" w:eastAsia="方正仿宋简体" w:cs="方正仿宋简体"/>
          <w:bCs/>
          <w:color w:val="auto"/>
          <w:sz w:val="32"/>
          <w:szCs w:val="32"/>
          <w:lang w:val="en-US" w:eastAsia="zh-CN"/>
        </w:rPr>
        <w:t>33.78万元</w:t>
      </w:r>
      <w:r>
        <w:rPr>
          <w:rFonts w:hint="eastAsia" w:ascii="宋体" w:hAnsi="宋体" w:eastAsia="方正仿宋简体" w:cs="方正仿宋简体"/>
          <w:bCs/>
          <w:sz w:val="32"/>
          <w:szCs w:val="32"/>
          <w:lang w:val="en-US" w:eastAsia="zh-CN"/>
        </w:rPr>
        <w:t>，占总支出的11％，主要用于加孜热·吐兰地工伤赔偿金项目</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合作中心323-1号界牌维护栏安装项目</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lang w:val="en-US" w:eastAsia="zh-CN"/>
        </w:rPr>
        <w:t>外事专项工作项目等。</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bookmarkStart w:id="10" w:name="_Toc31045"/>
      <w:r>
        <w:rPr>
          <w:rFonts w:hint="eastAsia" w:ascii="宋体" w:hAnsi="宋体" w:eastAsia="方正仿宋简体" w:cs="方正仿宋简体"/>
          <w:bCs/>
          <w:sz w:val="32"/>
          <w:szCs w:val="32"/>
          <w:lang w:val="en-US" w:eastAsia="zh-CN"/>
        </w:rPr>
        <w:t>3.部门单位专项组织实施情况</w:t>
      </w:r>
      <w:bookmarkEnd w:id="10"/>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年初我单位下发的加孜热·吐兰地工伤赔偿金项目专项、合作中心323-1号界牌维护栏安装项目专项、外事专项工作项目工作计划，对项目的工作分工、任务分配、资金落实、完成时限等提出了明确、具体的要求，以确保项目保质、保量、按时完成。截至12月31日，完成专项3个，未完成专项0个。</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为规范专项资金使用，提高专项资金使用效益，我部门主要采取四项措施。一是制订专项资金管理制度；二是各专项资金建立了专账；三是制定了项目实施方案；四是认真组织项目验收。切实保证专项资金都做到了专款专用。</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1）制定了《霍尔果斯市人民政府外事办公室内部控制项目管理制度》《霍尔果斯市人民政府外事办公室预算管理制度》，各项资金使用审批流程均按规定办理。涉及“三重一大”内容，严格按照规定提请局党组会审议决定，包括项目资金分配、重大项目确定、大额资金支付等。</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（2）建立专项资金专账，做到有据可依，有据可查。</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（3）制定了外事办专项工作项目实施方案，确保项目顺利完成。</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lang w:val="en-US" w:eastAsia="zh-CN"/>
        </w:rPr>
        <w:t>（4）认真组织项目验收，确保项目高质量完成，成果达标。</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val="en-US" w:eastAsia="zh-CN" w:bidi="ar"/>
          <w14:textFill>
            <w14:solidFill>
              <w14:schemeClr w14:val="tx1"/>
            </w14:solidFill>
          </w14:textFill>
        </w:rPr>
      </w:pPr>
      <w:r>
        <w:rPr>
          <w:rFonts w:hint="eastAsia" w:ascii="宋体" w:hAnsi="宋体" w:eastAsia="黑体" w:cs="黑体"/>
          <w:b w:val="0"/>
          <w:bCs/>
          <w:color w:val="000000" w:themeColor="text1"/>
          <w:sz w:val="32"/>
          <w:szCs w:val="32"/>
          <w:lang w:eastAsia="zh-CN" w:bidi="ar"/>
          <w14:textFill>
            <w14:solidFill>
              <w14:schemeClr w14:val="tx1"/>
            </w14:solidFill>
          </w14:textFill>
        </w:rPr>
        <w:t>三、部门单位整体支出绩效</w:t>
      </w:r>
      <w:r>
        <w:rPr>
          <w:rFonts w:hint="eastAsia" w:ascii="宋体" w:hAnsi="宋体" w:eastAsia="黑体" w:cs="黑体"/>
          <w:b w:val="0"/>
          <w:bCs/>
          <w:color w:val="000000" w:themeColor="text1"/>
          <w:sz w:val="32"/>
          <w:szCs w:val="32"/>
          <w:lang w:val="en-US" w:eastAsia="zh-CN" w:bidi="ar"/>
          <w14:textFill>
            <w14:solidFill>
              <w14:schemeClr w14:val="tx1"/>
            </w14:solidFill>
          </w14:textFill>
        </w:rPr>
        <w:t>情况</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pPr>
      <w:r>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t>（一）预算执行情况分析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4" w:firstLineChars="200"/>
        <w:jc w:val="both"/>
        <w:textAlignment w:val="auto"/>
        <w:rPr>
          <w:rFonts w:hint="eastAsia" w:ascii="宋体" w:hAnsi="宋体" w:eastAsia="方正仿宋简体" w:cs="方正仿宋简体"/>
          <w:b w:val="0"/>
          <w:bCs/>
          <w:color w:val="000000"/>
          <w:spacing w:val="-4"/>
          <w:sz w:val="32"/>
          <w:szCs w:val="32"/>
          <w:lang w:val="en-US" w:eastAsia="zh-CN"/>
        </w:rPr>
      </w:pPr>
      <w:r>
        <w:rPr>
          <w:rFonts w:hint="eastAsia" w:ascii="宋体" w:hAnsi="宋体" w:eastAsia="方正仿宋简体" w:cs="方正仿宋简体"/>
          <w:b w:val="0"/>
          <w:bCs/>
          <w:color w:val="000000"/>
          <w:spacing w:val="-4"/>
          <w:sz w:val="32"/>
          <w:szCs w:val="32"/>
          <w:lang w:val="en-US" w:eastAsia="zh-CN"/>
        </w:rPr>
        <w:t>2024年外事办总支出307.06万元，预算执行率97.46%，其中一般公共服务支出247.37万元，社会保障和就业支出38.46万元，住房保障支出21.23万元。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outlineLvl w:val="2"/>
        <w:rPr>
          <w:rFonts w:hint="eastAsia" w:ascii="宋体" w:hAnsi="宋体" w:eastAsia="方正仿宋简体" w:cs="方正仿宋简体"/>
          <w:b/>
          <w:sz w:val="32"/>
          <w:szCs w:val="32"/>
          <w:lang w:val="en-US" w:eastAsia="zh-CN"/>
        </w:rPr>
      </w:pPr>
      <w:bookmarkStart w:id="11" w:name="_Toc808"/>
      <w:r>
        <w:rPr>
          <w:rFonts w:hint="eastAsia" w:ascii="宋体" w:hAnsi="宋体" w:eastAsia="方正仿宋简体" w:cs="方正仿宋简体"/>
          <w:b/>
          <w:sz w:val="32"/>
          <w:szCs w:val="32"/>
          <w:lang w:val="en-US" w:eastAsia="zh-CN"/>
        </w:rPr>
        <w:t>1.基本支出使用情况</w:t>
      </w:r>
      <w:bookmarkEnd w:id="11"/>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4" w:firstLineChars="200"/>
        <w:jc w:val="both"/>
        <w:textAlignment w:val="auto"/>
        <w:rPr>
          <w:rFonts w:hint="eastAsia" w:ascii="宋体" w:hAnsi="宋体" w:eastAsia="方正仿宋简体" w:cs="方正仿宋简体"/>
          <w:b w:val="0"/>
          <w:bCs/>
          <w:color w:val="000000"/>
          <w:spacing w:val="-4"/>
          <w:sz w:val="32"/>
          <w:szCs w:val="32"/>
          <w:highlight w:val="yellow"/>
          <w:lang w:val="en-US" w:eastAsia="zh-CN"/>
        </w:rPr>
      </w:pPr>
      <w:r>
        <w:rPr>
          <w:rFonts w:hint="eastAsia" w:ascii="宋体" w:hAnsi="宋体" w:eastAsia="方正仿宋简体" w:cs="方正仿宋简体"/>
          <w:b w:val="0"/>
          <w:bCs/>
          <w:color w:val="000000"/>
          <w:spacing w:val="-4"/>
          <w:sz w:val="32"/>
          <w:szCs w:val="32"/>
          <w:lang w:val="en-US" w:eastAsia="zh-CN"/>
        </w:rPr>
        <w:t>2024年，霍尔果斯市人民政府外事办公室基本支出273.27万元，占总支出的88.99％，其中：</w:t>
      </w:r>
      <w:r>
        <w:rPr>
          <w:rFonts w:hint="eastAsia" w:ascii="宋体" w:hAnsi="宋体" w:eastAsia="方正仿宋简体" w:cs="方正仿宋简体"/>
          <w:b w:val="0"/>
          <w:bCs/>
          <w:color w:val="000000"/>
          <w:spacing w:val="-4"/>
          <w:sz w:val="32"/>
          <w:szCs w:val="32"/>
          <w:highlight w:val="none"/>
          <w:lang w:val="en-US" w:eastAsia="zh-CN"/>
        </w:rPr>
        <w:t>2010301行政运行213.58万元，机关事业单位基本养老保险缴费支出28.02万元，机关事业单位职业年金缴费支出10.45万元，住房公积金21.22万元。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both"/>
        <w:textAlignment w:val="auto"/>
        <w:outlineLvl w:val="2"/>
        <w:rPr>
          <w:rFonts w:hint="eastAsia" w:ascii="宋体" w:hAnsi="宋体" w:eastAsia="方正仿宋简体" w:cs="方正仿宋简体"/>
          <w:b/>
          <w:sz w:val="32"/>
          <w:szCs w:val="32"/>
          <w:lang w:val="en-US" w:eastAsia="zh-CN"/>
        </w:rPr>
      </w:pPr>
      <w:bookmarkStart w:id="12" w:name="_Toc9601"/>
      <w:r>
        <w:rPr>
          <w:rFonts w:hint="eastAsia" w:ascii="宋体" w:hAnsi="宋体" w:eastAsia="方正仿宋简体" w:cs="方正仿宋简体"/>
          <w:b/>
          <w:sz w:val="32"/>
          <w:szCs w:val="32"/>
          <w:lang w:val="en-US" w:eastAsia="zh-CN"/>
        </w:rPr>
        <w:t>2.项目支出使用情况</w:t>
      </w:r>
      <w:bookmarkEnd w:id="12"/>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4" w:firstLineChars="200"/>
        <w:jc w:val="both"/>
        <w:textAlignment w:val="auto"/>
        <w:rPr>
          <w:rFonts w:hint="eastAsia" w:ascii="宋体" w:hAnsi="宋体" w:eastAsia="方正仿宋简体" w:cs="方正仿宋简体"/>
          <w:b w:val="0"/>
          <w:bCs/>
          <w:color w:val="000000"/>
          <w:spacing w:val="-4"/>
          <w:sz w:val="32"/>
          <w:szCs w:val="32"/>
          <w:highlight w:val="none"/>
          <w:lang w:val="en-US" w:eastAsia="zh-CN"/>
        </w:rPr>
      </w:pPr>
      <w:r>
        <w:rPr>
          <w:rFonts w:hint="eastAsia" w:ascii="宋体" w:hAnsi="宋体" w:eastAsia="方正仿宋简体" w:cs="方正仿宋简体"/>
          <w:b w:val="0"/>
          <w:bCs/>
          <w:color w:val="000000"/>
          <w:spacing w:val="-4"/>
          <w:sz w:val="32"/>
          <w:szCs w:val="32"/>
          <w:lang w:val="en-US" w:eastAsia="zh-CN"/>
        </w:rPr>
        <w:t>2024年，霍尔果斯市人民政府外事办公室项目支出33.78万元，占总支出的11.01％。其中：</w:t>
      </w:r>
      <w:r>
        <w:rPr>
          <w:rFonts w:hint="eastAsia" w:ascii="宋体" w:hAnsi="宋体" w:eastAsia="方正仿宋简体" w:cs="方正仿宋简体"/>
          <w:b w:val="0"/>
          <w:bCs/>
          <w:color w:val="000000"/>
          <w:spacing w:val="-4"/>
          <w:sz w:val="32"/>
          <w:szCs w:val="32"/>
          <w:highlight w:val="none"/>
          <w:lang w:val="en-US" w:eastAsia="zh-CN"/>
        </w:rPr>
        <w:t>一般行政管理事务支出33.78万元。</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pPr>
      <w:bookmarkStart w:id="13" w:name="_Toc3647"/>
      <w:r>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t>（二）部门单位整体支出绩效指标完成情况</w:t>
      </w:r>
      <w:bookmarkEnd w:id="13"/>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bidi="ar"/>
        </w:rPr>
      </w:pPr>
      <w:r>
        <w:rPr>
          <w:rFonts w:hint="eastAsia" w:ascii="宋体" w:hAnsi="宋体" w:eastAsia="方正仿宋简体" w:cs="方正仿宋简体"/>
          <w:bCs/>
          <w:color w:val="auto"/>
          <w:sz w:val="32"/>
          <w:szCs w:val="32"/>
          <w:lang w:val="en-US" w:eastAsia="zh-CN" w:bidi="ar"/>
        </w:rPr>
        <w:t>年初我单位设置部门整体绩效目标中包括一级指标1个（</w:t>
      </w:r>
      <w:r>
        <w:rPr>
          <w:rFonts w:hint="eastAsia" w:ascii="宋体" w:hAnsi="宋体" w:eastAsia="方正仿宋简体" w:cs="方正仿宋简体"/>
          <w:bCs/>
          <w:color w:val="auto"/>
          <w:sz w:val="32"/>
          <w:szCs w:val="32"/>
          <w:highlight w:val="none"/>
          <w:lang w:val="en-US" w:eastAsia="zh-CN" w:bidi="ar"/>
        </w:rPr>
        <w:t>履职效能</w:t>
      </w:r>
      <w:r>
        <w:rPr>
          <w:rFonts w:hint="eastAsia" w:ascii="宋体" w:hAnsi="宋体" w:eastAsia="方正仿宋简体" w:cs="方正仿宋简体"/>
          <w:bCs/>
          <w:color w:val="auto"/>
          <w:sz w:val="32"/>
          <w:szCs w:val="32"/>
          <w:lang w:val="en-US" w:eastAsia="zh-CN" w:bidi="ar"/>
        </w:rPr>
        <w:t>）二级指标1个，三级指标7个，指标完成情况分析如下：</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宋体" w:hAnsi="宋体" w:eastAsia="方正仿宋简体" w:cs="方正仿宋简体"/>
          <w:color w:val="auto"/>
          <w:sz w:val="32"/>
          <w:szCs w:val="32"/>
          <w:lang w:val="en-US" w:eastAsia="zh-CN"/>
        </w:rPr>
      </w:pPr>
      <w:r>
        <w:rPr>
          <w:rFonts w:hint="eastAsia" w:ascii="宋体" w:hAnsi="宋体" w:eastAsia="方正仿宋简体" w:cs="方正仿宋简体"/>
          <w:b/>
          <w:bCs w:val="0"/>
          <w:color w:val="auto"/>
          <w:sz w:val="32"/>
          <w:szCs w:val="32"/>
          <w:lang w:val="en-US" w:eastAsia="zh-CN" w:bidi="ar"/>
        </w:rPr>
        <w:t>1.履职效能</w:t>
      </w:r>
    </w:p>
    <w:p>
      <w:pPr>
        <w:keepNext w:val="0"/>
        <w:keepLines w:val="0"/>
        <w:pageBreakBefore w:val="0"/>
        <w:numPr>
          <w:ilvl w:val="0"/>
          <w:numId w:val="0"/>
        </w:numPr>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sz w:val="32"/>
          <w:szCs w:val="32"/>
          <w:lang w:val="en-US" w:eastAsia="zh-CN"/>
        </w:rPr>
      </w:pPr>
      <w:r>
        <w:rPr>
          <w:rFonts w:hint="eastAsia" w:ascii="宋体" w:hAnsi="宋体" w:eastAsia="方正仿宋简体" w:cs="方正仿宋简体"/>
          <w:bCs/>
          <w:color w:val="auto"/>
          <w:sz w:val="32"/>
          <w:szCs w:val="32"/>
          <w:lang w:val="en-US" w:eastAsia="zh-CN" w:bidi="ar"/>
        </w:rPr>
        <w:t>（1）数量指标</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 w:val="0"/>
          <w:bCs w:val="0"/>
          <w:kern w:val="0"/>
          <w:sz w:val="32"/>
          <w:szCs w:val="32"/>
          <w:highlight w:val="none"/>
          <w:lang w:val="en-US" w:eastAsia="zh-CN" w:bidi="ar-SA"/>
        </w:rPr>
      </w:pPr>
      <w:r>
        <w:rPr>
          <w:rFonts w:hint="eastAsia" w:ascii="宋体" w:hAnsi="宋体" w:eastAsia="方正仿宋简体" w:cs="方正仿宋简体"/>
          <w:bCs/>
          <w:color w:val="000000"/>
          <w:sz w:val="32"/>
          <w:szCs w:val="32"/>
          <w:lang w:val="en-US" w:eastAsia="zh-CN" w:bidi="ar"/>
        </w:rPr>
        <w:t>指标1：</w:t>
      </w:r>
      <w:r>
        <w:rPr>
          <w:rFonts w:hint="eastAsia" w:ascii="宋体" w:hAnsi="宋体" w:eastAsia="方正仿宋简体" w:cs="方正仿宋简体"/>
          <w:bCs/>
          <w:sz w:val="32"/>
          <w:szCs w:val="32"/>
        </w:rPr>
        <w:t>召开中哈会晤次数</w:t>
      </w:r>
      <w:r>
        <w:rPr>
          <w:rFonts w:hint="eastAsia" w:ascii="宋体" w:hAnsi="宋体" w:eastAsia="方正仿宋简体" w:cs="方正仿宋简体"/>
          <w:bCs/>
          <w:color w:val="000000"/>
          <w:sz w:val="32"/>
          <w:szCs w:val="32"/>
          <w:lang w:val="en-US" w:eastAsia="zh-CN" w:bidi="ar"/>
        </w:rPr>
        <w:t>，指标值：</w:t>
      </w:r>
      <w:r>
        <w:rPr>
          <w:rFonts w:hint="eastAsia" w:ascii="宋体" w:hAnsi="宋体" w:eastAsia="方正仿宋简体" w:cs="方正仿宋简体"/>
          <w:bCs/>
          <w:sz w:val="32"/>
          <w:szCs w:val="32"/>
        </w:rPr>
        <w:t>≥12次</w:t>
      </w:r>
      <w:r>
        <w:rPr>
          <w:rFonts w:hint="eastAsia" w:ascii="宋体" w:hAnsi="宋体" w:eastAsia="方正仿宋简体" w:cs="方正仿宋简体"/>
          <w:bCs/>
          <w:color w:val="000000"/>
          <w:sz w:val="32"/>
          <w:szCs w:val="32"/>
          <w:lang w:val="en-US" w:eastAsia="zh-CN" w:bidi="ar"/>
        </w:rPr>
        <w:t>，年中监控完成值：10次，自评完成值：33次，指标完成率275%，偏差</w:t>
      </w:r>
      <w:r>
        <w:rPr>
          <w:rFonts w:hint="eastAsia" w:ascii="宋体" w:hAnsi="宋体" w:eastAsia="方正仿宋简体" w:cs="方正仿宋简体"/>
          <w:bCs/>
          <w:sz w:val="32"/>
          <w:szCs w:val="32"/>
          <w:lang w:val="en-US" w:eastAsia="zh-CN"/>
        </w:rPr>
        <w:t>175</w:t>
      </w:r>
      <w:r>
        <w:rPr>
          <w:rFonts w:hint="eastAsia" w:ascii="宋体" w:hAnsi="宋体" w:eastAsia="方正仿宋简体" w:cs="方正仿宋简体"/>
          <w:bCs/>
          <w:sz w:val="32"/>
          <w:szCs w:val="32"/>
        </w:rPr>
        <w:t>%</w:t>
      </w:r>
      <w:r>
        <w:rPr>
          <w:rFonts w:hint="eastAsia" w:ascii="宋体" w:hAnsi="宋体" w:eastAsia="方正仿宋简体" w:cs="方正仿宋简体"/>
          <w:bCs/>
          <w:color w:val="000000"/>
          <w:sz w:val="32"/>
          <w:szCs w:val="32"/>
          <w:lang w:val="en-US" w:eastAsia="zh-CN" w:bidi="ar"/>
        </w:rPr>
        <w:t>%，偏差原因及改进措施：</w:t>
      </w:r>
      <w:r>
        <w:rPr>
          <w:rFonts w:hint="eastAsia" w:ascii="宋体" w:hAnsi="宋体" w:eastAsia="方正仿宋简体" w:cs="方正仿宋简体"/>
          <w:bCs/>
          <w:sz w:val="32"/>
          <w:szCs w:val="32"/>
        </w:rPr>
        <w:t>因2024年度，随着“一带一路”建设工作持续推进和进一步加强，且免签政策落地，口岸开放力度随之增强，各项外事活动次数明显增多。应加强绩效管理观念，在设置绩效目标时参考上年工作总结和当年工作计划，立足实际坚持推行精细化管理，强化预算绩效目标管理，细化绩效目标</w:t>
      </w:r>
      <w:r>
        <w:rPr>
          <w:rFonts w:hint="eastAsia" w:ascii="宋体" w:hAnsi="宋体" w:eastAsia="方正仿宋简体" w:cs="方正仿宋简体"/>
          <w:b/>
          <w:bCs w:val="0"/>
          <w:color w:val="auto"/>
          <w:sz w:val="32"/>
          <w:szCs w:val="32"/>
        </w:rPr>
        <w:t>。</w:t>
      </w:r>
      <w:r>
        <w:rPr>
          <w:rFonts w:hint="eastAsia" w:ascii="宋体" w:hAnsi="宋体" w:eastAsia="方正仿宋简体" w:cs="方正仿宋简体"/>
          <w:b w:val="0"/>
          <w:bCs/>
          <w:color w:val="auto"/>
          <w:sz w:val="32"/>
          <w:szCs w:val="32"/>
          <w:highlight w:val="none"/>
          <w:lang w:val="en-US" w:eastAsia="zh-CN" w:bidi="ar"/>
        </w:rPr>
        <w:t>指标成效分析：</w:t>
      </w:r>
      <w:r>
        <w:rPr>
          <w:rFonts w:hint="eastAsia" w:ascii="宋体" w:hAnsi="宋体" w:eastAsia="方正仿宋简体" w:cs="方正仿宋简体"/>
          <w:bCs/>
          <w:sz w:val="32"/>
          <w:szCs w:val="32"/>
          <w:lang w:val="en-US" w:eastAsia="zh-CN"/>
        </w:rPr>
        <w:t>进一步</w:t>
      </w:r>
      <w:r>
        <w:rPr>
          <w:rFonts w:hint="eastAsia" w:ascii="宋体" w:hAnsi="宋体" w:eastAsia="方正仿宋简体" w:cs="方正仿宋简体"/>
          <w:color w:val="auto"/>
          <w:sz w:val="32"/>
          <w:szCs w:val="32"/>
          <w:highlight w:val="none"/>
          <w:lang w:val="en-US" w:eastAsia="zh-CN"/>
        </w:rPr>
        <w:t>加强中亚和欧洲国家的合作交流，探索国际交流合作新模式</w:t>
      </w:r>
      <w:r>
        <w:rPr>
          <w:rFonts w:hint="eastAsia" w:ascii="宋体" w:hAnsi="宋体" w:eastAsia="方正仿宋简体" w:cs="方正仿宋简体"/>
          <w:bCs/>
          <w:color w:val="auto"/>
          <w:sz w:val="32"/>
          <w:szCs w:val="32"/>
          <w:highlight w:val="none"/>
          <w:lang w:val="en-US" w:eastAsia="zh-CN" w:bidi="ar"/>
        </w:rPr>
        <w:t>，促进文化交流与经济发展，</w:t>
      </w:r>
      <w:r>
        <w:rPr>
          <w:rFonts w:hint="eastAsia" w:ascii="宋体" w:hAnsi="宋体" w:eastAsia="方正仿宋简体" w:cs="方正仿宋简体"/>
          <w:bCs/>
          <w:color w:val="auto"/>
          <w:sz w:val="32"/>
          <w:szCs w:val="32"/>
          <w:highlight w:val="none"/>
        </w:rPr>
        <w:br w:type="textWrapping"/>
      </w:r>
      <w:r>
        <w:rPr>
          <w:rFonts w:hint="eastAsia" w:ascii="宋体" w:hAnsi="宋体" w:eastAsia="方正仿宋简体" w:cs="方正仿宋简体"/>
          <w:bCs/>
          <w:sz w:val="32"/>
          <w:szCs w:val="32"/>
          <w:lang w:val="en-US" w:eastAsia="zh-CN"/>
        </w:rPr>
        <w:t xml:space="preserve">  </w:t>
      </w:r>
      <w:r>
        <w:rPr>
          <w:rFonts w:hint="eastAsia" w:ascii="宋体" w:hAnsi="宋体" w:eastAsia="方正仿宋简体" w:cs="方正仿宋简体"/>
          <w:bCs/>
          <w:color w:val="000000"/>
          <w:sz w:val="32"/>
          <w:szCs w:val="32"/>
          <w:lang w:val="en-US" w:eastAsia="zh-CN" w:bidi="ar"/>
        </w:rPr>
        <w:t>指标2：</w:t>
      </w:r>
      <w:r>
        <w:rPr>
          <w:rFonts w:hint="eastAsia" w:ascii="宋体" w:hAnsi="宋体" w:eastAsia="方正仿宋简体" w:cs="方正仿宋简体"/>
          <w:bCs/>
          <w:sz w:val="32"/>
          <w:szCs w:val="32"/>
        </w:rPr>
        <w:t>拍摄外宣视频数量 ，指标值：≥120部 ，年中监控完成值：30部；自评完成值75部，指标完成率62.5%，偏差率</w:t>
      </w:r>
      <w:r>
        <w:rPr>
          <w:rFonts w:hint="eastAsia" w:ascii="宋体" w:hAnsi="宋体" w:eastAsia="方正仿宋简体" w:cs="方正仿宋简体"/>
          <w:bCs/>
          <w:sz w:val="32"/>
          <w:szCs w:val="32"/>
          <w:lang w:val="en-US" w:eastAsia="zh-CN"/>
        </w:rPr>
        <w:t>-37.5</w:t>
      </w:r>
      <w:r>
        <w:rPr>
          <w:rFonts w:hint="eastAsia" w:ascii="宋体" w:hAnsi="宋体" w:eastAsia="方正仿宋简体" w:cs="方正仿宋简体"/>
          <w:bCs/>
          <w:sz w:val="32"/>
          <w:szCs w:val="32"/>
        </w:rPr>
        <w:t>%，偏差原因及改进措施：因2024年度，上级工作指示安排减少了视频数量，提高视频质量。指标成效分析：</w:t>
      </w:r>
      <w:r>
        <w:rPr>
          <w:rFonts w:hint="eastAsia" w:ascii="宋体" w:hAnsi="宋体" w:eastAsia="方正仿宋简体" w:cs="方正仿宋简体"/>
          <w:b w:val="0"/>
          <w:bCs w:val="0"/>
          <w:kern w:val="0"/>
          <w:sz w:val="32"/>
          <w:szCs w:val="32"/>
          <w:highlight w:val="none"/>
          <w:lang w:val="en-US" w:eastAsia="zh-CN" w:bidi="ar-SA"/>
        </w:rPr>
        <w:t>“这里是新疆”短视频摄制工作有效提升新疆的国际形象与影响力，通过经济发展、旅游发展、民生改善、文化民俗等领域的宣传让更多人了解到新疆的独特文化，现代化建设</w:t>
      </w:r>
      <w:r>
        <w:rPr>
          <w:rFonts w:hint="eastAsia" w:ascii="宋体" w:hAnsi="宋体" w:eastAsia="方正仿宋简体" w:cs="方正仿宋简体"/>
          <w:b w:val="0"/>
          <w:bCs w:val="0"/>
          <w:kern w:val="0"/>
          <w:sz w:val="32"/>
          <w:szCs w:val="32"/>
          <w:highlight w:val="none"/>
          <w:lang w:val="en-US" w:eastAsia="zh-CN" w:bidi="ar-SA"/>
        </w:rPr>
        <w:t>成就，提</w:t>
      </w:r>
      <w:bookmarkStart w:id="21" w:name="_GoBack"/>
      <w:r>
        <w:rPr>
          <w:rFonts w:hint="eastAsia" w:ascii="宋体" w:hAnsi="宋体" w:eastAsia="方正仿宋简体" w:cs="方正仿宋简体"/>
          <w:b w:val="0"/>
          <w:bCs w:val="0"/>
          <w:kern w:val="0"/>
          <w:sz w:val="32"/>
          <w:szCs w:val="32"/>
          <w:highlight w:val="none"/>
          <w:lang w:val="en-US" w:eastAsia="zh-CN" w:bidi="ar-SA"/>
        </w:rPr>
        <w:t>升新疆在全球范围</w:t>
      </w:r>
      <w:bookmarkEnd w:id="21"/>
      <w:r>
        <w:rPr>
          <w:rFonts w:hint="eastAsia" w:ascii="宋体" w:hAnsi="宋体" w:eastAsia="方正仿宋简体" w:cs="方正仿宋简体"/>
          <w:b w:val="0"/>
          <w:bCs w:val="0"/>
          <w:kern w:val="0"/>
          <w:sz w:val="32"/>
          <w:szCs w:val="32"/>
          <w:highlight w:val="none"/>
          <w:lang w:val="en-US" w:eastAsia="zh-CN" w:bidi="ar-SA"/>
        </w:rPr>
        <w:t>内的知名度，促进经济发展和文化交流。</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lang w:val="en-US" w:eastAsia="zh-CN"/>
        </w:rPr>
      </w:pPr>
      <w:r>
        <w:rPr>
          <w:rFonts w:hint="eastAsia" w:ascii="宋体" w:hAnsi="宋体" w:eastAsia="方正仿宋简体" w:cs="方正仿宋简体"/>
          <w:bCs/>
          <w:sz w:val="32"/>
          <w:szCs w:val="32"/>
        </w:rPr>
        <w:t>指标</w:t>
      </w:r>
      <w:r>
        <w:rPr>
          <w:rFonts w:hint="eastAsia" w:ascii="宋体" w:hAnsi="宋体" w:eastAsia="方正仿宋简体" w:cs="方正仿宋简体"/>
          <w:bCs/>
          <w:sz w:val="32"/>
          <w:szCs w:val="32"/>
          <w:lang w:val="en-US" w:eastAsia="zh-CN"/>
        </w:rPr>
        <w:t>3</w:t>
      </w:r>
      <w:r>
        <w:rPr>
          <w:rFonts w:hint="eastAsia" w:ascii="宋体" w:hAnsi="宋体" w:eastAsia="方正仿宋简体" w:cs="方正仿宋简体"/>
          <w:bCs/>
          <w:sz w:val="32"/>
          <w:szCs w:val="32"/>
        </w:rPr>
        <w:t>：翻译中哈往来信件数量 ，指标值：≥60封 ，年中监控完成值：58封；自评完成值93封，指标完成率</w:t>
      </w:r>
      <w:r>
        <w:rPr>
          <w:rFonts w:hint="eastAsia" w:ascii="宋体" w:hAnsi="宋体" w:eastAsia="方正仿宋简体" w:cs="方正仿宋简体"/>
          <w:bCs/>
          <w:sz w:val="32"/>
          <w:szCs w:val="32"/>
          <w:lang w:val="en-US" w:eastAsia="zh-CN"/>
        </w:rPr>
        <w:t>155</w:t>
      </w:r>
      <w:r>
        <w:rPr>
          <w:rFonts w:hint="eastAsia" w:ascii="宋体" w:hAnsi="宋体" w:eastAsia="方正仿宋简体" w:cs="方正仿宋简体"/>
          <w:bCs/>
          <w:sz w:val="32"/>
          <w:szCs w:val="32"/>
        </w:rPr>
        <w:t>%，偏差率55%，偏差原因及改进措施：因2024年度，随着“一带一路”建设工作持续推进和进一步加强，且免签政策落地，口岸开放力度随之增强，各项外事活动次数明显增多。应加强绩效管理观念，在设置绩效目标时参考上年工作总结和当年工作计划，立足实际坚持推行精细化管理，强化预算绩效目标管理，细化绩效目标。</w:t>
      </w:r>
      <w:r>
        <w:rPr>
          <w:rFonts w:hint="eastAsia" w:ascii="宋体" w:hAnsi="宋体" w:eastAsia="方正仿宋简体" w:cs="方正仿宋简体"/>
          <w:bCs/>
          <w:color w:val="auto"/>
          <w:sz w:val="32"/>
          <w:szCs w:val="32"/>
          <w:highlight w:val="none"/>
        </w:rPr>
        <w:t>指标成效分析：</w:t>
      </w:r>
      <w:r>
        <w:rPr>
          <w:rFonts w:hint="eastAsia" w:ascii="宋体" w:hAnsi="宋体" w:eastAsia="方正仿宋简体" w:cs="方正仿宋简体"/>
          <w:bCs/>
          <w:color w:val="auto"/>
          <w:sz w:val="32"/>
          <w:szCs w:val="32"/>
          <w:highlight w:val="none"/>
          <w:lang w:val="en-US" w:eastAsia="zh-CN"/>
        </w:rPr>
        <w:t>通过往来函件促进了两国之间的沟通协调</w:t>
      </w:r>
      <w:r>
        <w:rPr>
          <w:rFonts w:hint="eastAsia" w:ascii="宋体" w:hAnsi="宋体" w:eastAsia="方正仿宋简体" w:cs="方正仿宋简体"/>
          <w:b w:val="0"/>
          <w:bCs w:val="0"/>
          <w:color w:val="auto"/>
          <w:kern w:val="0"/>
          <w:sz w:val="32"/>
          <w:szCs w:val="32"/>
          <w:highlight w:val="none"/>
          <w:lang w:val="en-US" w:eastAsia="zh-CN" w:bidi="ar-SA"/>
        </w:rPr>
        <w:t>、</w:t>
      </w:r>
      <w:r>
        <w:rPr>
          <w:rFonts w:hint="eastAsia" w:ascii="宋体" w:hAnsi="宋体" w:eastAsia="方正仿宋简体" w:cs="方正仿宋简体"/>
          <w:bCs/>
          <w:color w:val="auto"/>
          <w:sz w:val="32"/>
          <w:szCs w:val="32"/>
          <w:highlight w:val="none"/>
          <w:lang w:val="en-US" w:eastAsia="zh-CN"/>
        </w:rPr>
        <w:t>商务合作</w:t>
      </w:r>
      <w:r>
        <w:rPr>
          <w:rFonts w:hint="eastAsia" w:ascii="宋体" w:hAnsi="宋体" w:eastAsia="方正仿宋简体" w:cs="方正仿宋简体"/>
          <w:b w:val="0"/>
          <w:bCs w:val="0"/>
          <w:color w:val="auto"/>
          <w:kern w:val="0"/>
          <w:sz w:val="32"/>
          <w:szCs w:val="32"/>
          <w:highlight w:val="none"/>
          <w:lang w:val="en-US" w:eastAsia="zh-CN" w:bidi="ar-SA"/>
        </w:rPr>
        <w:t>、</w:t>
      </w:r>
      <w:r>
        <w:rPr>
          <w:rFonts w:hint="eastAsia" w:ascii="宋体" w:hAnsi="宋体" w:eastAsia="方正仿宋简体" w:cs="方正仿宋简体"/>
          <w:bCs/>
          <w:color w:val="auto"/>
          <w:sz w:val="32"/>
          <w:szCs w:val="32"/>
          <w:highlight w:val="none"/>
          <w:lang w:val="en-US" w:eastAsia="zh-CN"/>
        </w:rPr>
        <w:t>外交事务</w:t>
      </w:r>
      <w:r>
        <w:rPr>
          <w:rFonts w:hint="eastAsia" w:ascii="宋体" w:hAnsi="宋体" w:eastAsia="方正仿宋简体" w:cs="方正仿宋简体"/>
          <w:b w:val="0"/>
          <w:bCs w:val="0"/>
          <w:color w:val="auto"/>
          <w:kern w:val="0"/>
          <w:sz w:val="32"/>
          <w:szCs w:val="32"/>
          <w:highlight w:val="none"/>
          <w:lang w:val="en-US" w:eastAsia="zh-CN" w:bidi="ar-SA"/>
        </w:rPr>
        <w:t>、</w:t>
      </w:r>
      <w:r>
        <w:rPr>
          <w:rFonts w:hint="eastAsia" w:ascii="宋体" w:hAnsi="宋体" w:eastAsia="方正仿宋简体" w:cs="方正仿宋简体"/>
          <w:bCs/>
          <w:color w:val="auto"/>
          <w:sz w:val="32"/>
          <w:szCs w:val="32"/>
          <w:highlight w:val="none"/>
          <w:lang w:val="en-US" w:eastAsia="zh-CN"/>
        </w:rPr>
        <w:t>法律事务</w:t>
      </w:r>
      <w:r>
        <w:rPr>
          <w:rFonts w:hint="eastAsia" w:ascii="宋体" w:hAnsi="宋体" w:eastAsia="方正仿宋简体" w:cs="方正仿宋简体"/>
          <w:b w:val="0"/>
          <w:bCs w:val="0"/>
          <w:color w:val="auto"/>
          <w:kern w:val="0"/>
          <w:sz w:val="32"/>
          <w:szCs w:val="32"/>
          <w:highlight w:val="none"/>
          <w:lang w:val="en-US" w:eastAsia="zh-CN" w:bidi="ar-SA"/>
        </w:rPr>
        <w:t>、</w:t>
      </w:r>
      <w:r>
        <w:rPr>
          <w:rFonts w:hint="eastAsia" w:ascii="宋体" w:hAnsi="宋体" w:eastAsia="方正仿宋简体" w:cs="方正仿宋简体"/>
          <w:bCs/>
          <w:color w:val="auto"/>
          <w:sz w:val="32"/>
          <w:szCs w:val="32"/>
          <w:highlight w:val="none"/>
          <w:lang w:val="en-US" w:eastAsia="zh-CN"/>
        </w:rPr>
        <w:t>文化交流等领域</w:t>
      </w:r>
      <w:r>
        <w:rPr>
          <w:rFonts w:hint="eastAsia" w:ascii="宋体" w:hAnsi="宋体" w:eastAsia="方正仿宋简体" w:cs="方正仿宋简体"/>
          <w:bCs/>
          <w:color w:val="auto"/>
          <w:sz w:val="32"/>
          <w:szCs w:val="32"/>
          <w:highlight w:val="none"/>
        </w:rPr>
        <w:t>。</w:t>
      </w:r>
      <w:r>
        <w:rPr>
          <w:rFonts w:hint="eastAsia" w:ascii="宋体" w:hAnsi="宋体" w:eastAsia="方正仿宋简体" w:cs="方正仿宋简体"/>
          <w:bCs/>
          <w:sz w:val="32"/>
          <w:szCs w:val="32"/>
        </w:rPr>
        <w:br w:type="textWrapping"/>
      </w:r>
      <w:r>
        <w:rPr>
          <w:rFonts w:hint="eastAsia" w:ascii="宋体" w:hAnsi="宋体" w:eastAsia="方正仿宋简体" w:cs="方正仿宋简体"/>
          <w:bCs/>
          <w:sz w:val="32"/>
          <w:szCs w:val="32"/>
          <w:lang w:val="en-US" w:eastAsia="zh-CN"/>
        </w:rPr>
        <w:t xml:space="preserve">    </w:t>
      </w:r>
      <w:r>
        <w:rPr>
          <w:rFonts w:hint="eastAsia" w:ascii="宋体" w:hAnsi="宋体" w:eastAsia="方正仿宋简体" w:cs="方正仿宋简体"/>
          <w:bCs/>
          <w:sz w:val="32"/>
          <w:szCs w:val="32"/>
        </w:rPr>
        <w:t>指标</w:t>
      </w:r>
      <w:r>
        <w:rPr>
          <w:rFonts w:hint="eastAsia" w:ascii="宋体" w:hAnsi="宋体" w:eastAsia="方正仿宋简体" w:cs="方正仿宋简体"/>
          <w:bCs/>
          <w:sz w:val="32"/>
          <w:szCs w:val="32"/>
          <w:lang w:val="en-US" w:eastAsia="zh-CN"/>
        </w:rPr>
        <w:t>4</w:t>
      </w:r>
      <w:r>
        <w:rPr>
          <w:rFonts w:hint="eastAsia" w:ascii="宋体" w:hAnsi="宋体" w:eastAsia="方正仿宋简体" w:cs="方正仿宋简体"/>
          <w:bCs/>
          <w:sz w:val="32"/>
          <w:szCs w:val="32"/>
        </w:rPr>
        <w:t>：边界巡查次数 ，指标值：≥2次 ，年中监控完成值：2次；自评完成值4次，指标完成率</w:t>
      </w:r>
      <w:r>
        <w:rPr>
          <w:rFonts w:hint="eastAsia" w:ascii="宋体" w:hAnsi="宋体" w:eastAsia="方正仿宋简体" w:cs="方正仿宋简体"/>
          <w:bCs/>
          <w:sz w:val="32"/>
          <w:szCs w:val="32"/>
          <w:lang w:val="en-US" w:eastAsia="zh-CN"/>
        </w:rPr>
        <w:t>200</w:t>
      </w:r>
      <w:r>
        <w:rPr>
          <w:rFonts w:hint="eastAsia" w:ascii="宋体" w:hAnsi="宋体" w:eastAsia="方正仿宋简体" w:cs="方正仿宋简体"/>
          <w:bCs/>
          <w:sz w:val="32"/>
          <w:szCs w:val="32"/>
        </w:rPr>
        <w:t>%，偏差率</w:t>
      </w:r>
      <w:r>
        <w:rPr>
          <w:rFonts w:hint="eastAsia" w:ascii="宋体" w:hAnsi="宋体" w:eastAsia="方正仿宋简体" w:cs="方正仿宋简体"/>
          <w:bCs/>
          <w:sz w:val="32"/>
          <w:szCs w:val="32"/>
          <w:lang w:val="en-US" w:eastAsia="zh-CN"/>
        </w:rPr>
        <w:t>100</w:t>
      </w:r>
      <w:r>
        <w:rPr>
          <w:rFonts w:hint="eastAsia" w:ascii="宋体" w:hAnsi="宋体" w:eastAsia="方正仿宋简体" w:cs="方正仿宋简体"/>
          <w:bCs/>
          <w:sz w:val="32"/>
          <w:szCs w:val="32"/>
        </w:rPr>
        <w:t>%，偏差原因及改进措施：因2024年度，随着“一带一路”建设工作持续推进和进一步加强，且免签政策落地，口岸开放力度随之增强，各项外事活动次数明显增多。应加强绩效管理观念，在设置绩效目标时参考上年工作总结和当年工作计划，立足实际坚持推行精细化管理，强化预算绩效目标管理，细化绩效目标。指标成效分析：</w:t>
      </w:r>
      <w:r>
        <w:rPr>
          <w:rFonts w:hint="eastAsia" w:ascii="宋体" w:hAnsi="宋体" w:eastAsia="方正仿宋简体" w:cs="方正仿宋简体"/>
          <w:bCs/>
          <w:sz w:val="32"/>
          <w:szCs w:val="32"/>
          <w:lang w:eastAsia="zh-CN"/>
        </w:rPr>
        <w:t>有效保持边界线清晰稳定和边界标志物完好无损，维护边界地区安全稳定和国家良好形象</w:t>
      </w:r>
      <w:r>
        <w:rPr>
          <w:rFonts w:hint="eastAsia" w:ascii="宋体" w:hAnsi="宋体" w:eastAsia="方正仿宋简体" w:cs="方正仿宋简体"/>
          <w:bCs/>
          <w:sz w:val="32"/>
          <w:szCs w:val="32"/>
        </w:rPr>
        <w:t>。</w:t>
      </w:r>
      <w:r>
        <w:rPr>
          <w:rFonts w:hint="eastAsia" w:ascii="宋体" w:hAnsi="宋体" w:eastAsia="方正仿宋简体" w:cs="方正仿宋简体"/>
          <w:bCs/>
          <w:sz w:val="32"/>
          <w:szCs w:val="32"/>
        </w:rPr>
        <w:br w:type="textWrapping"/>
      </w:r>
      <w:r>
        <w:rPr>
          <w:rFonts w:hint="eastAsia" w:ascii="宋体" w:hAnsi="宋体" w:eastAsia="方正仿宋简体" w:cs="方正仿宋简体"/>
          <w:bCs/>
          <w:sz w:val="32"/>
          <w:szCs w:val="32"/>
          <w:lang w:val="en-US" w:eastAsia="zh-CN"/>
        </w:rPr>
        <w:t xml:space="preserve">    </w:t>
      </w:r>
      <w:r>
        <w:rPr>
          <w:rFonts w:hint="eastAsia" w:ascii="宋体" w:hAnsi="宋体" w:eastAsia="方正仿宋简体" w:cs="方正仿宋简体"/>
          <w:bCs/>
          <w:sz w:val="32"/>
          <w:szCs w:val="32"/>
        </w:rPr>
        <w:t>指标</w:t>
      </w:r>
      <w:r>
        <w:rPr>
          <w:rFonts w:hint="eastAsia" w:ascii="宋体" w:hAnsi="宋体" w:eastAsia="方正仿宋简体" w:cs="方正仿宋简体"/>
          <w:bCs/>
          <w:sz w:val="32"/>
          <w:szCs w:val="32"/>
          <w:lang w:val="en-US" w:eastAsia="zh-CN"/>
        </w:rPr>
        <w:t>5</w:t>
      </w:r>
      <w:r>
        <w:rPr>
          <w:rFonts w:hint="eastAsia" w:ascii="宋体" w:hAnsi="宋体" w:eastAsia="方正仿宋简体" w:cs="方正仿宋简体"/>
          <w:bCs/>
          <w:sz w:val="32"/>
          <w:szCs w:val="32"/>
        </w:rPr>
        <w:t>：服务走访我辖区入境人员次数 ，指标值：≥4次 ，年中监控完成值：2次；自评完成值4次，指标完成率100%，偏差率0%</w:t>
      </w:r>
      <w:r>
        <w:rPr>
          <w:rFonts w:hint="eastAsia" w:ascii="宋体" w:hAnsi="宋体" w:eastAsia="方正仿宋简体" w:cs="方正仿宋简体"/>
          <w:bCs/>
          <w:sz w:val="32"/>
          <w:szCs w:val="32"/>
          <w:lang w:eastAsia="zh-CN"/>
        </w:rPr>
        <w:t>，</w:t>
      </w:r>
      <w:r>
        <w:rPr>
          <w:rFonts w:hint="eastAsia" w:ascii="宋体" w:hAnsi="宋体" w:eastAsia="方正仿宋简体" w:cs="方正仿宋简体"/>
          <w:bCs/>
          <w:sz w:val="32"/>
          <w:szCs w:val="32"/>
        </w:rPr>
        <w:t>偏差原因及改进措施：</w:t>
      </w:r>
      <w:r>
        <w:rPr>
          <w:rFonts w:hint="eastAsia" w:ascii="宋体" w:hAnsi="宋体" w:eastAsia="方正仿宋简体" w:cs="方正仿宋简体"/>
          <w:bCs/>
          <w:sz w:val="32"/>
          <w:szCs w:val="32"/>
          <w:lang w:val="en-US" w:eastAsia="zh-CN"/>
        </w:rPr>
        <w:t>无，</w:t>
      </w:r>
      <w:r>
        <w:rPr>
          <w:rFonts w:hint="eastAsia" w:ascii="宋体" w:hAnsi="宋体" w:eastAsia="方正仿宋简体" w:cs="方正仿宋简体"/>
          <w:bCs/>
          <w:sz w:val="32"/>
          <w:szCs w:val="32"/>
        </w:rPr>
        <w:t>指标成效分析：</w:t>
      </w:r>
      <w:r>
        <w:rPr>
          <w:rFonts w:hint="eastAsia" w:ascii="宋体" w:hAnsi="宋体" w:eastAsia="方正仿宋简体" w:cs="方正仿宋简体"/>
          <w:bCs/>
          <w:sz w:val="32"/>
          <w:szCs w:val="32"/>
          <w:lang w:val="en-US" w:eastAsia="zh-CN"/>
        </w:rPr>
        <w:t>通过入户走访全面掌握入境人员的基本信息，建立完善人员信息数据库、排查安全隐患、化解矛盾纠纷、提供便利服务和文化交流。</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sz w:val="32"/>
          <w:szCs w:val="32"/>
        </w:rPr>
      </w:pPr>
      <w:r>
        <w:rPr>
          <w:rFonts w:hint="eastAsia" w:ascii="宋体" w:hAnsi="宋体" w:eastAsia="方正仿宋简体" w:cs="方正仿宋简体"/>
          <w:bCs/>
          <w:sz w:val="32"/>
          <w:szCs w:val="32"/>
        </w:rPr>
        <w:t>指标</w:t>
      </w:r>
      <w:r>
        <w:rPr>
          <w:rFonts w:hint="eastAsia" w:ascii="宋体" w:hAnsi="宋体" w:eastAsia="方正仿宋简体" w:cs="方正仿宋简体"/>
          <w:bCs/>
          <w:sz w:val="32"/>
          <w:szCs w:val="32"/>
          <w:lang w:val="en-US" w:eastAsia="zh-CN"/>
        </w:rPr>
        <w:t>6</w:t>
      </w:r>
      <w:r>
        <w:rPr>
          <w:rFonts w:hint="eastAsia" w:ascii="宋体" w:hAnsi="宋体" w:eastAsia="方正仿宋简体" w:cs="方正仿宋简体"/>
          <w:bCs/>
          <w:sz w:val="32"/>
          <w:szCs w:val="32"/>
        </w:rPr>
        <w:t>：打造涉外参访点位数量 ，指标值：≥10个 ，年中监控完成值：10个；自评完成值10个，指标完成率100%，偏差率0%</w:t>
      </w:r>
      <w:r>
        <w:rPr>
          <w:rFonts w:hint="eastAsia" w:ascii="宋体" w:hAnsi="宋体" w:eastAsia="方正仿宋简体" w:cs="方正仿宋简体"/>
          <w:bCs/>
          <w:sz w:val="32"/>
          <w:szCs w:val="32"/>
          <w:lang w:eastAsia="zh-CN"/>
        </w:rPr>
        <w:t>，</w:t>
      </w:r>
      <w:r>
        <w:rPr>
          <w:rFonts w:hint="eastAsia" w:ascii="宋体" w:hAnsi="宋体" w:eastAsia="方正仿宋简体" w:cs="方正仿宋简体"/>
          <w:bCs/>
          <w:sz w:val="32"/>
          <w:szCs w:val="32"/>
        </w:rPr>
        <w:t>偏差原因及改进措施：</w:t>
      </w:r>
      <w:r>
        <w:rPr>
          <w:rFonts w:hint="eastAsia" w:ascii="宋体" w:hAnsi="宋体" w:eastAsia="方正仿宋简体" w:cs="方正仿宋简体"/>
          <w:bCs/>
          <w:sz w:val="32"/>
          <w:szCs w:val="32"/>
          <w:lang w:val="en-US" w:eastAsia="zh-CN"/>
        </w:rPr>
        <w:t>无，指标成效分析：参访点位通过“文化+产业+服务”的多维展示，成为霍尔果斯对外交流的窗口，直接推动国际影响力</w:t>
      </w:r>
      <w:r>
        <w:rPr>
          <w:rFonts w:hint="eastAsia" w:ascii="宋体" w:hAnsi="宋体" w:eastAsia="方正仿宋简体" w:cs="方正仿宋简体"/>
          <w:b w:val="0"/>
          <w:bCs w:val="0"/>
          <w:color w:val="auto"/>
          <w:kern w:val="0"/>
          <w:sz w:val="32"/>
          <w:szCs w:val="32"/>
          <w:highlight w:val="none"/>
          <w:lang w:val="en-US" w:eastAsia="zh-CN" w:bidi="ar-SA"/>
        </w:rPr>
        <w:t>、</w:t>
      </w:r>
      <w:r>
        <w:rPr>
          <w:rFonts w:hint="eastAsia" w:ascii="宋体" w:hAnsi="宋体" w:eastAsia="方正仿宋简体" w:cs="方正仿宋简体"/>
          <w:bCs/>
          <w:sz w:val="32"/>
          <w:szCs w:val="32"/>
          <w:lang w:val="en-US" w:eastAsia="zh-CN"/>
        </w:rPr>
        <w:t>经济合作和文化认同的全面提升。</w:t>
      </w:r>
      <w:r>
        <w:rPr>
          <w:rFonts w:hint="eastAsia" w:ascii="宋体" w:hAnsi="宋体" w:eastAsia="方正仿宋简体" w:cs="方正仿宋简体"/>
          <w:bCs/>
          <w:sz w:val="32"/>
          <w:szCs w:val="32"/>
          <w:lang w:val="en-US" w:eastAsia="zh-CN"/>
        </w:rPr>
        <w:br w:type="textWrapping"/>
      </w:r>
      <w:r>
        <w:rPr>
          <w:rFonts w:hint="eastAsia" w:ascii="宋体" w:hAnsi="宋体" w:eastAsia="方正仿宋简体" w:cs="方正仿宋简体"/>
          <w:bCs/>
          <w:sz w:val="32"/>
          <w:szCs w:val="32"/>
          <w:lang w:val="en-US" w:eastAsia="zh-CN"/>
        </w:rPr>
        <w:t xml:space="preserve">    </w:t>
      </w:r>
      <w:r>
        <w:rPr>
          <w:rFonts w:hint="eastAsia" w:ascii="宋体" w:hAnsi="宋体" w:eastAsia="方正仿宋简体" w:cs="方正仿宋简体"/>
          <w:bCs/>
          <w:sz w:val="32"/>
          <w:szCs w:val="32"/>
        </w:rPr>
        <w:t>指标</w:t>
      </w:r>
      <w:r>
        <w:rPr>
          <w:rFonts w:hint="eastAsia" w:ascii="宋体" w:hAnsi="宋体" w:eastAsia="方正仿宋简体" w:cs="方正仿宋简体"/>
          <w:bCs/>
          <w:sz w:val="32"/>
          <w:szCs w:val="32"/>
          <w:lang w:val="en-US" w:eastAsia="zh-CN"/>
        </w:rPr>
        <w:t>7</w:t>
      </w:r>
      <w:r>
        <w:rPr>
          <w:rFonts w:hint="eastAsia" w:ascii="宋体" w:hAnsi="宋体" w:eastAsia="方正仿宋简体" w:cs="方正仿宋简体"/>
          <w:bCs/>
          <w:sz w:val="32"/>
          <w:szCs w:val="32"/>
        </w:rPr>
        <w:t>：接待涉外团体次数 ，指标值：≥4次 ，年中监控完成值：4次；自评完成值21次，指标完成率</w:t>
      </w:r>
      <w:r>
        <w:rPr>
          <w:rFonts w:hint="eastAsia" w:ascii="宋体" w:hAnsi="宋体" w:eastAsia="方正仿宋简体" w:cs="方正仿宋简体"/>
          <w:bCs/>
          <w:sz w:val="32"/>
          <w:szCs w:val="32"/>
          <w:lang w:val="en-US" w:eastAsia="zh-CN"/>
        </w:rPr>
        <w:t>525</w:t>
      </w:r>
      <w:r>
        <w:rPr>
          <w:rFonts w:hint="eastAsia" w:ascii="宋体" w:hAnsi="宋体" w:eastAsia="方正仿宋简体" w:cs="方正仿宋简体"/>
          <w:bCs/>
          <w:sz w:val="32"/>
          <w:szCs w:val="32"/>
        </w:rPr>
        <w:t>%，偏差率</w:t>
      </w:r>
      <w:r>
        <w:rPr>
          <w:rFonts w:hint="eastAsia" w:ascii="宋体" w:hAnsi="宋体" w:eastAsia="方正仿宋简体" w:cs="方正仿宋简体"/>
          <w:bCs/>
          <w:sz w:val="32"/>
          <w:szCs w:val="32"/>
          <w:lang w:val="en-US" w:eastAsia="zh-CN"/>
        </w:rPr>
        <w:t>4</w:t>
      </w:r>
      <w:r>
        <w:rPr>
          <w:rFonts w:hint="eastAsia" w:ascii="宋体" w:hAnsi="宋体" w:eastAsia="方正仿宋简体" w:cs="方正仿宋简体"/>
          <w:bCs/>
          <w:sz w:val="32"/>
          <w:szCs w:val="32"/>
        </w:rPr>
        <w:t>25%，偏差原因及改进措施：因2024年度，随着“一带一路”建设工作持续推进和进一步加强，且免签政策落地，口岸开放力度随之增强，各项外事活动次数明显增多。应加强绩效管理观念，在设置绩效目标时参考上年工作总结和当年工作计划，立足实际坚持推行精细化管理，强化预算绩效目标管理，细化绩效目标。指标成效分析：</w:t>
      </w:r>
      <w:r>
        <w:rPr>
          <w:rFonts w:hint="eastAsia" w:ascii="宋体" w:hAnsi="宋体" w:eastAsia="方正仿宋简体" w:cs="方正仿宋简体"/>
          <w:bCs/>
          <w:sz w:val="32"/>
          <w:szCs w:val="32"/>
          <w:lang w:val="en-US" w:eastAsia="zh-CN"/>
        </w:rPr>
        <w:t>通过接待涉外团体提升霍尔果斯的国际知名度和影响力，同时加深了不同文化之间的交流和理解，促进了经贸合作</w:t>
      </w:r>
      <w:r>
        <w:rPr>
          <w:rFonts w:hint="eastAsia" w:ascii="宋体" w:hAnsi="宋体" w:eastAsia="方正仿宋简体" w:cs="方正仿宋简体"/>
          <w:bCs/>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eastAsia="zh-CN" w:bidi="ar"/>
          <w14:textFill>
            <w14:solidFill>
              <w14:schemeClr w14:val="tx1"/>
            </w14:solidFill>
          </w14:textFill>
        </w:rPr>
      </w:pPr>
      <w:r>
        <w:rPr>
          <w:rFonts w:hint="eastAsia" w:ascii="宋体" w:hAnsi="宋体" w:eastAsia="黑体" w:cs="黑体"/>
          <w:b w:val="0"/>
          <w:bCs/>
          <w:color w:val="000000" w:themeColor="text1"/>
          <w:sz w:val="32"/>
          <w:szCs w:val="32"/>
          <w:lang w:eastAsia="zh-CN" w:bidi="ar"/>
          <w14:textFill>
            <w14:solidFill>
              <w14:schemeClr w14:val="tx1"/>
            </w14:solidFill>
          </w14:textFill>
        </w:rPr>
        <w:t>四、评价结论：</w:t>
      </w:r>
    </w:p>
    <w:p>
      <w:pPr>
        <w:keepNext w:val="0"/>
        <w:keepLines w:val="0"/>
        <w:pageBreakBefore w:val="0"/>
        <w:widowControl w:val="0"/>
        <w:kinsoku/>
        <w:wordWrap/>
        <w:overflowPunct/>
        <w:topLinePunct w:val="0"/>
        <w:autoSpaceDE/>
        <w:autoSpaceDN/>
        <w:bidi w:val="0"/>
        <w:adjustRightInd/>
        <w:spacing w:line="560" w:lineRule="exact"/>
        <w:ind w:left="0" w:leftChars="0" w:firstLine="624" w:firstLineChars="200"/>
        <w:jc w:val="both"/>
        <w:textAlignment w:val="auto"/>
        <w:rPr>
          <w:rFonts w:hint="eastAsia" w:ascii="宋体" w:hAnsi="宋体" w:eastAsia="方正仿宋简体" w:cs="方正仿宋简体"/>
          <w:bCs/>
          <w:sz w:val="32"/>
          <w:szCs w:val="32"/>
          <w:lang w:eastAsia="zh-CN"/>
        </w:rPr>
      </w:pPr>
      <w:r>
        <w:rPr>
          <w:rStyle w:val="8"/>
          <w:rFonts w:hint="eastAsia" w:ascii="宋体" w:hAnsi="宋体" w:eastAsia="方正仿宋简体" w:cs="方正仿宋简体"/>
          <w:b w:val="0"/>
          <w:spacing w:val="-4"/>
          <w:sz w:val="32"/>
          <w:szCs w:val="32"/>
        </w:rPr>
        <w:t>20</w:t>
      </w:r>
      <w:r>
        <w:rPr>
          <w:rStyle w:val="8"/>
          <w:rFonts w:hint="eastAsia" w:ascii="宋体" w:hAnsi="宋体" w:eastAsia="方正仿宋简体" w:cs="方正仿宋简体"/>
          <w:b w:val="0"/>
          <w:spacing w:val="-4"/>
          <w:sz w:val="32"/>
          <w:szCs w:val="32"/>
          <w:lang w:val="en-US" w:eastAsia="zh-CN"/>
        </w:rPr>
        <w:t>24</w:t>
      </w:r>
      <w:r>
        <w:rPr>
          <w:rStyle w:val="8"/>
          <w:rFonts w:hint="eastAsia" w:ascii="宋体" w:hAnsi="宋体" w:eastAsia="方正仿宋简体" w:cs="方正仿宋简体"/>
          <w:b w:val="0"/>
          <w:spacing w:val="-4"/>
          <w:sz w:val="32"/>
          <w:szCs w:val="32"/>
        </w:rPr>
        <w:t>年度部门整体支出绩效</w:t>
      </w:r>
      <w:r>
        <w:rPr>
          <w:rStyle w:val="8"/>
          <w:rFonts w:hint="eastAsia" w:ascii="宋体" w:hAnsi="宋体" w:eastAsia="方正仿宋简体" w:cs="方正仿宋简体"/>
          <w:b w:val="0"/>
          <w:spacing w:val="-4"/>
          <w:sz w:val="32"/>
          <w:szCs w:val="32"/>
          <w:lang w:val="en-US" w:eastAsia="zh-CN"/>
        </w:rPr>
        <w:t>评价</w:t>
      </w:r>
      <w:r>
        <w:rPr>
          <w:rStyle w:val="8"/>
          <w:rFonts w:hint="eastAsia" w:ascii="宋体" w:hAnsi="宋体" w:eastAsia="方正仿宋简体" w:cs="方正仿宋简体"/>
          <w:b w:val="0"/>
          <w:spacing w:val="-4"/>
          <w:sz w:val="32"/>
          <w:szCs w:val="32"/>
        </w:rPr>
        <w:t>综合得分</w:t>
      </w:r>
      <w:r>
        <w:rPr>
          <w:rStyle w:val="8"/>
          <w:rFonts w:hint="eastAsia" w:ascii="宋体" w:hAnsi="宋体" w:eastAsia="方正仿宋简体" w:cs="方正仿宋简体"/>
          <w:b w:val="0"/>
          <w:spacing w:val="-4"/>
          <w:sz w:val="32"/>
          <w:szCs w:val="32"/>
          <w:lang w:val="en-US" w:eastAsia="zh-CN"/>
        </w:rPr>
        <w:t>99.75</w:t>
      </w:r>
      <w:r>
        <w:rPr>
          <w:rStyle w:val="8"/>
          <w:rFonts w:hint="eastAsia" w:ascii="宋体" w:hAnsi="宋体" w:eastAsia="方正仿宋简体" w:cs="方正仿宋简体"/>
          <w:b w:val="0"/>
          <w:spacing w:val="-4"/>
          <w:sz w:val="32"/>
          <w:szCs w:val="32"/>
        </w:rPr>
        <w:t>分，评价结果为“</w:t>
      </w:r>
      <w:r>
        <w:rPr>
          <w:rStyle w:val="8"/>
          <w:rFonts w:hint="eastAsia" w:ascii="宋体" w:hAnsi="宋体" w:eastAsia="方正仿宋简体" w:cs="方正仿宋简体"/>
          <w:b w:val="0"/>
          <w:spacing w:val="-4"/>
          <w:sz w:val="32"/>
          <w:szCs w:val="32"/>
          <w:lang w:val="en-US" w:eastAsia="zh-CN"/>
        </w:rPr>
        <w:t>优</w:t>
      </w:r>
      <w:r>
        <w:rPr>
          <w:rStyle w:val="8"/>
          <w:rFonts w:hint="eastAsia" w:ascii="宋体" w:hAnsi="宋体" w:eastAsia="方正仿宋简体" w:cs="方正仿宋简体"/>
          <w:b w:val="0"/>
          <w:spacing w:val="-4"/>
          <w:sz w:val="32"/>
          <w:szCs w:val="32"/>
        </w:rPr>
        <w:t>”</w:t>
      </w:r>
      <w:r>
        <w:rPr>
          <w:rStyle w:val="8"/>
          <w:rFonts w:hint="eastAsia" w:ascii="宋体" w:hAnsi="宋体" w:eastAsia="方正仿宋简体" w:cs="方正仿宋简体"/>
          <w:b w:val="0"/>
          <w:spacing w:val="-4"/>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eastAsia="zh-CN" w:bidi="ar"/>
          <w14:textFill>
            <w14:solidFill>
              <w14:schemeClr w14:val="tx1"/>
            </w14:solidFill>
          </w14:textFill>
        </w:rPr>
      </w:pPr>
      <w:r>
        <w:rPr>
          <w:rFonts w:hint="eastAsia" w:ascii="宋体" w:hAnsi="宋体" w:eastAsia="黑体" w:cs="黑体"/>
          <w:b w:val="0"/>
          <w:bCs/>
          <w:color w:val="000000" w:themeColor="text1"/>
          <w:sz w:val="32"/>
          <w:szCs w:val="32"/>
          <w:lang w:val="en-US" w:eastAsia="zh-CN" w:bidi="ar"/>
          <w14:textFill>
            <w14:solidFill>
              <w14:schemeClr w14:val="tx1"/>
            </w14:solidFill>
          </w14:textFill>
        </w:rPr>
        <w:t>五</w:t>
      </w:r>
      <w:r>
        <w:rPr>
          <w:rFonts w:hint="eastAsia" w:ascii="宋体" w:hAnsi="宋体" w:eastAsia="黑体" w:cs="黑体"/>
          <w:b w:val="0"/>
          <w:bCs/>
          <w:color w:val="000000" w:themeColor="text1"/>
          <w:sz w:val="32"/>
          <w:szCs w:val="32"/>
          <w:lang w:eastAsia="zh-CN" w:bidi="ar"/>
          <w14:textFill>
            <w14:solidFill>
              <w14:schemeClr w14:val="tx1"/>
            </w14:solidFill>
          </w14:textFill>
        </w:rPr>
        <w:t>、存在的主要问题及原因分析：</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3" w:firstLineChars="200"/>
        <w:jc w:val="both"/>
        <w:textAlignment w:val="auto"/>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pPr>
      <w:bookmarkStart w:id="14" w:name="_Toc9758"/>
      <w:r>
        <w:rPr>
          <w:rFonts w:hint="eastAsia" w:ascii="方正楷体简体" w:hAnsi="方正楷体简体" w:eastAsia="方正楷体简体" w:cs="方正楷体简体"/>
          <w:b/>
          <w:bCs w:val="0"/>
          <w:color w:val="000000" w:themeColor="text1"/>
          <w:sz w:val="32"/>
          <w:szCs w:val="32"/>
          <w:lang w:val="en-US" w:eastAsia="zh-CN" w:bidi="ar"/>
          <w14:textFill>
            <w14:solidFill>
              <w14:schemeClr w14:val="tx1"/>
            </w14:solidFill>
          </w14:textFill>
        </w:rPr>
        <w:t>（一）绩效指标设置不够明确</w:t>
      </w:r>
      <w:bookmarkEnd w:id="14"/>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bidi="ar"/>
        </w:rPr>
      </w:pPr>
      <w:r>
        <w:rPr>
          <w:rFonts w:hint="eastAsia" w:ascii="宋体" w:hAnsi="宋体" w:eastAsia="方正仿宋简体" w:cs="方正仿宋简体"/>
          <w:bCs/>
          <w:color w:val="auto"/>
          <w:sz w:val="32"/>
          <w:szCs w:val="32"/>
          <w:lang w:val="en-US" w:eastAsia="zh-CN" w:bidi="ar"/>
        </w:rPr>
        <w:t>我部门部分绩效指标设置存在不够精简、指标数据无法统计和指标值设置过低等问题，部分项目绩效指标值设定为定性的指标，指标设置的科学性、合理性有待进一步提高。</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3" w:firstLineChars="200"/>
        <w:jc w:val="both"/>
        <w:textAlignment w:val="auto"/>
        <w:outlineLvl w:val="1"/>
        <w:rPr>
          <w:rFonts w:hint="eastAsia" w:ascii="方正楷体简体" w:hAnsi="方正楷体简体" w:eastAsia="方正楷体简体" w:cs="方正楷体简体"/>
          <w:b/>
          <w:bCs w:val="0"/>
          <w:color w:val="auto"/>
          <w:sz w:val="32"/>
          <w:szCs w:val="32"/>
          <w:lang w:val="en-US" w:eastAsia="zh-CN" w:bidi="ar"/>
        </w:rPr>
      </w:pPr>
      <w:bookmarkStart w:id="15" w:name="_Toc2729"/>
      <w:r>
        <w:rPr>
          <w:rFonts w:hint="eastAsia" w:ascii="方正楷体简体" w:hAnsi="方正楷体简体" w:eastAsia="方正楷体简体" w:cs="方正楷体简体"/>
          <w:b/>
          <w:bCs w:val="0"/>
          <w:color w:val="auto"/>
          <w:sz w:val="32"/>
          <w:szCs w:val="32"/>
          <w:lang w:val="en-US" w:eastAsia="zh-CN" w:bidi="ar"/>
        </w:rPr>
        <w:t>（二）固定资产账务管理不够细致、严谨</w:t>
      </w:r>
      <w:bookmarkEnd w:id="15"/>
    </w:p>
    <w:p>
      <w:pPr>
        <w:keepNext w:val="0"/>
        <w:keepLines w:val="0"/>
        <w:pageBreakBefore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bidi="ar"/>
        </w:rPr>
      </w:pPr>
      <w:r>
        <w:rPr>
          <w:rFonts w:hint="eastAsia" w:ascii="宋体" w:hAnsi="宋体" w:eastAsia="方正仿宋简体" w:cs="方正仿宋简体"/>
          <w:bCs/>
          <w:color w:val="auto"/>
          <w:sz w:val="32"/>
          <w:szCs w:val="32"/>
          <w:lang w:val="en-US" w:eastAsia="zh-CN" w:bidi="ar"/>
        </w:rPr>
        <w:t>抽查发现，各单位固定资产账务管理普遍存在入账不及时、漏入、入账信息、金额不准确或资产台账未登记到具体使用人等问题。</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3" w:firstLineChars="200"/>
        <w:jc w:val="both"/>
        <w:textAlignment w:val="auto"/>
        <w:outlineLvl w:val="1"/>
        <w:rPr>
          <w:rFonts w:hint="eastAsia" w:ascii="方正楷体简体" w:hAnsi="方正楷体简体" w:eastAsia="方正楷体简体" w:cs="方正楷体简体"/>
          <w:b/>
          <w:bCs w:val="0"/>
          <w:color w:val="auto"/>
          <w:sz w:val="32"/>
          <w:szCs w:val="32"/>
          <w:lang w:val="en-US" w:eastAsia="zh-CN" w:bidi="ar"/>
        </w:rPr>
      </w:pPr>
      <w:bookmarkStart w:id="16" w:name="_Toc14737"/>
      <w:r>
        <w:rPr>
          <w:rFonts w:hint="eastAsia" w:ascii="方正楷体简体" w:hAnsi="方正楷体简体" w:eastAsia="方正楷体简体" w:cs="方正楷体简体"/>
          <w:b/>
          <w:bCs w:val="0"/>
          <w:color w:val="auto"/>
          <w:sz w:val="32"/>
          <w:szCs w:val="32"/>
          <w:lang w:val="en-US" w:eastAsia="zh-CN" w:bidi="ar"/>
        </w:rPr>
        <w:t>（三）项目监督工作存在薄弱环节</w:t>
      </w:r>
      <w:bookmarkEnd w:id="16"/>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 w:val="0"/>
          <w:bCs/>
          <w:color w:val="auto"/>
          <w:sz w:val="32"/>
          <w:szCs w:val="32"/>
          <w:lang w:bidi="ar"/>
        </w:rPr>
      </w:pPr>
      <w:r>
        <w:rPr>
          <w:rFonts w:hint="eastAsia" w:ascii="宋体" w:hAnsi="宋体" w:eastAsia="方正仿宋简体" w:cs="方正仿宋简体"/>
          <w:bCs/>
          <w:color w:val="auto"/>
          <w:sz w:val="32"/>
          <w:szCs w:val="32"/>
          <w:lang w:val="en-US" w:eastAsia="zh-CN" w:bidi="ar"/>
        </w:rPr>
        <w:t>项目实施过程中的上报、跟踪、反馈机制尚未真正形成，</w:t>
      </w:r>
      <w:r>
        <w:rPr>
          <w:rFonts w:hint="eastAsia" w:ascii="宋体" w:hAnsi="宋体" w:eastAsia="方正仿宋简体" w:cs="方正仿宋简体"/>
          <w:bCs/>
          <w:color w:val="auto"/>
          <w:sz w:val="32"/>
          <w:szCs w:val="32"/>
          <w:highlight w:val="none"/>
          <w:lang w:val="en-US" w:eastAsia="zh-CN" w:bidi="ar"/>
        </w:rPr>
        <w:t>对各地区项目</w:t>
      </w:r>
      <w:r>
        <w:rPr>
          <w:rFonts w:hint="eastAsia" w:ascii="宋体" w:hAnsi="宋体" w:eastAsia="方正仿宋简体" w:cs="方正仿宋简体"/>
          <w:bCs/>
          <w:color w:val="auto"/>
          <w:sz w:val="32"/>
          <w:szCs w:val="32"/>
          <w:lang w:val="en-US" w:eastAsia="zh-CN" w:bidi="ar"/>
        </w:rPr>
        <w:t>资金的使用、实施等监管措施仍然存在改进的空间。</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宋体" w:hAnsi="宋体" w:eastAsia="黑体" w:cs="黑体"/>
          <w:b w:val="0"/>
          <w:bCs/>
          <w:color w:val="000000" w:themeColor="text1"/>
          <w:sz w:val="32"/>
          <w:szCs w:val="32"/>
          <w:lang w:eastAsia="zh-CN" w:bidi="ar"/>
          <w14:textFill>
            <w14:solidFill>
              <w14:schemeClr w14:val="tx1"/>
            </w14:solidFill>
          </w14:textFill>
        </w:rPr>
      </w:pPr>
      <w:r>
        <w:rPr>
          <w:rFonts w:hint="eastAsia" w:ascii="宋体" w:hAnsi="宋体" w:eastAsia="黑体" w:cs="黑体"/>
          <w:b w:val="0"/>
          <w:bCs/>
          <w:color w:val="000000" w:themeColor="text1"/>
          <w:sz w:val="32"/>
          <w:szCs w:val="32"/>
          <w:lang w:eastAsia="zh-CN" w:bidi="ar"/>
          <w14:textFill>
            <w14:solidFill>
              <w14:schemeClr w14:val="tx1"/>
            </w14:solidFill>
          </w14:textFill>
        </w:rPr>
        <w:t>六、改进措施和建议：</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3" w:firstLineChars="200"/>
        <w:jc w:val="both"/>
        <w:textAlignment w:val="auto"/>
        <w:outlineLvl w:val="1"/>
        <w:rPr>
          <w:rFonts w:hint="eastAsia" w:ascii="方正楷体简体" w:hAnsi="方正楷体简体" w:eastAsia="方正楷体简体" w:cs="方正楷体简体"/>
          <w:b/>
          <w:bCs w:val="0"/>
          <w:color w:val="auto"/>
          <w:sz w:val="32"/>
          <w:szCs w:val="32"/>
          <w:lang w:val="en-US" w:eastAsia="zh-CN" w:bidi="ar"/>
        </w:rPr>
      </w:pPr>
      <w:bookmarkStart w:id="17" w:name="_Toc24446"/>
      <w:bookmarkStart w:id="18" w:name="_Toc26203"/>
      <w:r>
        <w:rPr>
          <w:rFonts w:hint="eastAsia" w:ascii="方正楷体简体" w:hAnsi="方正楷体简体" w:eastAsia="方正楷体简体" w:cs="方正楷体简体"/>
          <w:b/>
          <w:bCs w:val="0"/>
          <w:color w:val="auto"/>
          <w:sz w:val="32"/>
          <w:szCs w:val="32"/>
          <w:lang w:val="en-US" w:eastAsia="zh-CN" w:bidi="ar"/>
        </w:rPr>
        <w:t>（一）强化部门绩效管理体系建设</w:t>
      </w:r>
      <w:bookmarkEnd w:id="17"/>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bidi="ar"/>
        </w:rPr>
      </w:pPr>
      <w:r>
        <w:rPr>
          <w:rFonts w:hint="eastAsia" w:ascii="宋体" w:hAnsi="宋体" w:eastAsia="方正仿宋简体" w:cs="方正仿宋简体"/>
          <w:bCs/>
          <w:color w:val="auto"/>
          <w:sz w:val="32"/>
          <w:szCs w:val="32"/>
          <w:lang w:val="en-US" w:eastAsia="zh-CN" w:bidi="ar"/>
        </w:rP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3" w:firstLineChars="200"/>
        <w:jc w:val="both"/>
        <w:textAlignment w:val="auto"/>
        <w:outlineLvl w:val="1"/>
        <w:rPr>
          <w:rFonts w:hint="eastAsia" w:ascii="方正楷体简体" w:hAnsi="方正楷体简体" w:eastAsia="方正楷体简体" w:cs="方正楷体简体"/>
          <w:b/>
          <w:bCs w:val="0"/>
          <w:color w:val="auto"/>
          <w:sz w:val="32"/>
          <w:szCs w:val="32"/>
          <w:lang w:val="en-US" w:eastAsia="zh-CN" w:bidi="ar"/>
        </w:rPr>
      </w:pPr>
      <w:bookmarkStart w:id="19" w:name="_Toc14981"/>
      <w:r>
        <w:rPr>
          <w:rFonts w:hint="eastAsia" w:ascii="方正楷体简体" w:hAnsi="方正楷体简体" w:eastAsia="方正楷体简体" w:cs="方正楷体简体"/>
          <w:b/>
          <w:bCs w:val="0"/>
          <w:color w:val="auto"/>
          <w:sz w:val="32"/>
          <w:szCs w:val="32"/>
          <w:lang w:val="en-US" w:eastAsia="zh-CN" w:bidi="ar"/>
        </w:rPr>
        <w:t>（二）加强固定资产账务管理，确保账实相符</w:t>
      </w:r>
      <w:bookmarkEnd w:id="19"/>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Cs/>
          <w:color w:val="auto"/>
          <w:sz w:val="32"/>
          <w:szCs w:val="32"/>
          <w:lang w:val="en-US" w:eastAsia="zh-CN" w:bidi="ar"/>
        </w:rPr>
      </w:pPr>
      <w:r>
        <w:rPr>
          <w:rFonts w:hint="eastAsia" w:ascii="宋体" w:hAnsi="宋体" w:eastAsia="方正仿宋简体" w:cs="方正仿宋简体"/>
          <w:bCs/>
          <w:color w:val="auto"/>
          <w:sz w:val="32"/>
          <w:szCs w:val="32"/>
          <w:lang w:val="en-US" w:eastAsia="zh-CN" w:bidi="ar"/>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3" w:firstLineChars="200"/>
        <w:jc w:val="both"/>
        <w:textAlignment w:val="auto"/>
        <w:outlineLvl w:val="1"/>
        <w:rPr>
          <w:rFonts w:hint="eastAsia" w:ascii="方正楷体简体" w:hAnsi="方正楷体简体" w:eastAsia="方正楷体简体" w:cs="方正楷体简体"/>
          <w:b/>
          <w:bCs w:val="0"/>
          <w:color w:val="auto"/>
          <w:sz w:val="32"/>
          <w:szCs w:val="32"/>
          <w:lang w:val="en-US" w:eastAsia="zh-CN" w:bidi="ar"/>
        </w:rPr>
      </w:pPr>
      <w:bookmarkStart w:id="20" w:name="_Toc18250"/>
      <w:r>
        <w:rPr>
          <w:rFonts w:hint="eastAsia" w:ascii="方正楷体简体" w:hAnsi="方正楷体简体" w:eastAsia="方正楷体简体" w:cs="方正楷体简体"/>
          <w:b/>
          <w:bCs w:val="0"/>
          <w:color w:val="auto"/>
          <w:sz w:val="32"/>
          <w:szCs w:val="32"/>
          <w:lang w:val="en-US" w:eastAsia="zh-CN" w:bidi="ar"/>
        </w:rPr>
        <w:t>（三）建立动态分析管理机制，提高项目监管主动性</w:t>
      </w:r>
      <w:bookmarkEnd w:id="20"/>
    </w:p>
    <w:p>
      <w:pPr>
        <w:keepNext w:val="0"/>
        <w:keepLines w:val="0"/>
        <w:pageBreakBefore w:val="0"/>
        <w:widowControl/>
        <w:suppressLineNumbers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b w:val="0"/>
          <w:bCs/>
          <w:color w:val="000000" w:themeColor="text1"/>
          <w:kern w:val="2"/>
          <w:sz w:val="32"/>
          <w:szCs w:val="32"/>
          <w:lang w:val="en-US" w:eastAsia="zh-CN" w:bidi="ar"/>
          <w14:textFill>
            <w14:solidFill>
              <w14:schemeClr w14:val="tx1"/>
            </w14:solidFill>
          </w14:textFill>
        </w:rPr>
      </w:pPr>
      <w:r>
        <w:rPr>
          <w:rFonts w:hint="eastAsia" w:ascii="宋体" w:hAnsi="宋体" w:eastAsia="方正仿宋简体" w:cs="方正仿宋简体"/>
          <w:bCs/>
          <w:color w:val="auto"/>
          <w:sz w:val="32"/>
          <w:szCs w:val="32"/>
          <w:lang w:val="en-US" w:eastAsia="zh-CN" w:bidi="ar"/>
        </w:rPr>
        <w:t>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13"/>
        <w:keepNext w:val="0"/>
        <w:keepLines w:val="0"/>
        <w:pageBreakBefore w:val="0"/>
        <w:numPr>
          <w:ilvl w:val="0"/>
          <w:numId w:val="2"/>
        </w:numPr>
        <w:kinsoku/>
        <w:wordWrap/>
        <w:overflowPunct/>
        <w:topLinePunct w:val="0"/>
        <w:autoSpaceDE/>
        <w:autoSpaceDN/>
        <w:bidi w:val="0"/>
        <w:adjustRightInd/>
        <w:snapToGrid w:val="0"/>
        <w:spacing w:line="560" w:lineRule="exact"/>
        <w:ind w:left="0" w:leftChars="0" w:firstLine="640" w:firstLineChars="200"/>
        <w:jc w:val="both"/>
        <w:textAlignment w:val="auto"/>
        <w:outlineLvl w:val="0"/>
        <w:rPr>
          <w:rFonts w:hint="eastAsia" w:ascii="宋体" w:hAnsi="宋体" w:eastAsia="方正仿宋简体" w:cs="方正仿宋简体"/>
          <w:bCs/>
          <w:kern w:val="2"/>
          <w:sz w:val="32"/>
          <w:szCs w:val="32"/>
          <w:lang w:val="en-US" w:eastAsia="zh-CN" w:bidi="ar-SA"/>
        </w:rPr>
      </w:pPr>
      <w:r>
        <w:rPr>
          <w:rFonts w:hint="eastAsia" w:ascii="宋体" w:hAnsi="宋体" w:eastAsia="黑体" w:cs="黑体"/>
          <w:b w:val="0"/>
          <w:bCs/>
          <w:color w:val="000000" w:themeColor="text1"/>
          <w:kern w:val="2"/>
          <w:sz w:val="32"/>
          <w:szCs w:val="32"/>
          <w:lang w:val="en-US" w:eastAsia="zh-CN" w:bidi="ar"/>
          <w14:textFill>
            <w14:solidFill>
              <w14:schemeClr w14:val="tx1"/>
            </w14:solidFill>
          </w14:textFill>
        </w:rPr>
        <w:t>附表：</w:t>
      </w:r>
      <w:r>
        <w:rPr>
          <w:rFonts w:hint="eastAsia" w:ascii="宋体" w:hAnsi="宋体" w:eastAsia="方正仿宋简体" w:cs="方正仿宋简体"/>
          <w:bCs/>
          <w:kern w:val="2"/>
          <w:sz w:val="32"/>
          <w:szCs w:val="32"/>
          <w:lang w:val="en-US" w:eastAsia="zh-CN" w:bidi="ar-SA"/>
        </w:rPr>
        <w:t>《部门整体支出绩效目标自评表》</w:t>
      </w:r>
      <w:bookmarkEnd w:id="18"/>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p>
      <w:pPr>
        <w:pStyle w:val="13"/>
        <w:keepNext w:val="0"/>
        <w:keepLines w:val="0"/>
        <w:pageBreakBefore w:val="0"/>
        <w:numPr>
          <w:ilvl w:val="0"/>
          <w:numId w:val="0"/>
        </w:numPr>
        <w:kinsoku/>
        <w:wordWrap/>
        <w:overflowPunct/>
        <w:topLinePunct w:val="0"/>
        <w:autoSpaceDE/>
        <w:autoSpaceDN/>
        <w:bidi w:val="0"/>
        <w:adjustRightInd/>
        <w:snapToGrid w:val="0"/>
        <w:spacing w:line="560" w:lineRule="exact"/>
        <w:ind w:leftChars="200"/>
        <w:jc w:val="both"/>
        <w:textAlignment w:val="auto"/>
        <w:outlineLvl w:val="0"/>
        <w:rPr>
          <w:rFonts w:hint="eastAsia" w:ascii="宋体" w:hAnsi="宋体" w:eastAsia="方正仿宋简体" w:cs="方正仿宋简体"/>
          <w:bCs/>
          <w:kern w:val="2"/>
          <w:sz w:val="32"/>
          <w:szCs w:val="32"/>
          <w:lang w:val="en-US" w:eastAsia="zh-CN" w:bidi="ar-SA"/>
        </w:rPr>
      </w:pPr>
    </w:p>
    <w:tbl>
      <w:tblPr>
        <w:tblStyle w:val="6"/>
        <w:tblW w:w="96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6"/>
        <w:gridCol w:w="1245"/>
        <w:gridCol w:w="1425"/>
        <w:gridCol w:w="1335"/>
        <w:gridCol w:w="1275"/>
        <w:gridCol w:w="939"/>
        <w:gridCol w:w="1080"/>
        <w:gridCol w:w="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2" w:hRule="atLeast"/>
        </w:trPr>
        <w:tc>
          <w:tcPr>
            <w:tcW w:w="963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963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部门（单位）名称</w:t>
            </w:r>
          </w:p>
        </w:tc>
        <w:tc>
          <w:tcPr>
            <w:tcW w:w="81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霍尔果斯市人民政府外事办公室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部门资金（万元）</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资金来源</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全年预算数</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全年执行数</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执行率</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年度总资金</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346.42</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315.06</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307.06</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97.46%</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上级资金：</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本级资金：</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346.42</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315.06</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307.06</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5"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年度总体目标</w:t>
            </w:r>
          </w:p>
        </w:tc>
        <w:tc>
          <w:tcPr>
            <w:tcW w:w="400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预期目标</w:t>
            </w:r>
          </w:p>
        </w:tc>
        <w:tc>
          <w:tcPr>
            <w:tcW w:w="4149"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99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外事工作坚持以习近平新时代中国特色社会主义思想为指导，深入贯彻落实习近平新时代外交思想和中央外事工作会议精神，立足“一带一路”合作倡议的标杆和示范目标定位，扎实推进各项工作开展，较好完成了会晤会谈、往来函件翻译、宣传视频拍摄、参访点位打造、边界堪踏、辖区入境人员走访、涉外团体接待等工作，保障对外工作正常运转，对外沟通、交流、宣传工作落实到位。</w:t>
            </w:r>
          </w:p>
        </w:tc>
        <w:tc>
          <w:tcPr>
            <w:tcW w:w="414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外事工作坚持以习近平新时代中国特色社会主义思想为指导，深入贯彻落实习近平新时代外交思想和中央外事工作会议精神，立足“一带一路”合作倡议的标杆和示范目标定位，扎实推进各项工作开展，较好完成了会晤会谈33次、往来函件翻译93封、宣传视频拍摄75部、参访点位打造10条、边界堪踏4次、辖区入境人员走访4次、涉外团体接待21批（次），有效保障对外工作正常运转，对外沟通、交流、宣传工作落实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2"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预期指标值</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指标值设定依据</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实际完成指标值</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履职效能</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召开中哈会晤次数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&gt;=12次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拍摄外宣视频数量</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&gt;=120部</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75部</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翻译中哈往来信件数量</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&gt;=60封</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93封</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边界巡查次数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服务走访我辖区入境人员次数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打造涉外参访点位数量</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&gt;=10个</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10个</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接待涉外团体次数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&gt;=4次</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霍尔果斯市人民政府外事办公室2023年 工作总结及2024年工作计划</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21次</w:t>
            </w:r>
          </w:p>
        </w:tc>
        <w:tc>
          <w:tcPr>
            <w:tcW w:w="8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bl>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jc w:val="both"/>
        <w:textAlignment w:val="auto"/>
        <w:rPr>
          <w:rFonts w:hint="eastAsia" w:ascii="宋体" w:hAnsi="宋体" w:eastAsia="方正仿宋简体" w:cs="方正仿宋简体"/>
          <w:sz w:val="32"/>
          <w:szCs w:val="32"/>
        </w:rPr>
      </w:pPr>
    </w:p>
    <w:sectPr>
      <w:pgSz w:w="11906" w:h="16838"/>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楷体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EC31A"/>
    <w:multiLevelType w:val="singleLevel"/>
    <w:tmpl w:val="052EC31A"/>
    <w:lvl w:ilvl="0" w:tentative="0">
      <w:start w:val="7"/>
      <w:numFmt w:val="chineseCounting"/>
      <w:suff w:val="nothing"/>
      <w:lvlText w:val="%1、"/>
      <w:lvlJc w:val="left"/>
      <w:rPr>
        <w:rFonts w:hint="eastAsia"/>
      </w:rPr>
    </w:lvl>
  </w:abstractNum>
  <w:abstractNum w:abstractNumId="1">
    <w:nsid w:val="192C4A7A"/>
    <w:multiLevelType w:val="singleLevel"/>
    <w:tmpl w:val="192C4A7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12B486B"/>
    <w:rsid w:val="015E253B"/>
    <w:rsid w:val="020B07BA"/>
    <w:rsid w:val="02656D15"/>
    <w:rsid w:val="04737990"/>
    <w:rsid w:val="06052002"/>
    <w:rsid w:val="065918C7"/>
    <w:rsid w:val="06696209"/>
    <w:rsid w:val="076872D4"/>
    <w:rsid w:val="0ACB27EA"/>
    <w:rsid w:val="0B741F08"/>
    <w:rsid w:val="0D1922F1"/>
    <w:rsid w:val="0DAC69DA"/>
    <w:rsid w:val="0FE856F4"/>
    <w:rsid w:val="10DF6E84"/>
    <w:rsid w:val="1438599A"/>
    <w:rsid w:val="144B77CD"/>
    <w:rsid w:val="14BA6D17"/>
    <w:rsid w:val="18F476FB"/>
    <w:rsid w:val="1922234A"/>
    <w:rsid w:val="1937726F"/>
    <w:rsid w:val="1F380825"/>
    <w:rsid w:val="200F4073"/>
    <w:rsid w:val="23812F8F"/>
    <w:rsid w:val="242B6136"/>
    <w:rsid w:val="24B86128"/>
    <w:rsid w:val="277C77FE"/>
    <w:rsid w:val="27E83033"/>
    <w:rsid w:val="28214758"/>
    <w:rsid w:val="28AB141D"/>
    <w:rsid w:val="29A975E0"/>
    <w:rsid w:val="2CBA1180"/>
    <w:rsid w:val="2DB50BBD"/>
    <w:rsid w:val="2F680D06"/>
    <w:rsid w:val="341A2702"/>
    <w:rsid w:val="35CD4021"/>
    <w:rsid w:val="38402264"/>
    <w:rsid w:val="3B6A3D29"/>
    <w:rsid w:val="3B973DFE"/>
    <w:rsid w:val="3BA6048D"/>
    <w:rsid w:val="3C173571"/>
    <w:rsid w:val="3D5902A8"/>
    <w:rsid w:val="3F3B6A76"/>
    <w:rsid w:val="441347DA"/>
    <w:rsid w:val="48107EDC"/>
    <w:rsid w:val="49082215"/>
    <w:rsid w:val="4A92045C"/>
    <w:rsid w:val="4AF416B4"/>
    <w:rsid w:val="4C2B2596"/>
    <w:rsid w:val="4E234FB1"/>
    <w:rsid w:val="516C2A78"/>
    <w:rsid w:val="51C70EA9"/>
    <w:rsid w:val="54F842B6"/>
    <w:rsid w:val="56177B3D"/>
    <w:rsid w:val="56617B1E"/>
    <w:rsid w:val="588D34AE"/>
    <w:rsid w:val="5985031E"/>
    <w:rsid w:val="5CC306AE"/>
    <w:rsid w:val="623A060C"/>
    <w:rsid w:val="64F5745B"/>
    <w:rsid w:val="656071F2"/>
    <w:rsid w:val="65CE779C"/>
    <w:rsid w:val="67890CAD"/>
    <w:rsid w:val="68B809D1"/>
    <w:rsid w:val="6A7B414C"/>
    <w:rsid w:val="6AD74335"/>
    <w:rsid w:val="6BF1756B"/>
    <w:rsid w:val="6CFD121F"/>
    <w:rsid w:val="6F5E1AA3"/>
    <w:rsid w:val="71207952"/>
    <w:rsid w:val="71D07B1E"/>
    <w:rsid w:val="71E437B8"/>
    <w:rsid w:val="73EB484A"/>
    <w:rsid w:val="74421622"/>
    <w:rsid w:val="782A3C69"/>
    <w:rsid w:val="7B430CF1"/>
    <w:rsid w:val="7DA94D4D"/>
    <w:rsid w:val="7EEF13C0"/>
    <w:rsid w:val="7F09460D"/>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bCs/>
    </w:rPr>
  </w:style>
  <w:style w:type="paragraph" w:customStyle="1" w:styleId="9">
    <w:name w:val="Body Text First Indent 21"/>
    <w:basedOn w:val="10"/>
    <w:next w:val="1"/>
    <w:qFormat/>
    <w:uiPriority w:val="0"/>
    <w:pPr>
      <w:ind w:firstLine="420" w:firstLineChars="200"/>
    </w:pPr>
  </w:style>
  <w:style w:type="paragraph" w:customStyle="1" w:styleId="10">
    <w:name w:val="Body Text Indent1"/>
    <w:basedOn w:val="1"/>
    <w:qFormat/>
    <w:uiPriority w:val="0"/>
    <w:pPr>
      <w:spacing w:after="120"/>
      <w:ind w:left="420" w:leftChars="200"/>
    </w:pPr>
  </w:style>
  <w:style w:type="character" w:customStyle="1" w:styleId="11">
    <w:name w:val="页眉 字符"/>
    <w:basedOn w:val="7"/>
    <w:link w:val="5"/>
    <w:qFormat/>
    <w:uiPriority w:val="99"/>
    <w:rPr>
      <w:sz w:val="18"/>
      <w:szCs w:val="18"/>
    </w:rPr>
  </w:style>
  <w:style w:type="character" w:customStyle="1" w:styleId="12">
    <w:name w:val="页脚 字符"/>
    <w:basedOn w:val="7"/>
    <w:link w:val="4"/>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5342</Words>
  <Characters>5780</Characters>
  <Lines>2</Lines>
  <Paragraphs>1</Paragraphs>
  <TotalTime>23</TotalTime>
  <ScaleCrop>false</ScaleCrop>
  <LinksUpToDate>false</LinksUpToDate>
  <CharactersWithSpaces>5929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2025-11-13T04:45:42Z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9A3FA282C7434812A8CA30AAFEFE0715_13</vt:lpwstr>
  </property>
  <property fmtid="{D5CDD505-2E9C-101B-9397-08002B2CF9AE}" pid="4" name="KSOTemplateDocerSaveRecord">
    <vt:lpwstr>eyJoZGlkIjoiNzE4ZjJlODM3ODZmYzAzMjk5M2FjNTE2YzIzYjJjMmIiLCJ1c2VySWQiOiIxMjU0OTc0OTg4In0=</vt:lpwstr>
  </property>
</Properties>
</file>