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hint="eastAsia" w:ascii="方正小标宋_GBK" w:hAnsi="华文中宋" w:eastAsia="方正小标宋_GBK" w:cs="宋体"/>
          <w:b/>
          <w:kern w:val="0"/>
          <w:sz w:val="48"/>
          <w:szCs w:val="48"/>
          <w:lang w:val="en-US" w:eastAsia="zh-CN"/>
        </w:rPr>
      </w:pPr>
      <w:r>
        <w:rPr>
          <w:rFonts w:hint="eastAsia" w:ascii="方正小标宋_GBK" w:hAnsi="华文中宋" w:eastAsia="方正小标宋_GBK" w:cs="宋体"/>
          <w:b/>
          <w:kern w:val="0"/>
          <w:sz w:val="48"/>
          <w:szCs w:val="48"/>
          <w:lang w:val="en-US" w:eastAsia="zh-CN"/>
        </w:rPr>
        <w:t>霍尔果斯市人民代表大会常务委员会</w:t>
      </w:r>
    </w:p>
    <w:p>
      <w:pPr>
        <w:spacing w:line="540" w:lineRule="exact"/>
        <w:jc w:val="center"/>
        <w:rPr>
          <w:rFonts w:hint="eastAsia" w:ascii="方正小标宋_GBK" w:hAnsi="华文中宋" w:eastAsia="方正小标宋_GBK" w:cs="宋体"/>
          <w:b/>
          <w:kern w:val="0"/>
          <w:sz w:val="48"/>
          <w:szCs w:val="48"/>
          <w:lang w:val="en-US" w:eastAsia="zh-CN"/>
        </w:rPr>
      </w:pPr>
      <w:r>
        <w:rPr>
          <w:rFonts w:hint="eastAsia" w:ascii="方正小标宋_GBK" w:hAnsi="华文中宋" w:eastAsia="方正小标宋_GBK" w:cs="宋体"/>
          <w:b/>
          <w:kern w:val="0"/>
          <w:sz w:val="48"/>
          <w:szCs w:val="48"/>
          <w:lang w:val="en-US" w:eastAsia="zh-CN"/>
        </w:rPr>
        <w:t>整体支出绩效自评报告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2024</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jc w:val="left"/>
        <w:rPr>
          <w:rFonts w:hint="eastAsia" w:hAnsi="宋体" w:eastAsia="仿宋_GB2312" w:cs="宋体"/>
          <w:kern w:val="0"/>
          <w:sz w:val="36"/>
          <w:szCs w:val="36"/>
        </w:rPr>
      </w:pPr>
    </w:p>
    <w:p>
      <w:pPr>
        <w:spacing w:line="700" w:lineRule="exact"/>
        <w:jc w:val="left"/>
        <w:rPr>
          <w:rFonts w:hint="eastAsia" w:hAnsi="宋体" w:eastAsia="仿宋_GB2312" w:cs="宋体"/>
          <w:kern w:val="0"/>
          <w:sz w:val="36"/>
          <w:szCs w:val="36"/>
        </w:rPr>
      </w:pPr>
    </w:p>
    <w:p>
      <w:pPr>
        <w:spacing w:line="700" w:lineRule="exact"/>
        <w:ind w:firstLine="849" w:firstLineChars="236"/>
        <w:jc w:val="left"/>
        <w:rPr>
          <w:rFonts w:hint="eastAsia" w:ascii="Times New Roman" w:hAnsi="宋体" w:eastAsia="仿宋_GB2312" w:cs="宋体"/>
          <w:kern w:val="0"/>
          <w:sz w:val="36"/>
          <w:szCs w:val="36"/>
          <w:lang w:eastAsia="zh-CN"/>
        </w:rPr>
      </w:pPr>
      <w:r>
        <w:rPr>
          <w:rFonts w:hint="eastAsia" w:hAnsi="宋体" w:eastAsia="仿宋_GB2312" w:cs="宋体"/>
          <w:kern w:val="0"/>
          <w:sz w:val="36"/>
          <w:szCs w:val="36"/>
        </w:rPr>
        <w:t>部门单位名称（公章）：</w:t>
      </w:r>
      <w:r>
        <w:rPr>
          <w:rFonts w:hint="eastAsia" w:ascii="Times New Roman" w:hAnsi="宋体" w:eastAsia="仿宋_GB2312" w:cs="宋体"/>
          <w:kern w:val="0"/>
          <w:sz w:val="36"/>
          <w:szCs w:val="36"/>
          <w:lang w:eastAsia="zh-CN"/>
        </w:rPr>
        <w:t>霍尔果斯市人民代表大会常务委员会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2025</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 xml:space="preserve"> 月</w:t>
      </w:r>
      <w:r>
        <w:rPr>
          <w:rFonts w:hint="eastAsia" w:hAnsi="宋体" w:eastAsia="仿宋_GB2312" w:cs="宋体"/>
          <w:kern w:val="0"/>
          <w:sz w:val="36"/>
          <w:szCs w:val="36"/>
          <w:lang w:val="en-US" w:eastAsia="zh-CN"/>
        </w:rPr>
        <w:t>15</w:t>
      </w:r>
      <w:r>
        <w:rPr>
          <w:rFonts w:hint="eastAsia" w:hAnsi="宋体" w:eastAsia="仿宋_GB2312" w:cs="宋体"/>
          <w:kern w:val="0"/>
          <w:sz w:val="36"/>
          <w:szCs w:val="36"/>
        </w:rPr>
        <w:t>日</w:t>
      </w:r>
    </w:p>
    <w:p>
      <w:pPr>
        <w:spacing w:line="700" w:lineRule="exact"/>
        <w:ind w:firstLine="0" w:firstLineChars="0"/>
        <w:jc w:val="left"/>
        <w:rPr>
          <w:rFonts w:hAnsi="宋体" w:eastAsia="仿宋_GB2312" w:cs="宋体"/>
          <w:kern w:val="0"/>
          <w:sz w:val="36"/>
          <w:szCs w:val="36"/>
        </w:rPr>
        <w:sectPr>
          <w:pgSz w:w="11906" w:h="16838"/>
          <w:pgMar w:top="1440" w:right="1800" w:bottom="1440" w:left="1800" w:header="851" w:footer="992" w:gutter="0"/>
          <w:cols w:space="720"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textAlignment w:val="auto"/>
        <w:outlineLvl w:val="0"/>
        <w:rPr>
          <w:rFonts w:hint="eastAsia" w:ascii="黑体" w:hAnsi="黑体" w:eastAsia="黑体" w:cs="宋体"/>
          <w:b w:val="0"/>
          <w:bCs/>
          <w:color w:val="333333"/>
          <w:sz w:val="32"/>
          <w:szCs w:val="32"/>
          <w:lang w:bidi="ar"/>
        </w:rPr>
      </w:pPr>
      <w:bookmarkStart w:id="0" w:name="_Toc17212"/>
      <w:r>
        <w:rPr>
          <w:rFonts w:hint="eastAsia" w:ascii="黑体" w:hAnsi="黑体" w:eastAsia="黑体" w:cs="宋体"/>
          <w:b w:val="0"/>
          <w:bCs/>
          <w:color w:val="333333"/>
          <w:sz w:val="32"/>
          <w:szCs w:val="32"/>
          <w:lang w:val="en-US" w:eastAsia="zh-CN" w:bidi="ar"/>
        </w:rPr>
        <w:t>一、</w:t>
      </w:r>
      <w:r>
        <w:rPr>
          <w:rFonts w:hint="eastAsia" w:ascii="黑体" w:hAnsi="黑体" w:eastAsia="黑体" w:cs="宋体"/>
          <w:b w:val="0"/>
          <w:bCs/>
          <w:color w:val="333333"/>
          <w:sz w:val="32"/>
          <w:szCs w:val="32"/>
          <w:lang w:bidi="ar"/>
        </w:rPr>
        <w:t>基本概况</w:t>
      </w:r>
      <w:bookmarkEnd w:id="0"/>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38" w:leftChars="304" w:firstLine="0" w:firstLineChars="0"/>
        <w:textAlignment w:val="auto"/>
        <w:outlineLvl w:val="1"/>
        <w:rPr>
          <w:rFonts w:hint="eastAsia" w:ascii="楷体" w:hAnsi="楷体" w:eastAsia="楷体" w:cs="楷体"/>
          <w:b/>
          <w:sz w:val="32"/>
          <w:szCs w:val="32"/>
        </w:rPr>
      </w:pPr>
      <w:bookmarkStart w:id="1" w:name="_Toc18380"/>
      <w:r>
        <w:rPr>
          <w:rFonts w:hint="eastAsia" w:ascii="楷体" w:hAnsi="楷体" w:eastAsia="楷体" w:cs="楷体"/>
          <w:b/>
          <w:sz w:val="32"/>
          <w:szCs w:val="32"/>
        </w:rPr>
        <w:t>（一）部门单位基本情况</w:t>
      </w:r>
      <w:bookmarkEnd w:id="1"/>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38" w:leftChars="304" w:firstLine="0" w:firstLineChars="0"/>
        <w:textAlignment w:val="auto"/>
        <w:rPr>
          <w:rFonts w:hint="eastAsia" w:ascii="仿宋_GB2312" w:hAnsi="仿宋_GB2312" w:eastAsia="仿宋_GB2312" w:cs="仿宋_GB2312"/>
          <w:b w:val="0"/>
          <w:bCs/>
          <w:color w:val="FF0000"/>
          <w:sz w:val="32"/>
          <w:szCs w:val="32"/>
          <w:lang w:val="en-US" w:eastAsia="zh-CN"/>
        </w:rPr>
      </w:pPr>
      <w:r>
        <w:rPr>
          <w:rFonts w:hint="eastAsia" w:ascii="Times New Roman" w:hAnsi="Times New Roman" w:eastAsia="仿宋_GB2312" w:cs="仿宋_GB2312"/>
          <w:b/>
          <w:bCs w:val="0"/>
          <w:spacing w:val="-4"/>
          <w:kern w:val="2"/>
          <w:sz w:val="32"/>
          <w:szCs w:val="32"/>
          <w:lang w:val="en-US" w:eastAsia="zh-CN" w:bidi="ar-SA"/>
        </w:rPr>
        <w:t>1</w:t>
      </w:r>
      <w:r>
        <w:rPr>
          <w:rFonts w:hint="eastAsia" w:ascii="仿宋_GB2312" w:hAnsi="仿宋_GB2312" w:eastAsia="仿宋_GB2312" w:cs="仿宋_GB2312"/>
          <w:b/>
          <w:bCs w:val="0"/>
          <w:spacing w:val="-4"/>
          <w:kern w:val="2"/>
          <w:sz w:val="32"/>
          <w:szCs w:val="32"/>
          <w:lang w:val="en-US" w:eastAsia="zh-CN" w:bidi="ar-SA"/>
        </w:rPr>
        <w:t>.主要职能</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1、</w:t>
      </w:r>
      <w:r>
        <w:rPr>
          <w:rFonts w:hint="eastAsia" w:ascii="仿宋_GB2312" w:hAnsi="黑体" w:eastAsia="仿宋_GB2312" w:cs="宋体"/>
          <w:bCs/>
          <w:kern w:val="0"/>
          <w:sz w:val="32"/>
          <w:szCs w:val="32"/>
        </w:rPr>
        <w:t>在本市范围内，保证宪法、法律、行政法规和上级人民代表大会及其常务委员会决议的遵守和执行；</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2、</w:t>
      </w:r>
      <w:r>
        <w:rPr>
          <w:rFonts w:hint="eastAsia" w:ascii="仿宋_GB2312" w:hAnsi="黑体" w:eastAsia="仿宋_GB2312" w:cs="宋体"/>
          <w:bCs/>
          <w:kern w:val="0"/>
          <w:sz w:val="32"/>
          <w:szCs w:val="32"/>
        </w:rPr>
        <w:t>领导或者主持本级人民代表大会代表的选举；</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3、</w:t>
      </w:r>
      <w:r>
        <w:rPr>
          <w:rFonts w:hint="eastAsia" w:ascii="仿宋_GB2312" w:hAnsi="黑体" w:eastAsia="仿宋_GB2312" w:cs="宋体"/>
          <w:bCs/>
          <w:kern w:val="0"/>
          <w:sz w:val="32"/>
          <w:szCs w:val="32"/>
        </w:rPr>
        <w:t>召集市人民代表大会会议，在本级人民代表大会闭会期间，补选上一级人民代表大会出缺的代表和罢免个别代表；</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4、</w:t>
      </w:r>
      <w:r>
        <w:rPr>
          <w:rFonts w:hint="eastAsia" w:ascii="仿宋_GB2312" w:hAnsi="黑体" w:eastAsia="仿宋_GB2312" w:cs="宋体"/>
          <w:bCs/>
          <w:kern w:val="0"/>
          <w:sz w:val="32"/>
          <w:szCs w:val="32"/>
        </w:rPr>
        <w:t>讨论、决定本区的政治、经济、教育、科学、文化、</w:t>
      </w:r>
    </w:p>
    <w:p>
      <w:pPr>
        <w:keepNext w:val="0"/>
        <w:keepLines w:val="0"/>
        <w:pageBreakBefore w:val="0"/>
        <w:widowControl/>
        <w:kinsoku/>
        <w:wordWrap/>
        <w:overflowPunct/>
        <w:topLinePunct w:val="0"/>
        <w:autoSpaceDE/>
        <w:autoSpaceDN/>
        <w:bidi w:val="0"/>
        <w:adjustRightInd/>
        <w:spacing w:line="560" w:lineRule="exact"/>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卫生、环境和资源保护、民政、民族等工作的重大事项；</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5、</w:t>
      </w:r>
      <w:r>
        <w:rPr>
          <w:rFonts w:hint="eastAsia" w:ascii="仿宋_GB2312" w:hAnsi="黑体" w:eastAsia="仿宋_GB2312" w:cs="宋体"/>
          <w:bCs/>
          <w:kern w:val="0"/>
          <w:sz w:val="32"/>
          <w:szCs w:val="32"/>
        </w:rPr>
        <w:t>根据市人民政府的建议，决定对本区内的国民经济和社会发展计划、预算的部分变更；</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5、</w:t>
      </w:r>
      <w:r>
        <w:rPr>
          <w:rFonts w:hint="eastAsia" w:ascii="仿宋_GB2312" w:hAnsi="黑体" w:eastAsia="仿宋_GB2312" w:cs="宋体"/>
          <w:bCs/>
          <w:kern w:val="0"/>
          <w:sz w:val="32"/>
          <w:szCs w:val="32"/>
        </w:rPr>
        <w:t>监督市人民政府、人民法院和人民检察院的工作，联系市人大代表，组织、指导人大代表联组开展工作活动，受理人民群众对上述机关和国家工作人员的申述和意见；</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7、</w:t>
      </w:r>
      <w:r>
        <w:rPr>
          <w:rFonts w:hint="eastAsia" w:ascii="仿宋_GB2312" w:hAnsi="黑体" w:eastAsia="仿宋_GB2312" w:cs="宋体"/>
          <w:bCs/>
          <w:kern w:val="0"/>
          <w:sz w:val="32"/>
          <w:szCs w:val="32"/>
        </w:rPr>
        <w:t>撤销本级人民政府的不适当的决定和命令；</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8、</w:t>
      </w:r>
      <w:r>
        <w:rPr>
          <w:rFonts w:hint="eastAsia" w:ascii="仿宋_GB2312" w:hAnsi="黑体" w:eastAsia="仿宋_GB2312" w:cs="宋体"/>
          <w:bCs/>
          <w:kern w:val="0"/>
          <w:sz w:val="32"/>
          <w:szCs w:val="32"/>
        </w:rPr>
        <w:t>依照法律规定的权限决定国家机关工作人员的任免；</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lang w:val="en-US" w:eastAsia="zh-CN"/>
        </w:rPr>
        <w:t>9、</w:t>
      </w:r>
      <w:r>
        <w:rPr>
          <w:rFonts w:hint="eastAsia" w:ascii="仿宋_GB2312" w:hAnsi="黑体" w:eastAsia="仿宋_GB2312" w:cs="宋体"/>
          <w:bCs/>
          <w:kern w:val="0"/>
          <w:sz w:val="32"/>
          <w:szCs w:val="32"/>
        </w:rPr>
        <w:t>决定授权地方的荣誉称号；</w:t>
      </w:r>
    </w:p>
    <w:p>
      <w:pPr>
        <w:keepNext w:val="0"/>
        <w:keepLines w:val="0"/>
        <w:pageBreakBefore w:val="0"/>
        <w:widowControl/>
        <w:kinsoku/>
        <w:wordWrap/>
        <w:overflowPunct/>
        <w:topLinePunct w:val="0"/>
        <w:autoSpaceDE/>
        <w:autoSpaceDN/>
        <w:bidi w:val="0"/>
        <w:adjustRightInd/>
        <w:spacing w:line="560" w:lineRule="exact"/>
        <w:ind w:left="638" w:leftChars="304" w:firstLine="0" w:firstLineChars="0"/>
        <w:jc w:val="left"/>
        <w:textAlignment w:val="auto"/>
        <w:rPr>
          <w:rFonts w:hint="eastAsia" w:ascii="仿宋_GB2312" w:hAnsi="仿宋_GB2312" w:eastAsia="仿宋_GB2312" w:cs="仿宋_GB2312"/>
          <w:b/>
          <w:sz w:val="32"/>
          <w:szCs w:val="32"/>
        </w:rPr>
      </w:pPr>
      <w:r>
        <w:rPr>
          <w:rFonts w:hint="eastAsia" w:ascii="仿宋_GB2312" w:hAnsi="黑体" w:eastAsia="仿宋_GB2312" w:cs="宋体"/>
          <w:bCs/>
          <w:kern w:val="0"/>
          <w:sz w:val="32"/>
          <w:szCs w:val="32"/>
          <w:lang w:val="en-US" w:eastAsia="zh-CN"/>
        </w:rPr>
        <w:t>10、</w:t>
      </w:r>
      <w:r>
        <w:rPr>
          <w:rFonts w:hint="eastAsia" w:ascii="仿宋_GB2312" w:hAnsi="黑体" w:eastAsia="仿宋_GB2312" w:cs="宋体"/>
          <w:bCs/>
          <w:kern w:val="0"/>
          <w:sz w:val="32"/>
          <w:szCs w:val="32"/>
        </w:rPr>
        <w:t>行使市人民代表大会授予的其他职权。</w:t>
      </w:r>
      <w:r>
        <w:rPr>
          <w:rStyle w:val="12"/>
          <w:rFonts w:hint="eastAsia" w:ascii="Times New Roman" w:hAnsi="Times New Roman" w:eastAsia="仿宋_GB2312" w:cs="仿宋_GB2312"/>
          <w:b/>
          <w:bCs w:val="0"/>
          <w:color w:val="000000"/>
          <w:spacing w:val="-4"/>
          <w:sz w:val="32"/>
          <w:szCs w:val="32"/>
          <w:lang w:val="en-US" w:eastAsia="zh-CN"/>
        </w:rPr>
        <w:br w:type="textWrapping"/>
      </w:r>
      <w:r>
        <w:rPr>
          <w:rStyle w:val="12"/>
          <w:rFonts w:hint="eastAsia" w:ascii="Times New Roman" w:hAnsi="Times New Roman" w:eastAsia="仿宋_GB2312" w:cs="仿宋_GB2312"/>
          <w:b/>
          <w:bCs w:val="0"/>
          <w:color w:val="000000"/>
          <w:spacing w:val="-4"/>
          <w:sz w:val="32"/>
          <w:szCs w:val="32"/>
          <w:lang w:val="en-US" w:eastAsia="zh-CN"/>
        </w:rPr>
        <w:t>2</w:t>
      </w:r>
      <w:r>
        <w:rPr>
          <w:rStyle w:val="12"/>
          <w:rFonts w:hint="eastAsia" w:ascii="仿宋_GB2312" w:hAnsi="仿宋_GB2312" w:eastAsia="仿宋_GB2312" w:cs="仿宋_GB2312"/>
          <w:b/>
          <w:bCs w:val="0"/>
          <w:color w:val="000000"/>
          <w:spacing w:val="-4"/>
          <w:sz w:val="32"/>
          <w:szCs w:val="32"/>
          <w:lang w:val="en-US" w:eastAsia="zh-CN"/>
        </w:rPr>
        <w:t>.</w:t>
      </w:r>
      <w:r>
        <w:rPr>
          <w:rFonts w:hint="eastAsia" w:ascii="仿宋_GB2312" w:hAnsi="仿宋_GB2312" w:eastAsia="仿宋_GB2312" w:cs="仿宋_GB2312"/>
          <w:b/>
          <w:sz w:val="32"/>
          <w:szCs w:val="32"/>
        </w:rPr>
        <w:t>机构设置及人员情况</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Style w:val="12"/>
          <w:rFonts w:hint="eastAsia" w:ascii="仿宋_GB2312" w:hAnsi="仿宋_GB2312" w:eastAsia="仿宋_GB2312" w:cs="仿宋_GB2312"/>
          <w:b w:val="0"/>
          <w:spacing w:val="-4"/>
          <w:sz w:val="28"/>
          <w:szCs w:val="28"/>
        </w:rPr>
      </w:pPr>
      <w:r>
        <w:rPr>
          <w:rStyle w:val="12"/>
          <w:rFonts w:hint="eastAsia" w:ascii="仿宋_GB2312" w:hAnsi="仿宋_GB2312" w:eastAsia="仿宋_GB2312" w:cs="仿宋_GB2312"/>
          <w:b w:val="0"/>
          <w:spacing w:val="-4"/>
          <w:sz w:val="32"/>
          <w:szCs w:val="32"/>
          <w:lang w:eastAsia="zh-CN"/>
        </w:rPr>
        <w:t>霍尔果斯市人民代表大会常务委员会无下属预算单位，下设</w:t>
      </w:r>
      <w:r>
        <w:rPr>
          <w:rStyle w:val="12"/>
          <w:rFonts w:hint="eastAsia" w:ascii="仿宋_GB2312" w:hAnsi="仿宋_GB2312" w:eastAsia="仿宋_GB2312" w:cs="仿宋_GB2312"/>
          <w:b w:val="0"/>
          <w:spacing w:val="-4"/>
          <w:sz w:val="32"/>
          <w:szCs w:val="32"/>
          <w:lang w:val="en-US" w:eastAsia="zh-CN"/>
        </w:rPr>
        <w:t>1</w:t>
      </w:r>
      <w:r>
        <w:rPr>
          <w:rStyle w:val="12"/>
          <w:rFonts w:hint="eastAsia" w:ascii="仿宋_GB2312" w:hAnsi="仿宋_GB2312" w:eastAsia="仿宋_GB2312" w:cs="仿宋_GB2312"/>
          <w:b w:val="0"/>
          <w:spacing w:val="-4"/>
          <w:sz w:val="32"/>
          <w:szCs w:val="32"/>
          <w:lang w:eastAsia="zh-CN"/>
        </w:rPr>
        <w:t>个处室，分别是：市人大常委会办公室；专门机构4个：法制工作委员会，预算工作委员会，代表人事工作委员会，社会建设工作委员会</w:t>
      </w:r>
      <w:r>
        <w:rPr>
          <w:rStyle w:val="12"/>
          <w:rFonts w:hint="eastAsia" w:ascii="仿宋_GB2312" w:hAnsi="仿宋_GB2312" w:eastAsia="仿宋_GB2312" w:cs="仿宋_GB2312"/>
          <w:b w:val="0"/>
          <w:spacing w:val="-4"/>
          <w:sz w:val="28"/>
          <w:szCs w:val="28"/>
          <w:lang w:eastAsia="zh-CN"/>
        </w:rPr>
        <w:t>。</w:t>
      </w:r>
    </w:p>
    <w:p>
      <w:pPr>
        <w:keepNext w:val="0"/>
        <w:keepLines w:val="0"/>
        <w:pageBreakBefore w:val="0"/>
        <w:widowControl/>
        <w:kinsoku/>
        <w:wordWrap/>
        <w:overflowPunct/>
        <w:topLinePunct w:val="0"/>
        <w:autoSpaceDE/>
        <w:autoSpaceDN/>
        <w:bidi w:val="0"/>
        <w:adjustRightInd/>
        <w:snapToGrid/>
        <w:spacing w:beforeLines="0" w:line="560" w:lineRule="exact"/>
        <w:ind w:firstLine="640"/>
        <w:jc w:val="both"/>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lang w:val="en-US" w:eastAsia="zh-CN"/>
        </w:rPr>
        <w:t>霍尔果斯市人民代表大会常务委员会</w:t>
      </w:r>
      <w:r>
        <w:rPr>
          <w:rFonts w:hint="eastAsia" w:ascii="仿宋_GB2312" w:hAnsi="宋体" w:eastAsia="仿宋_GB2312" w:cs="宋体"/>
          <w:color w:val="000000"/>
          <w:kern w:val="0"/>
          <w:sz w:val="32"/>
          <w:szCs w:val="32"/>
          <w:highlight w:val="none"/>
        </w:rPr>
        <w:t>编制数</w:t>
      </w:r>
      <w:r>
        <w:rPr>
          <w:rFonts w:hint="eastAsia" w:ascii="仿宋_GB2312" w:hAnsi="宋体" w:eastAsia="仿宋_GB2312" w:cs="宋体"/>
          <w:color w:val="000000"/>
          <w:kern w:val="0"/>
          <w:sz w:val="32"/>
          <w:szCs w:val="32"/>
          <w:highlight w:val="none"/>
          <w:lang w:val="en-US" w:eastAsia="zh-CN"/>
        </w:rPr>
        <w:t>2名</w:t>
      </w:r>
      <w:r>
        <w:rPr>
          <w:rFonts w:hint="eastAsia" w:ascii="仿宋_GB2312" w:hAnsi="宋体" w:eastAsia="仿宋_GB2312" w:cs="宋体"/>
          <w:color w:val="000000"/>
          <w:kern w:val="0"/>
          <w:sz w:val="32"/>
          <w:szCs w:val="32"/>
          <w:highlight w:val="none"/>
        </w:rPr>
        <w:t>，实有人数</w:t>
      </w:r>
      <w:r>
        <w:rPr>
          <w:rFonts w:hint="eastAsia" w:ascii="仿宋_GB2312" w:hAnsi="宋体" w:eastAsia="仿宋_GB2312" w:cs="宋体"/>
          <w:color w:val="000000"/>
          <w:kern w:val="0"/>
          <w:sz w:val="32"/>
          <w:szCs w:val="32"/>
          <w:highlight w:val="none"/>
          <w:lang w:val="en-US" w:eastAsia="zh-CN"/>
        </w:rPr>
        <w:t>29</w:t>
      </w:r>
      <w:r>
        <w:rPr>
          <w:rFonts w:hint="eastAsia" w:ascii="仿宋_GB2312" w:hAnsi="宋体" w:eastAsia="仿宋_GB2312" w:cs="宋体"/>
          <w:color w:val="000000"/>
          <w:kern w:val="0"/>
          <w:sz w:val="32"/>
          <w:szCs w:val="32"/>
          <w:highlight w:val="none"/>
        </w:rPr>
        <w:t>人，其中：在职</w:t>
      </w:r>
      <w:r>
        <w:rPr>
          <w:rFonts w:hint="eastAsia" w:ascii="仿宋_GB2312" w:hAnsi="宋体" w:eastAsia="仿宋_GB2312" w:cs="宋体"/>
          <w:color w:val="000000"/>
          <w:kern w:val="0"/>
          <w:sz w:val="32"/>
          <w:szCs w:val="32"/>
          <w:highlight w:val="none"/>
          <w:lang w:val="en-US" w:eastAsia="zh-CN"/>
        </w:rPr>
        <w:t>20</w:t>
      </w:r>
      <w:r>
        <w:rPr>
          <w:rFonts w:hint="eastAsia" w:ascii="仿宋_GB2312" w:hAnsi="宋体" w:eastAsia="仿宋_GB2312" w:cs="宋体"/>
          <w:color w:val="000000"/>
          <w:kern w:val="0"/>
          <w:sz w:val="32"/>
          <w:szCs w:val="32"/>
          <w:highlight w:val="none"/>
        </w:rPr>
        <w:t>人，增加</w:t>
      </w:r>
      <w:r>
        <w:rPr>
          <w:rFonts w:hint="eastAsia" w:ascii="仿宋_GB2312" w:hAnsi="宋体" w:eastAsia="仿宋_GB2312" w:cs="宋体"/>
          <w:color w:val="000000"/>
          <w:kern w:val="0"/>
          <w:sz w:val="32"/>
          <w:szCs w:val="32"/>
          <w:highlight w:val="none"/>
          <w:lang w:val="en-US" w:eastAsia="zh-CN"/>
        </w:rPr>
        <w:t>3</w:t>
      </w:r>
      <w:r>
        <w:rPr>
          <w:rFonts w:hint="eastAsia" w:ascii="仿宋_GB2312" w:hAnsi="宋体" w:eastAsia="仿宋_GB2312" w:cs="宋体"/>
          <w:color w:val="000000"/>
          <w:kern w:val="0"/>
          <w:sz w:val="32"/>
          <w:szCs w:val="32"/>
          <w:highlight w:val="none"/>
        </w:rPr>
        <w:t>人；退休</w:t>
      </w:r>
      <w:r>
        <w:rPr>
          <w:rFonts w:hint="eastAsia" w:ascii="仿宋_GB2312" w:hAnsi="宋体" w:eastAsia="仿宋_GB2312" w:cs="宋体"/>
          <w:color w:val="000000"/>
          <w:kern w:val="0"/>
          <w:sz w:val="32"/>
          <w:szCs w:val="32"/>
          <w:highlight w:val="none"/>
          <w:lang w:val="en-US" w:eastAsia="zh-CN"/>
        </w:rPr>
        <w:t>9</w:t>
      </w:r>
      <w:r>
        <w:rPr>
          <w:rFonts w:hint="eastAsia" w:ascii="仿宋_GB2312" w:hAnsi="宋体" w:eastAsia="仿宋_GB2312" w:cs="宋体"/>
          <w:color w:val="000000"/>
          <w:kern w:val="0"/>
          <w:sz w:val="32"/>
          <w:szCs w:val="32"/>
          <w:highlight w:val="none"/>
        </w:rPr>
        <w:t>人，增加</w:t>
      </w:r>
      <w:r>
        <w:rPr>
          <w:rFonts w:hint="eastAsia" w:ascii="仿宋_GB2312" w:hAnsi="宋体" w:eastAsia="仿宋_GB2312" w:cs="宋体"/>
          <w:color w:val="000000"/>
          <w:kern w:val="0"/>
          <w:sz w:val="32"/>
          <w:szCs w:val="32"/>
          <w:highlight w:val="none"/>
          <w:lang w:val="en-US" w:eastAsia="zh-CN"/>
        </w:rPr>
        <w:t>1</w:t>
      </w:r>
      <w:r>
        <w:rPr>
          <w:rFonts w:hint="eastAsia" w:ascii="仿宋_GB2312" w:hAnsi="宋体" w:eastAsia="仿宋_GB2312" w:cs="宋体"/>
          <w:color w:val="000000"/>
          <w:kern w:val="0"/>
          <w:sz w:val="32"/>
          <w:szCs w:val="32"/>
          <w:highlight w:val="none"/>
        </w:rPr>
        <w:t>人；离休</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color w:val="000000"/>
          <w:kern w:val="0"/>
          <w:sz w:val="32"/>
          <w:szCs w:val="32"/>
          <w:highlight w:val="none"/>
        </w:rPr>
        <w:t>人，增加</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color w:val="000000"/>
          <w:kern w:val="0"/>
          <w:sz w:val="32"/>
          <w:szCs w:val="32"/>
          <w:highlight w:val="none"/>
        </w:rPr>
        <w:t>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38" w:leftChars="304" w:firstLine="0" w:firstLineChars="0"/>
        <w:textAlignment w:val="auto"/>
        <w:outlineLvl w:val="1"/>
        <w:rPr>
          <w:rFonts w:hint="eastAsia" w:ascii="楷体" w:hAnsi="楷体" w:eastAsia="楷体" w:cs="楷体"/>
          <w:b/>
          <w:sz w:val="32"/>
          <w:szCs w:val="32"/>
          <w:lang w:val="en-US" w:eastAsia="zh-CN"/>
        </w:rPr>
      </w:pPr>
      <w:bookmarkStart w:id="2" w:name="_Toc801"/>
      <w:r>
        <w:rPr>
          <w:rFonts w:hint="eastAsia" w:ascii="楷体" w:hAnsi="楷体" w:eastAsia="楷体" w:cs="楷体"/>
          <w:b/>
          <w:sz w:val="32"/>
          <w:szCs w:val="32"/>
          <w:lang w:val="en-US" w:eastAsia="zh-CN"/>
        </w:rPr>
        <w:t>（二）部门单位年度重点工作</w:t>
      </w:r>
      <w:bookmarkEnd w:id="2"/>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27" w:firstLineChars="200"/>
        <w:textAlignment w:val="auto"/>
        <w:outlineLvl w:val="2"/>
        <w:rPr>
          <w:rFonts w:hint="eastAsia" w:ascii="仿宋_GB2312" w:hAnsi="楷体" w:eastAsia="仿宋_GB2312"/>
          <w:b/>
          <w:bCs w:val="0"/>
          <w:spacing w:val="-4"/>
          <w:sz w:val="32"/>
          <w:szCs w:val="32"/>
          <w:lang w:val="en-US" w:eastAsia="zh-CN"/>
        </w:rPr>
      </w:pPr>
      <w:bookmarkStart w:id="3" w:name="_Toc8260"/>
      <w:r>
        <w:rPr>
          <w:rFonts w:hint="eastAsia" w:ascii="Times New Roman" w:hAnsi="Times New Roman" w:eastAsia="仿宋_GB2312"/>
          <w:b/>
          <w:bCs w:val="0"/>
          <w:spacing w:val="-4"/>
          <w:sz w:val="32"/>
          <w:szCs w:val="32"/>
          <w:lang w:val="en-US" w:eastAsia="zh-CN"/>
        </w:rPr>
        <w:t>1</w:t>
      </w:r>
      <w:r>
        <w:rPr>
          <w:rFonts w:hint="eastAsia" w:ascii="仿宋_GB2312" w:hAnsi="楷体" w:eastAsia="仿宋_GB2312"/>
          <w:b/>
          <w:bCs w:val="0"/>
          <w:spacing w:val="-4"/>
          <w:sz w:val="32"/>
          <w:szCs w:val="32"/>
          <w:lang w:val="en-US" w:eastAsia="zh-CN"/>
        </w:rPr>
        <w:t>.年度总体目标</w:t>
      </w:r>
      <w:bookmarkEnd w:id="3"/>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24" w:firstLineChars="200"/>
        <w:textAlignment w:val="auto"/>
        <w:outlineLvl w:val="2"/>
        <w:rPr>
          <w:rFonts w:hint="eastAsia" w:ascii="仿宋_GB2312" w:hAnsi="楷体" w:eastAsia="仿宋_GB2312"/>
          <w:b w:val="0"/>
          <w:bCs/>
          <w:color w:val="FF0000"/>
          <w:spacing w:val="-4"/>
          <w:sz w:val="32"/>
          <w:szCs w:val="32"/>
          <w:lang w:val="en-US" w:eastAsia="zh-CN"/>
        </w:rPr>
      </w:pPr>
      <w:bookmarkStart w:id="4" w:name="_Toc7397"/>
      <w:r>
        <w:rPr>
          <w:rFonts w:hint="eastAsia" w:ascii="仿宋_GB2312" w:hAnsi="楷体" w:eastAsia="仿宋_GB2312"/>
          <w:b w:val="0"/>
          <w:bCs/>
          <w:color w:val="auto"/>
          <w:spacing w:val="-4"/>
          <w:sz w:val="32"/>
          <w:szCs w:val="32"/>
          <w:lang w:val="en-US" w:eastAsia="zh-CN"/>
        </w:rPr>
        <w:t>人大会议项目主要用于霍尔果斯市第二届人民代表大会第四次会议经费及常委会、代表补选；人大代表活动项目主要用于组织人大代表培训、考察学习，代表执法检查、调研、视察等活动，人大代表外出观摩学习、培训及误工补助和代表履职补助等；人大代表联络站、工作室优化建设及工作项目主要用于代表联络站及工作室优化建设以及开展活动；伊车嘎善锡伯乡人民代表大会项目主要用于乡级人代会的召开。能够有效保障人大常委会各项工作顺利开展，聚焦聚力总目标，始终把总目标贯穿人大工作全过程。对标高质量发展的新要求，落实落细人大监督工作，注重基层建设和服务工作，代表能力全面提升。加强代表工作，为代表知情知政、履职创造良好条件。</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27" w:firstLineChars="200"/>
        <w:textAlignment w:val="auto"/>
        <w:outlineLvl w:val="2"/>
        <w:rPr>
          <w:rFonts w:hint="eastAsia" w:ascii="仿宋_GB2312" w:hAnsi="楷体" w:eastAsia="仿宋_GB2312"/>
          <w:b/>
          <w:bCs w:val="0"/>
          <w:spacing w:val="-4"/>
          <w:sz w:val="32"/>
          <w:szCs w:val="32"/>
          <w:lang w:val="en-US" w:eastAsia="zh-CN"/>
        </w:rPr>
      </w:pPr>
      <w:r>
        <w:rPr>
          <w:rFonts w:hint="eastAsia" w:ascii="Times New Roman" w:hAnsi="Times New Roman" w:eastAsia="仿宋_GB2312"/>
          <w:b/>
          <w:bCs w:val="0"/>
          <w:spacing w:val="-4"/>
          <w:sz w:val="32"/>
          <w:szCs w:val="32"/>
          <w:lang w:val="en-US" w:eastAsia="zh-CN"/>
        </w:rPr>
        <w:t>2</w:t>
      </w:r>
      <w:r>
        <w:rPr>
          <w:rFonts w:hint="eastAsia" w:ascii="仿宋_GB2312" w:hAnsi="楷体" w:eastAsia="仿宋_GB2312"/>
          <w:b/>
          <w:bCs w:val="0"/>
          <w:spacing w:val="-4"/>
          <w:sz w:val="32"/>
          <w:szCs w:val="32"/>
          <w:lang w:val="en-US" w:eastAsia="zh-CN"/>
        </w:rPr>
        <w:t>.重点工作计划</w:t>
      </w:r>
      <w:bookmarkEnd w:id="4"/>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2"/>
          <w:rFonts w:hint="eastAsia" w:ascii="仿宋_GB2312" w:hAnsi="楷体" w:eastAsia="仿宋_GB2312"/>
          <w:b w:val="0"/>
          <w:bCs w:val="0"/>
          <w:spacing w:val="-4"/>
          <w:sz w:val="32"/>
          <w:szCs w:val="32"/>
          <w:lang w:val="en-US" w:eastAsia="zh-CN"/>
        </w:rPr>
      </w:pPr>
      <w:r>
        <w:rPr>
          <w:rStyle w:val="12"/>
          <w:rFonts w:hint="eastAsia" w:ascii="仿宋_GB2312" w:hAnsi="楷体" w:eastAsia="仿宋_GB2312"/>
          <w:b w:val="0"/>
          <w:bCs w:val="0"/>
          <w:spacing w:val="-4"/>
          <w:sz w:val="32"/>
          <w:szCs w:val="32"/>
          <w:lang w:val="en-US" w:eastAsia="zh-CN"/>
        </w:rPr>
        <w:t>一是人大会议项目，计划投入25.59万元。要完成霍尔果斯市第二届人民代表大会第四次会议的成功召开，人大代表依法履职，完成年度人大代表会议的各项议程，人大代表依法履职。完成代表及与会人员食宿支出、会场布置、会议材料印刷、会议办公用品、农牧民代表参加会议务工补助等支出的目标。</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2"/>
          <w:rFonts w:hint="eastAsia" w:ascii="仿宋_GB2312" w:hAnsi="楷体" w:eastAsia="仿宋_GB2312"/>
          <w:b w:val="0"/>
          <w:bCs w:val="0"/>
          <w:spacing w:val="-4"/>
          <w:sz w:val="32"/>
          <w:szCs w:val="32"/>
          <w:lang w:eastAsia="zh-CN"/>
        </w:rPr>
      </w:pPr>
      <w:r>
        <w:rPr>
          <w:rStyle w:val="12"/>
          <w:rFonts w:hint="eastAsia" w:ascii="仿宋_GB2312" w:hAnsi="楷体" w:eastAsia="仿宋_GB2312"/>
          <w:b w:val="0"/>
          <w:bCs w:val="0"/>
          <w:spacing w:val="-4"/>
          <w:sz w:val="32"/>
          <w:szCs w:val="32"/>
          <w:lang w:eastAsia="zh-CN"/>
        </w:rPr>
        <w:t>二是人大代表活动</w:t>
      </w:r>
      <w:r>
        <w:rPr>
          <w:rStyle w:val="12"/>
          <w:rFonts w:hint="eastAsia" w:ascii="仿宋_GB2312" w:hAnsi="楷体" w:eastAsia="仿宋_GB2312"/>
          <w:b w:val="0"/>
          <w:bCs w:val="0"/>
          <w:spacing w:val="-4"/>
          <w:sz w:val="32"/>
          <w:szCs w:val="32"/>
        </w:rPr>
        <w:t>项目，计划投入</w:t>
      </w:r>
      <w:r>
        <w:rPr>
          <w:rStyle w:val="12"/>
          <w:rFonts w:hint="eastAsia" w:ascii="仿宋_GB2312" w:hAnsi="楷体" w:eastAsia="仿宋_GB2312"/>
          <w:b w:val="0"/>
          <w:bCs w:val="0"/>
          <w:spacing w:val="-4"/>
          <w:sz w:val="32"/>
          <w:szCs w:val="32"/>
          <w:lang w:val="en-US" w:eastAsia="zh-CN"/>
        </w:rPr>
        <w:t>29.78</w:t>
      </w:r>
      <w:r>
        <w:rPr>
          <w:rStyle w:val="12"/>
          <w:rFonts w:hint="eastAsia" w:ascii="仿宋_GB2312" w:hAnsi="楷体" w:eastAsia="仿宋_GB2312"/>
          <w:b w:val="0"/>
          <w:bCs w:val="0"/>
          <w:spacing w:val="-4"/>
          <w:sz w:val="32"/>
          <w:szCs w:val="32"/>
        </w:rPr>
        <w:t>万元</w:t>
      </w:r>
      <w:r>
        <w:rPr>
          <w:rStyle w:val="12"/>
          <w:rFonts w:hint="eastAsia" w:ascii="仿宋_GB2312" w:hAnsi="楷体" w:eastAsia="仿宋_GB2312"/>
          <w:b w:val="0"/>
          <w:bCs w:val="0"/>
          <w:spacing w:val="-4"/>
          <w:sz w:val="32"/>
          <w:szCs w:val="32"/>
          <w:lang w:eastAsia="zh-CN"/>
        </w:rPr>
        <w:t>。</w:t>
      </w:r>
      <w:r>
        <w:rPr>
          <w:rStyle w:val="12"/>
          <w:rFonts w:hint="eastAsia" w:ascii="仿宋_GB2312" w:hAnsi="楷体" w:eastAsia="仿宋_GB2312"/>
          <w:b w:val="0"/>
          <w:bCs w:val="0"/>
          <w:spacing w:val="-4"/>
          <w:sz w:val="32"/>
          <w:szCs w:val="32"/>
        </w:rPr>
        <w:t>要达到充分发挥人大代表积极履行宪法和法律赋予的职能，保障人大代表培训、外出考察学习、代表活动产生的务工补助、组织人大代表开展专题调研、调查、视察、执法检查等活动的顺利开展，落实人大代表“双联”制度，启用代表建议网络办理平台，实现了代表建议交办、督办、催办、答复、测评的网络化，代表建议办理效率大幅提升的目标。</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2"/>
          <w:rFonts w:hint="eastAsia" w:ascii="仿宋_GB2312" w:hAnsi="楷体" w:eastAsia="仿宋_GB2312"/>
          <w:b w:val="0"/>
          <w:bCs w:val="0"/>
          <w:spacing w:val="-4"/>
          <w:sz w:val="32"/>
          <w:szCs w:val="32"/>
          <w:lang w:val="en-US" w:eastAsia="zh-CN"/>
        </w:rPr>
      </w:pPr>
      <w:r>
        <w:rPr>
          <w:rStyle w:val="12"/>
          <w:rFonts w:hint="eastAsia" w:ascii="仿宋_GB2312" w:hAnsi="楷体" w:eastAsia="仿宋_GB2312"/>
          <w:b w:val="0"/>
          <w:bCs w:val="0"/>
          <w:spacing w:val="-4"/>
          <w:sz w:val="32"/>
          <w:szCs w:val="32"/>
          <w:lang w:eastAsia="zh-CN"/>
        </w:rPr>
        <w:t>三是人大代表联络站优化建设及工作项目，计划投入</w:t>
      </w:r>
      <w:r>
        <w:rPr>
          <w:rStyle w:val="12"/>
          <w:rFonts w:hint="eastAsia" w:ascii="仿宋_GB2312" w:hAnsi="楷体" w:eastAsia="仿宋_GB2312"/>
          <w:b w:val="0"/>
          <w:bCs w:val="0"/>
          <w:spacing w:val="-4"/>
          <w:sz w:val="32"/>
          <w:szCs w:val="32"/>
          <w:lang w:val="en-US" w:eastAsia="zh-CN"/>
        </w:rPr>
        <w:t>24万元。要实现全市12个代表联络站的优化建设，每个代表联络站建设做到"八个有"，通过“人大代表联络站”履职平台，代表闭会期间的履职活动得到进一步加强，对代表参加会议、审议发言、提出建议、视察调研、走访接待、履职培训、建议督办、参加议事会、向选民述职等履职活动提供建设、场所和空间配置、设施、标识等“硬件”标准的目标。</w:t>
      </w:r>
    </w:p>
    <w:p>
      <w:pPr>
        <w:pStyle w:val="3"/>
        <w:ind w:left="0" w:leftChars="0" w:firstLine="624" w:firstLineChars="200"/>
        <w:rPr>
          <w:rStyle w:val="12"/>
          <w:rFonts w:hint="eastAsia" w:ascii="仿宋_GB2312" w:hAnsi="楷体" w:eastAsia="仿宋_GB2312"/>
          <w:b/>
          <w:bCs w:val="0"/>
          <w:spacing w:val="-4"/>
          <w:sz w:val="32"/>
          <w:szCs w:val="32"/>
          <w:highlight w:val="none"/>
        </w:rPr>
      </w:pPr>
      <w:r>
        <w:rPr>
          <w:rStyle w:val="12"/>
          <w:rFonts w:hint="eastAsia" w:hAnsi="楷体"/>
          <w:b w:val="0"/>
          <w:bCs w:val="0"/>
          <w:spacing w:val="-4"/>
          <w:sz w:val="32"/>
          <w:szCs w:val="32"/>
          <w:lang w:val="en-US" w:eastAsia="zh-CN"/>
        </w:rPr>
        <w:t>四是</w:t>
      </w:r>
      <w:r>
        <w:rPr>
          <w:rStyle w:val="12"/>
          <w:rFonts w:hint="eastAsia" w:ascii="仿宋_GB2312" w:hAnsi="楷体" w:eastAsia="仿宋_GB2312"/>
          <w:b w:val="0"/>
          <w:bCs w:val="0"/>
          <w:spacing w:val="-4"/>
          <w:sz w:val="32"/>
          <w:szCs w:val="32"/>
          <w:lang w:eastAsia="zh-CN"/>
        </w:rPr>
        <w:t>人大代表</w:t>
      </w:r>
      <w:r>
        <w:rPr>
          <w:rStyle w:val="12"/>
          <w:rFonts w:hint="eastAsia" w:hAnsi="楷体"/>
          <w:b w:val="0"/>
          <w:bCs w:val="0"/>
          <w:spacing w:val="-4"/>
          <w:sz w:val="32"/>
          <w:szCs w:val="32"/>
          <w:lang w:eastAsia="zh-CN"/>
        </w:rPr>
        <w:t>工作室</w:t>
      </w:r>
      <w:r>
        <w:rPr>
          <w:rStyle w:val="12"/>
          <w:rFonts w:hint="eastAsia" w:ascii="仿宋_GB2312" w:hAnsi="楷体" w:eastAsia="仿宋_GB2312"/>
          <w:b w:val="0"/>
          <w:bCs w:val="0"/>
          <w:spacing w:val="-4"/>
          <w:sz w:val="32"/>
          <w:szCs w:val="32"/>
          <w:lang w:eastAsia="zh-CN"/>
        </w:rPr>
        <w:t>优化建设及工作项目，计划投入</w:t>
      </w:r>
      <w:r>
        <w:rPr>
          <w:rStyle w:val="12"/>
          <w:rFonts w:hint="eastAsia" w:hAnsi="楷体"/>
          <w:b w:val="0"/>
          <w:bCs w:val="0"/>
          <w:spacing w:val="-4"/>
          <w:sz w:val="32"/>
          <w:szCs w:val="32"/>
          <w:lang w:val="en-US" w:eastAsia="zh-CN"/>
        </w:rPr>
        <w:t>5</w:t>
      </w:r>
      <w:r>
        <w:rPr>
          <w:rStyle w:val="12"/>
          <w:rFonts w:hint="eastAsia" w:ascii="仿宋_GB2312" w:hAnsi="楷体" w:eastAsia="仿宋_GB2312"/>
          <w:b w:val="0"/>
          <w:bCs w:val="0"/>
          <w:spacing w:val="-4"/>
          <w:sz w:val="32"/>
          <w:szCs w:val="32"/>
          <w:lang w:val="en-US" w:eastAsia="zh-CN"/>
        </w:rPr>
        <w:t>万元。</w:t>
      </w:r>
      <w:r>
        <w:rPr>
          <w:rStyle w:val="12"/>
          <w:rFonts w:hint="eastAsia" w:hAnsi="楷体"/>
          <w:b w:val="0"/>
          <w:bCs w:val="0"/>
          <w:spacing w:val="-4"/>
          <w:sz w:val="32"/>
          <w:szCs w:val="32"/>
          <w:lang w:val="en-US" w:eastAsia="zh-CN"/>
        </w:rPr>
        <w:t>用于全市1个代表工作室优化建设及工作，代表工作室做到"八个有"，通过“人大代表联络站”履职平台，代表闭会期间的履职活动得到进一步加强，对代表参加会议、审议发言、提出建议、视察调研、走访接待、履职培训、建议督办、参加议事会、向选民述职等履职活动提供建设、场所和空间配置、设施、标识等“硬件”标准，支持和保障代表依法履职，更好发挥代表作用。</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38" w:leftChars="304" w:firstLine="0" w:firstLineChars="0"/>
        <w:textAlignment w:val="auto"/>
        <w:outlineLvl w:val="1"/>
        <w:rPr>
          <w:rFonts w:hint="eastAsia" w:ascii="楷体" w:hAnsi="楷体" w:eastAsia="楷体" w:cs="楷体"/>
          <w:b/>
          <w:sz w:val="32"/>
          <w:szCs w:val="32"/>
          <w:lang w:val="en-US" w:eastAsia="zh-CN"/>
        </w:rPr>
      </w:pPr>
      <w:bookmarkStart w:id="5" w:name="_Toc9872"/>
      <w:r>
        <w:rPr>
          <w:rFonts w:hint="eastAsia" w:ascii="楷体" w:hAnsi="楷体" w:eastAsia="楷体" w:cs="楷体"/>
          <w:b/>
          <w:sz w:val="32"/>
          <w:szCs w:val="32"/>
          <w:lang w:val="en-US" w:eastAsia="zh-CN"/>
        </w:rPr>
        <w:t>（三）部门单位整体预算规模及安排情况</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19" w:leftChars="152" w:firstLine="624" w:firstLineChars="200"/>
        <w:jc w:val="both"/>
        <w:textAlignment w:val="auto"/>
        <w:rPr>
          <w:rFonts w:hint="eastAsia" w:ascii="仿宋_GB2312" w:hAnsi="楷体" w:eastAsia="仿宋_GB2312"/>
          <w:b w:val="0"/>
          <w:bCs/>
          <w:color w:val="000000"/>
          <w:spacing w:val="-4"/>
          <w:sz w:val="32"/>
          <w:szCs w:val="32"/>
          <w:lang w:val="en-US" w:eastAsia="zh-CN"/>
        </w:rPr>
      </w:pPr>
      <w:r>
        <w:rPr>
          <w:rFonts w:hint="eastAsia" w:ascii="Times New Roman" w:hAnsi="Times New Roman" w:eastAsia="仿宋_GB2312"/>
          <w:b w:val="0"/>
          <w:bCs/>
          <w:color w:val="000000"/>
          <w:spacing w:val="-4"/>
          <w:sz w:val="32"/>
          <w:szCs w:val="32"/>
          <w:lang w:val="en-US" w:eastAsia="zh-CN"/>
        </w:rPr>
        <w:t>202</w:t>
      </w:r>
      <w:r>
        <w:rPr>
          <w:rFonts w:hint="eastAsia" w:ascii="仿宋_GB2312" w:hAnsi="楷体" w:eastAsia="仿宋_GB2312"/>
          <w:b w:val="0"/>
          <w:bCs/>
          <w:color w:val="000000"/>
          <w:spacing w:val="-4"/>
          <w:sz w:val="32"/>
          <w:szCs w:val="32"/>
          <w:lang w:val="en-US" w:eastAsia="zh-CN"/>
        </w:rPr>
        <w:t>4年霍尔果斯市人民代表大会常务委员会年初预算安排 556.47万元，其中财政拨款550.87万元，其他资金5.6万元，主要用于保障机关日常运转，包括人员工资福利支出、办公用品及设备等购置及维护；人大会议的召开；支持保障人大代表开展调研、执法检查视察等履职活动；推进立法、监督等重点工作开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319" w:leftChars="152" w:firstLine="624" w:firstLineChars="200"/>
        <w:jc w:val="both"/>
        <w:textAlignment w:val="auto"/>
        <w:rPr>
          <w:rFonts w:hint="eastAsia" w:ascii="仿宋_GB2312" w:hAnsi="楷体" w:eastAsia="仿宋_GB2312"/>
          <w:b w:val="0"/>
          <w:bCs/>
          <w:color w:val="000000"/>
          <w:spacing w:val="-4"/>
          <w:sz w:val="32"/>
          <w:szCs w:val="32"/>
          <w:lang w:val="en-US" w:eastAsia="zh-CN"/>
        </w:rPr>
      </w:pPr>
      <w:r>
        <w:rPr>
          <w:rFonts w:hint="eastAsia" w:ascii="仿宋_GB2312" w:hAnsi="楷体" w:eastAsia="仿宋_GB2312"/>
          <w:b w:val="0"/>
          <w:bCs/>
          <w:color w:val="000000"/>
          <w:spacing w:val="-4"/>
          <w:sz w:val="32"/>
          <w:szCs w:val="32"/>
          <w:lang w:val="en-US" w:eastAsia="zh-CN"/>
        </w:rPr>
        <w:t>年中调整15.24万元，调整后全年预算571.71万元，预算调整率2.74%，调整预算的主要原因为2024年人员增加，人员经费及运转类经费增加。</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outlineLvl w:val="0"/>
        <w:rPr>
          <w:rFonts w:hint="eastAsia" w:ascii="黑体" w:hAnsi="黑体" w:eastAsia="黑体" w:cs="宋体"/>
          <w:b w:val="0"/>
          <w:bCs/>
          <w:color w:val="333333"/>
          <w:sz w:val="32"/>
          <w:szCs w:val="32"/>
          <w:lang w:bidi="ar"/>
        </w:rPr>
      </w:pPr>
      <w:bookmarkStart w:id="6" w:name="_Toc22484"/>
      <w:r>
        <w:rPr>
          <w:rFonts w:hint="eastAsia" w:ascii="黑体" w:hAnsi="黑体" w:eastAsia="黑体" w:cs="宋体"/>
          <w:b w:val="0"/>
          <w:bCs/>
          <w:color w:val="333333"/>
          <w:kern w:val="2"/>
          <w:sz w:val="32"/>
          <w:szCs w:val="32"/>
          <w:lang w:val="en-US" w:eastAsia="zh-CN" w:bidi="ar"/>
        </w:rPr>
        <w:t>二、</w:t>
      </w:r>
      <w:r>
        <w:rPr>
          <w:rFonts w:hint="eastAsia" w:ascii="黑体" w:hAnsi="黑体" w:eastAsia="黑体" w:cs="宋体"/>
          <w:b w:val="0"/>
          <w:bCs/>
          <w:color w:val="333333"/>
          <w:sz w:val="32"/>
          <w:szCs w:val="32"/>
          <w:lang w:bidi="ar"/>
        </w:rPr>
        <w:t>部门单位整体支出管理及使用情况</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1"/>
        <w:rPr>
          <w:rFonts w:hint="default" w:ascii="楷体" w:hAnsi="楷体" w:eastAsia="楷体" w:cs="楷体"/>
          <w:b/>
          <w:sz w:val="32"/>
          <w:szCs w:val="32"/>
          <w:lang w:val="en-US" w:eastAsia="zh-CN"/>
        </w:rPr>
      </w:pPr>
      <w:bookmarkStart w:id="7" w:name="_Toc12906"/>
      <w:r>
        <w:rPr>
          <w:rFonts w:hint="eastAsia" w:ascii="楷体" w:hAnsi="楷体" w:eastAsia="楷体" w:cs="楷体"/>
          <w:b/>
          <w:sz w:val="32"/>
          <w:szCs w:val="32"/>
          <w:lang w:val="en-US" w:eastAsia="zh-CN"/>
        </w:rPr>
        <w:t>（一）部门单位整体支出管理情况</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仿宋_GB2312" w:hAnsi="仿宋_GB2312" w:eastAsia="仿宋_GB2312" w:cs="仿宋_GB2312"/>
          <w:b/>
          <w:sz w:val="32"/>
          <w:szCs w:val="32"/>
          <w:lang w:val="en-US" w:eastAsia="zh-CN"/>
        </w:rPr>
      </w:pPr>
      <w:bookmarkStart w:id="8" w:name="_Toc3057"/>
      <w:r>
        <w:rPr>
          <w:rFonts w:hint="eastAsia" w:ascii="Times New Roman" w:hAnsi="Times New Roman" w:eastAsia="仿宋_GB2312" w:cs="仿宋_GB2312"/>
          <w:b/>
          <w:sz w:val="32"/>
          <w:szCs w:val="32"/>
          <w:lang w:val="en-US" w:eastAsia="zh-CN"/>
        </w:rPr>
        <w:t>1</w:t>
      </w:r>
      <w:r>
        <w:rPr>
          <w:rFonts w:hint="eastAsia" w:ascii="仿宋_GB2312" w:hAnsi="仿宋_GB2312" w:eastAsia="仿宋_GB2312" w:cs="仿宋_GB2312"/>
          <w:b/>
          <w:sz w:val="32"/>
          <w:szCs w:val="32"/>
          <w:lang w:val="en-US" w:eastAsia="zh-CN"/>
        </w:rPr>
        <w:t>.预算编制</w:t>
      </w:r>
      <w:bookmarkEnd w:id="8"/>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b/>
          <w:color w:val="auto"/>
          <w:sz w:val="32"/>
          <w:szCs w:val="32"/>
          <w:lang w:val="en-US" w:eastAsia="zh-CN"/>
        </w:rPr>
      </w:pPr>
      <w:r>
        <w:rPr>
          <w:rFonts w:hint="eastAsia" w:ascii="Times New Roman" w:hAnsi="Times New Roman" w:eastAsia="仿宋_GB2312" w:cs="仿宋_GB2312"/>
          <w:color w:val="auto"/>
          <w:kern w:val="0"/>
          <w:sz w:val="32"/>
          <w:szCs w:val="32"/>
          <w:lang w:val="en-US" w:eastAsia="zh-CN" w:bidi="ar"/>
        </w:rPr>
        <w:t>2024</w:t>
      </w:r>
      <w:r>
        <w:rPr>
          <w:rFonts w:hint="eastAsia" w:ascii="仿宋_GB2312" w:hAnsi="仿宋_GB2312" w:eastAsia="仿宋_GB2312" w:cs="仿宋_GB2312"/>
          <w:color w:val="auto"/>
          <w:kern w:val="0"/>
          <w:sz w:val="32"/>
          <w:szCs w:val="32"/>
          <w:lang w:val="en-US" w:eastAsia="zh-CN" w:bidi="ar"/>
        </w:rPr>
        <w:t>年我部门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仿宋_GB2312" w:hAnsi="仿宋_GB2312" w:eastAsia="仿宋_GB2312" w:cs="仿宋_GB2312"/>
          <w:b/>
          <w:sz w:val="32"/>
          <w:szCs w:val="32"/>
          <w:lang w:val="en-US" w:eastAsia="zh-CN"/>
        </w:rPr>
      </w:pPr>
      <w:bookmarkStart w:id="9" w:name="_Toc26162"/>
      <w:r>
        <w:rPr>
          <w:rFonts w:hint="eastAsia" w:ascii="Times New Roman" w:hAnsi="Times New Roman" w:eastAsia="仿宋_GB2312" w:cs="仿宋_GB2312"/>
          <w:b/>
          <w:sz w:val="32"/>
          <w:szCs w:val="32"/>
          <w:lang w:val="en-US" w:eastAsia="zh-CN"/>
        </w:rPr>
        <w:t>2</w:t>
      </w:r>
      <w:r>
        <w:rPr>
          <w:rFonts w:hint="eastAsia" w:ascii="仿宋_GB2312" w:hAnsi="仿宋_GB2312" w:eastAsia="仿宋_GB2312" w:cs="仿宋_GB2312"/>
          <w:b/>
          <w:sz w:val="32"/>
          <w:szCs w:val="32"/>
          <w:lang w:val="en-US" w:eastAsia="zh-CN"/>
        </w:rPr>
        <w:t>.预算执行</w:t>
      </w:r>
      <w:bookmarkEnd w:id="9"/>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color w:val="auto"/>
          <w:lang w:val="en-US" w:eastAsia="zh-CN"/>
        </w:rPr>
      </w:pPr>
      <w:r>
        <w:rPr>
          <w:rFonts w:hint="eastAsia" w:ascii="仿宋_GB2312" w:hAnsi="仿宋_GB2312" w:eastAsia="仿宋_GB2312" w:cs="仿宋_GB2312"/>
          <w:color w:val="auto"/>
          <w:kern w:val="0"/>
          <w:sz w:val="32"/>
          <w:szCs w:val="32"/>
          <w:lang w:val="en-US" w:eastAsia="zh-CN" w:bidi="ar"/>
        </w:rPr>
        <w:t>霍尔果斯市财政批复预算后，我单位按要求及时制定并报批部门预算支出计划，严格落实预算执行定期分析机制，靠前抓好支出执行，坚持严肃财经纪律，硬化预算约束，持续树牢厉行节约理念，严控一般性支出，努力降低行政运行成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仿宋_GB2312" w:hAnsi="仿宋_GB2312" w:eastAsia="仿宋_GB2312" w:cs="仿宋_GB2312"/>
          <w:b/>
          <w:sz w:val="32"/>
          <w:szCs w:val="32"/>
          <w:lang w:val="en-US" w:eastAsia="zh-CN"/>
        </w:rPr>
      </w:pPr>
      <w:bookmarkStart w:id="10" w:name="_Toc31456"/>
      <w:r>
        <w:rPr>
          <w:rFonts w:hint="eastAsia" w:ascii="Times New Roman" w:hAnsi="Times New Roman" w:eastAsia="仿宋_GB2312" w:cs="仿宋_GB2312"/>
          <w:b/>
          <w:sz w:val="32"/>
          <w:szCs w:val="32"/>
          <w:lang w:val="en-US" w:eastAsia="zh-CN"/>
        </w:rPr>
        <w:t>3</w:t>
      </w:r>
      <w:r>
        <w:rPr>
          <w:rFonts w:hint="eastAsia" w:ascii="仿宋_GB2312" w:hAnsi="仿宋_GB2312" w:eastAsia="仿宋_GB2312" w:cs="仿宋_GB2312"/>
          <w:b/>
          <w:sz w:val="32"/>
          <w:szCs w:val="32"/>
          <w:lang w:val="en-US" w:eastAsia="zh-CN"/>
        </w:rPr>
        <w:t>.绩效管理</w:t>
      </w:r>
      <w:bookmarkEnd w:id="10"/>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Times New Roman" w:hAnsi="Times New Roman" w:eastAsia="仿宋_GB2312" w:cs="仿宋_GB2312"/>
          <w:color w:val="auto"/>
          <w:kern w:val="0"/>
          <w:sz w:val="32"/>
          <w:szCs w:val="32"/>
          <w:lang w:val="en-US" w:eastAsia="zh-CN" w:bidi="ar"/>
        </w:rPr>
        <w:t>2024</w:t>
      </w:r>
      <w:r>
        <w:rPr>
          <w:rFonts w:hint="eastAsia" w:ascii="仿宋_GB2312" w:hAnsi="仿宋_GB2312" w:eastAsia="仿宋_GB2312" w:cs="仿宋_GB2312"/>
          <w:color w:val="auto"/>
          <w:kern w:val="0"/>
          <w:sz w:val="32"/>
          <w:szCs w:val="32"/>
          <w:lang w:val="en-US" w:eastAsia="zh-CN" w:bidi="ar"/>
        </w:rPr>
        <w:t>年，我单位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w:t>
      </w:r>
      <w:r>
        <w:rPr>
          <w:rFonts w:hint="eastAsia" w:ascii="Times New Roman" w:hAnsi="Times New Roman" w:eastAsia="仿宋_GB2312" w:cs="仿宋_GB2312"/>
          <w:color w:val="auto"/>
          <w:kern w:val="0"/>
          <w:sz w:val="32"/>
          <w:szCs w:val="32"/>
          <w:lang w:val="en-US" w:eastAsia="zh-CN" w:bidi="ar"/>
        </w:rPr>
        <w:t>5</w:t>
      </w:r>
      <w:r>
        <w:rPr>
          <w:rFonts w:hint="eastAsia" w:ascii="仿宋_GB2312" w:hAnsi="仿宋_GB2312" w:eastAsia="仿宋_GB2312" w:cs="仿宋_GB2312"/>
          <w:color w:val="auto"/>
          <w:kern w:val="0"/>
          <w:sz w:val="32"/>
          <w:szCs w:val="32"/>
          <w:lang w:val="en-US" w:eastAsia="zh-CN" w:bidi="ar"/>
        </w:rPr>
        <w:t>月、</w:t>
      </w:r>
      <w:r>
        <w:rPr>
          <w:rFonts w:hint="eastAsia" w:ascii="Times New Roman" w:hAnsi="Times New Roman" w:eastAsia="仿宋_GB2312" w:cs="仿宋_GB2312"/>
          <w:color w:val="auto"/>
          <w:kern w:val="0"/>
          <w:sz w:val="32"/>
          <w:szCs w:val="32"/>
          <w:lang w:val="en-US" w:eastAsia="zh-CN" w:bidi="ar"/>
        </w:rPr>
        <w:t>8</w:t>
      </w:r>
      <w:r>
        <w:rPr>
          <w:rFonts w:hint="eastAsia" w:ascii="仿宋_GB2312" w:hAnsi="仿宋_GB2312" w:eastAsia="仿宋_GB2312" w:cs="仿宋_GB2312"/>
          <w:color w:val="auto"/>
          <w:kern w:val="0"/>
          <w:sz w:val="32"/>
          <w:szCs w:val="32"/>
          <w:lang w:val="en-US" w:eastAsia="zh-CN" w:bidi="ar"/>
        </w:rPr>
        <w:t>月对预算执行动态进行实时监控，发现问题及时纠偏，确保绩效目标落地落实。③扎实开展自评工作，年度终了，扎实开展预算绩效目标完成情况部门审核和自评工作。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仿宋_GB2312" w:hAnsi="仿宋_GB2312" w:eastAsia="仿宋_GB2312" w:cs="仿宋_GB2312"/>
          <w:b/>
          <w:sz w:val="32"/>
          <w:szCs w:val="32"/>
          <w:lang w:val="en-US" w:eastAsia="zh-CN"/>
        </w:rPr>
      </w:pPr>
      <w:bookmarkStart w:id="11" w:name="_Toc2740"/>
      <w:r>
        <w:rPr>
          <w:rFonts w:hint="eastAsia" w:ascii="Times New Roman" w:hAnsi="Times New Roman" w:eastAsia="仿宋_GB2312" w:cs="仿宋_GB2312"/>
          <w:b/>
          <w:sz w:val="32"/>
          <w:szCs w:val="32"/>
          <w:lang w:val="en-US" w:eastAsia="zh-CN"/>
        </w:rPr>
        <w:t>4</w:t>
      </w:r>
      <w:r>
        <w:rPr>
          <w:rFonts w:hint="eastAsia" w:ascii="仿宋_GB2312" w:hAnsi="仿宋_GB2312" w:eastAsia="仿宋_GB2312" w:cs="仿宋_GB2312"/>
          <w:b/>
          <w:sz w:val="32"/>
          <w:szCs w:val="32"/>
          <w:lang w:val="en-US" w:eastAsia="zh-CN"/>
        </w:rPr>
        <w:t>.信息公开</w:t>
      </w:r>
      <w:bookmarkEnd w:id="11"/>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我单位已按要求在霍尔果斯市人民政府门户网站公开部门预算信息，同步公开绩效目标表；在霍尔果斯市人民政府门户网站公开部门决算信息，同步公开自评表及自评报告。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1"/>
        <w:rPr>
          <w:rFonts w:hint="eastAsia" w:ascii="楷体" w:hAnsi="楷体" w:eastAsia="楷体" w:cs="楷体"/>
          <w:b/>
          <w:sz w:val="32"/>
          <w:szCs w:val="32"/>
          <w:lang w:val="en-US" w:eastAsia="zh-CN"/>
        </w:rPr>
      </w:pPr>
      <w:bookmarkStart w:id="12" w:name="_Toc2315"/>
      <w:r>
        <w:rPr>
          <w:rFonts w:hint="eastAsia" w:ascii="楷体" w:hAnsi="楷体" w:eastAsia="楷体" w:cs="楷体"/>
          <w:b/>
          <w:sz w:val="32"/>
          <w:szCs w:val="32"/>
          <w:lang w:val="en-US" w:eastAsia="zh-CN"/>
        </w:rPr>
        <w:t>（二）部门单位整体支出使用情况</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default" w:ascii="仿宋_GB2312" w:hAnsi="宋体" w:eastAsia="仿宋_GB2312"/>
          <w:b/>
          <w:sz w:val="32"/>
          <w:szCs w:val="32"/>
          <w:lang w:val="en-US" w:eastAsia="zh-CN"/>
        </w:rPr>
      </w:pPr>
      <w:bookmarkStart w:id="13" w:name="_Toc32320"/>
      <w:r>
        <w:rPr>
          <w:rFonts w:hint="eastAsia" w:ascii="Times New Roman" w:hAnsi="Times New Roman" w:eastAsia="仿宋_GB2312"/>
          <w:b/>
          <w:sz w:val="32"/>
          <w:szCs w:val="32"/>
          <w:lang w:val="en-US" w:eastAsia="zh-CN"/>
        </w:rPr>
        <w:t>1</w:t>
      </w:r>
      <w:r>
        <w:rPr>
          <w:rFonts w:hint="eastAsia" w:ascii="仿宋_GB2312" w:hAnsi="宋体" w:eastAsia="仿宋_GB2312"/>
          <w:b/>
          <w:sz w:val="32"/>
          <w:szCs w:val="32"/>
          <w:lang w:val="en-US" w:eastAsia="zh-CN"/>
        </w:rPr>
        <w:t>.基本支出</w:t>
      </w:r>
      <w:bookmarkEnd w:id="13"/>
      <w:r>
        <w:rPr>
          <w:rFonts w:hint="eastAsia" w:ascii="仿宋_GB2312" w:hAnsi="宋体" w:eastAsia="仿宋_GB2312"/>
          <w:b/>
          <w:sz w:val="32"/>
          <w:szCs w:val="32"/>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宋体" w:eastAsia="仿宋_GB2312"/>
          <w:b/>
          <w:color w:val="000000"/>
          <w:sz w:val="32"/>
          <w:szCs w:val="32"/>
          <w:lang w:val="en-US" w:eastAsia="zh-CN"/>
        </w:rPr>
      </w:pPr>
      <w:r>
        <w:rPr>
          <w:rFonts w:hint="eastAsia" w:ascii="Times New Roman" w:hAnsi="Times New Roman" w:eastAsia="仿宋_GB2312"/>
          <w:b w:val="0"/>
          <w:bCs/>
          <w:color w:val="000000"/>
          <w:sz w:val="32"/>
          <w:szCs w:val="32"/>
          <w:lang w:val="en-US" w:eastAsia="zh-CN"/>
        </w:rPr>
        <w:t>2024</w:t>
      </w:r>
      <w:r>
        <w:rPr>
          <w:rFonts w:hint="eastAsia" w:ascii="仿宋_GB2312" w:hAnsi="宋体" w:eastAsia="仿宋_GB2312"/>
          <w:b w:val="0"/>
          <w:bCs/>
          <w:color w:val="000000"/>
          <w:sz w:val="32"/>
          <w:szCs w:val="32"/>
          <w:lang w:val="en-US" w:eastAsia="zh-CN"/>
        </w:rPr>
        <w:t>年基本支出</w:t>
      </w:r>
      <w:r>
        <w:rPr>
          <w:rStyle w:val="12"/>
          <w:rFonts w:hint="eastAsia" w:ascii="仿宋_GB2312" w:hAnsi="楷体" w:eastAsia="仿宋_GB2312"/>
          <w:b w:val="0"/>
          <w:color w:val="000000"/>
          <w:spacing w:val="-4"/>
          <w:sz w:val="32"/>
          <w:szCs w:val="32"/>
          <w:lang w:val="en-US" w:eastAsia="zh-CN"/>
        </w:rPr>
        <w:t>支出448.61万元，</w:t>
      </w:r>
      <w:r>
        <w:rPr>
          <w:rFonts w:hint="eastAsia" w:ascii="仿宋_GB2312" w:hAnsi="宋体" w:eastAsia="仿宋_GB2312"/>
          <w:b w:val="0"/>
          <w:bCs/>
          <w:color w:val="000000"/>
          <w:sz w:val="32"/>
          <w:szCs w:val="32"/>
          <w:lang w:val="en-US" w:eastAsia="zh-CN"/>
        </w:rPr>
        <w:t>包括工资福利支出420.36万元，商品和服务支出18.31万元，对个人和家庭的补助9.94万元，资本性支出0万元。</w:t>
      </w:r>
      <w:r>
        <w:rPr>
          <w:rFonts w:hint="eastAsia" w:ascii="仿宋_GB2312" w:hAnsi="宋体" w:eastAsia="仿宋_GB2312"/>
          <w:b w:val="0"/>
          <w:bCs/>
          <w:sz w:val="32"/>
          <w:szCs w:val="32"/>
          <w:lang w:val="en-US" w:eastAsia="zh-CN"/>
        </w:rPr>
        <w:t>其中</w:t>
      </w:r>
      <w:r>
        <w:rPr>
          <w:rStyle w:val="12"/>
          <w:rFonts w:hint="eastAsia" w:ascii="仿宋_GB2312" w:hAnsi="楷体" w:eastAsia="仿宋_GB2312"/>
          <w:b w:val="0"/>
          <w:color w:val="000000"/>
          <w:spacing w:val="-4"/>
          <w:sz w:val="32"/>
          <w:szCs w:val="32"/>
          <w:lang w:val="en-US" w:eastAsia="zh-CN"/>
        </w:rPr>
        <w:t>：</w:t>
      </w:r>
      <w:r>
        <w:rPr>
          <w:rFonts w:hint="eastAsia" w:ascii="仿宋_GB2312" w:hAnsi="楷体" w:eastAsia="仿宋_GB2312"/>
          <w:b w:val="0"/>
          <w:bCs/>
          <w:color w:val="000000"/>
          <w:spacing w:val="-4"/>
          <w:sz w:val="32"/>
          <w:szCs w:val="32"/>
          <w:lang w:val="en-US" w:eastAsia="zh-CN"/>
        </w:rPr>
        <w:t>“三公”经费支出0万元，比上年增加0万元，主要原因是无三公经费；会议费支出25.24万元，比上年增加7.69万元，主要原因是</w:t>
      </w:r>
      <w:r>
        <w:rPr>
          <w:rFonts w:hint="eastAsia" w:ascii="仿宋_GB2312" w:hAnsi="仿宋" w:eastAsia="仿宋_GB2312"/>
          <w:sz w:val="32"/>
          <w:szCs w:val="32"/>
          <w:lang w:eastAsia="zh-CN"/>
        </w:rPr>
        <w:t>年初申报的伊车嘎善锡伯族乡人民代表大会会议经费由霍尔果斯市人大会议项目经费中列支</w:t>
      </w:r>
      <w:r>
        <w:rPr>
          <w:rFonts w:hint="eastAsia" w:ascii="仿宋_GB2312" w:hAnsi="楷体" w:eastAsia="仿宋_GB2312"/>
          <w:b w:val="0"/>
          <w:bCs/>
          <w:color w:val="000000"/>
          <w:spacing w:val="-4"/>
          <w:sz w:val="32"/>
          <w:szCs w:val="32"/>
          <w:lang w:val="en-US" w:eastAsia="zh-CN"/>
        </w:rPr>
        <w:t>；培训费支出0万元，比上年增加0万元，主要原因是未开展培训。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仿宋_GB2312" w:hAnsi="宋体" w:eastAsia="仿宋_GB2312" w:cs="Times New Roman"/>
          <w:b/>
          <w:sz w:val="32"/>
          <w:szCs w:val="32"/>
          <w:lang w:val="en-US" w:eastAsia="zh-CN"/>
        </w:rPr>
      </w:pPr>
      <w:bookmarkStart w:id="14" w:name="_Toc8425"/>
      <w:r>
        <w:rPr>
          <w:rFonts w:hint="eastAsia" w:ascii="Times New Roman" w:hAnsi="Times New Roman" w:eastAsia="仿宋_GB2312" w:cs="Times New Roman"/>
          <w:b/>
          <w:sz w:val="32"/>
          <w:szCs w:val="32"/>
          <w:lang w:val="en-US" w:eastAsia="zh-CN"/>
        </w:rPr>
        <w:t>2</w:t>
      </w:r>
      <w:r>
        <w:rPr>
          <w:rFonts w:hint="eastAsia" w:ascii="仿宋_GB2312" w:hAnsi="宋体" w:eastAsia="仿宋_GB2312" w:cs="Times New Roman"/>
          <w:b/>
          <w:sz w:val="32"/>
          <w:szCs w:val="32"/>
          <w:lang w:val="en-US" w:eastAsia="zh-CN"/>
        </w:rPr>
        <w:t>.专项资金支出情况</w:t>
      </w:r>
      <w:bookmarkEnd w:id="14"/>
    </w:p>
    <w:p>
      <w:pPr>
        <w:keepNext w:val="0"/>
        <w:keepLines w:val="0"/>
        <w:pageBreakBefore w:val="0"/>
        <w:numPr>
          <w:ilvl w:val="0"/>
          <w:numId w:val="0"/>
        </w:numPr>
        <w:kinsoku/>
        <w:wordWrap/>
        <w:overflowPunct/>
        <w:topLinePunct w:val="0"/>
        <w:autoSpaceDE/>
        <w:autoSpaceDN/>
        <w:bidi w:val="0"/>
        <w:adjustRightInd/>
        <w:spacing w:line="560" w:lineRule="exact"/>
        <w:ind w:firstLine="624" w:firstLineChars="200"/>
        <w:textAlignment w:val="auto"/>
        <w:rPr>
          <w:rFonts w:hint="eastAsia" w:ascii="仿宋_GB2312" w:hAnsi="楷体" w:eastAsia="仿宋_GB2312"/>
          <w:b/>
          <w:bCs w:val="0"/>
          <w:color w:val="000000"/>
          <w:spacing w:val="-4"/>
          <w:sz w:val="32"/>
          <w:szCs w:val="32"/>
          <w:lang w:eastAsia="zh-CN"/>
        </w:rPr>
      </w:pPr>
      <w:r>
        <w:rPr>
          <w:rStyle w:val="12"/>
          <w:rFonts w:hint="eastAsia" w:ascii="Times New Roman" w:hAnsi="Times New Roman" w:eastAsia="仿宋_GB2312"/>
          <w:b w:val="0"/>
          <w:color w:val="000000"/>
          <w:spacing w:val="-4"/>
          <w:sz w:val="32"/>
          <w:szCs w:val="32"/>
          <w:lang w:val="en-US" w:eastAsia="zh-CN"/>
        </w:rPr>
        <w:t>2024</w:t>
      </w:r>
      <w:r>
        <w:rPr>
          <w:rStyle w:val="12"/>
          <w:rFonts w:hint="eastAsia" w:ascii="仿宋_GB2312" w:hAnsi="楷体" w:eastAsia="仿宋_GB2312"/>
          <w:b w:val="0"/>
          <w:color w:val="000000"/>
          <w:spacing w:val="-4"/>
          <w:sz w:val="32"/>
          <w:szCs w:val="32"/>
          <w:lang w:val="en-US" w:eastAsia="zh-CN"/>
        </w:rPr>
        <w:t>年专项项目支出97.43万元，占总支出的17.84％，主要用于</w:t>
      </w:r>
      <w:r>
        <w:rPr>
          <w:rStyle w:val="12"/>
          <w:rFonts w:hint="eastAsia" w:ascii="Times New Roman" w:hAnsi="Times New Roman" w:eastAsia="仿宋_GB2312"/>
          <w:b w:val="0"/>
          <w:color w:val="000000"/>
          <w:spacing w:val="-4"/>
          <w:sz w:val="32"/>
          <w:szCs w:val="32"/>
          <w:lang w:val="en-US" w:eastAsia="zh-CN"/>
        </w:rPr>
        <w:t>1</w:t>
      </w:r>
      <w:r>
        <w:rPr>
          <w:rStyle w:val="12"/>
          <w:rFonts w:hint="eastAsia" w:ascii="仿宋_GB2312" w:hAnsi="楷体" w:eastAsia="仿宋_GB2312"/>
          <w:b w:val="0"/>
          <w:color w:val="000000"/>
          <w:spacing w:val="-4"/>
          <w:sz w:val="32"/>
          <w:szCs w:val="32"/>
          <w:lang w:val="en-US" w:eastAsia="zh-CN"/>
        </w:rPr>
        <w:t>.人大会议项目；</w:t>
      </w:r>
      <w:r>
        <w:rPr>
          <w:rStyle w:val="12"/>
          <w:rFonts w:hint="eastAsia" w:ascii="Times New Roman" w:hAnsi="Times New Roman" w:eastAsia="仿宋_GB2312"/>
          <w:b w:val="0"/>
          <w:color w:val="000000"/>
          <w:spacing w:val="-4"/>
          <w:sz w:val="32"/>
          <w:szCs w:val="32"/>
          <w:lang w:val="en-US" w:eastAsia="zh-CN"/>
        </w:rPr>
        <w:t>2</w:t>
      </w:r>
      <w:r>
        <w:rPr>
          <w:rStyle w:val="12"/>
          <w:rFonts w:hint="eastAsia" w:ascii="仿宋_GB2312" w:hAnsi="楷体" w:eastAsia="仿宋_GB2312"/>
          <w:b w:val="0"/>
          <w:color w:val="000000"/>
          <w:spacing w:val="-4"/>
          <w:sz w:val="32"/>
          <w:szCs w:val="32"/>
          <w:lang w:val="en-US" w:eastAsia="zh-CN"/>
        </w:rPr>
        <w:t>.人大代表活动项目；</w:t>
      </w:r>
      <w:r>
        <w:rPr>
          <w:rStyle w:val="12"/>
          <w:rFonts w:hint="eastAsia" w:ascii="Times New Roman" w:hAnsi="Times New Roman" w:eastAsia="仿宋_GB2312"/>
          <w:b w:val="0"/>
          <w:color w:val="000000"/>
          <w:spacing w:val="-4"/>
          <w:sz w:val="32"/>
          <w:szCs w:val="32"/>
          <w:lang w:val="en-US" w:eastAsia="zh-CN"/>
        </w:rPr>
        <w:t>3</w:t>
      </w:r>
      <w:r>
        <w:rPr>
          <w:rStyle w:val="12"/>
          <w:rFonts w:hint="eastAsia" w:ascii="仿宋_GB2312" w:hAnsi="楷体" w:eastAsia="仿宋_GB2312"/>
          <w:b w:val="0"/>
          <w:color w:val="000000"/>
          <w:spacing w:val="-4"/>
          <w:sz w:val="32"/>
          <w:szCs w:val="32"/>
          <w:lang w:val="en-US" w:eastAsia="zh-CN"/>
        </w:rPr>
        <w:t>.人大代表联络站优化建设及工作项目；4.人大代表工作室优化建设及工作项目；5.自治区基层人大补助项目；6.连云港援疆工作项目。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仿宋_GB2312" w:hAnsi="宋体" w:eastAsia="仿宋_GB2312" w:cs="Times New Roman"/>
          <w:b/>
          <w:sz w:val="32"/>
          <w:szCs w:val="32"/>
          <w:lang w:val="en-US" w:eastAsia="zh-CN"/>
        </w:rPr>
      </w:pPr>
      <w:bookmarkStart w:id="15" w:name="_Toc31045"/>
      <w:r>
        <w:rPr>
          <w:rFonts w:hint="eastAsia" w:ascii="Times New Roman" w:hAnsi="Times New Roman" w:eastAsia="仿宋_GB2312" w:cs="Times New Roman"/>
          <w:b/>
          <w:sz w:val="32"/>
          <w:szCs w:val="32"/>
          <w:lang w:val="en-US" w:eastAsia="zh-CN"/>
        </w:rPr>
        <w:t>3</w:t>
      </w:r>
      <w:r>
        <w:rPr>
          <w:rFonts w:hint="eastAsia" w:ascii="仿宋_GB2312" w:hAnsi="宋体" w:eastAsia="仿宋_GB2312" w:cs="Times New Roman"/>
          <w:b/>
          <w:sz w:val="32"/>
          <w:szCs w:val="32"/>
          <w:lang w:val="en-US" w:eastAsia="zh-CN"/>
        </w:rPr>
        <w:t>.部门单位专项组织实施情况</w:t>
      </w:r>
      <w:bookmarkEnd w:id="15"/>
    </w:p>
    <w:p>
      <w:pPr>
        <w:keepNext w:val="0"/>
        <w:keepLines w:val="0"/>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2"/>
          <w:rFonts w:hint="eastAsia" w:ascii="仿宋_GB2312" w:hAnsi="楷体" w:eastAsia="仿宋_GB2312"/>
          <w:b w:val="0"/>
          <w:color w:val="000000"/>
          <w:spacing w:val="-4"/>
          <w:sz w:val="32"/>
          <w:szCs w:val="32"/>
          <w:lang w:val="en-US" w:eastAsia="zh-CN"/>
        </w:rPr>
      </w:pPr>
      <w:r>
        <w:rPr>
          <w:rStyle w:val="12"/>
          <w:rFonts w:hint="eastAsia" w:ascii="仿宋_GB2312" w:hAnsi="楷体" w:eastAsia="仿宋_GB2312"/>
          <w:b w:val="0"/>
          <w:spacing w:val="-4"/>
          <w:sz w:val="32"/>
          <w:szCs w:val="32"/>
          <w:lang w:val="en-US" w:eastAsia="zh-CN"/>
        </w:rPr>
        <w:t>年初我单位下发的多个专项工作计划，对项目的工作分工、任务分配、资金落实、完成时限等提出了明确、具体的要求，以确保项目保质、保量、按时完成。</w:t>
      </w:r>
      <w:r>
        <w:rPr>
          <w:rStyle w:val="12"/>
          <w:rFonts w:hint="eastAsia" w:ascii="仿宋_GB2312" w:hAnsi="楷体" w:eastAsia="仿宋_GB2312"/>
          <w:b w:val="0"/>
          <w:color w:val="000000"/>
          <w:spacing w:val="-4"/>
          <w:sz w:val="32"/>
          <w:szCs w:val="32"/>
          <w:lang w:val="en-US" w:eastAsia="zh-CN"/>
        </w:rPr>
        <w:t>截至</w:t>
      </w:r>
      <w:r>
        <w:rPr>
          <w:rStyle w:val="12"/>
          <w:rFonts w:hint="eastAsia" w:ascii="Times New Roman" w:hAnsi="Times New Roman" w:eastAsia="仿宋_GB2312"/>
          <w:b w:val="0"/>
          <w:color w:val="000000"/>
          <w:spacing w:val="-4"/>
          <w:sz w:val="32"/>
          <w:szCs w:val="32"/>
          <w:lang w:val="en-US" w:eastAsia="zh-CN"/>
        </w:rPr>
        <w:t>12</w:t>
      </w:r>
      <w:r>
        <w:rPr>
          <w:rStyle w:val="12"/>
          <w:rFonts w:hint="eastAsia" w:ascii="仿宋_GB2312" w:hAnsi="楷体" w:eastAsia="仿宋_GB2312"/>
          <w:b w:val="0"/>
          <w:color w:val="000000"/>
          <w:spacing w:val="-4"/>
          <w:sz w:val="32"/>
          <w:szCs w:val="32"/>
          <w:lang w:val="en-US" w:eastAsia="zh-CN"/>
        </w:rPr>
        <w:t>月</w:t>
      </w:r>
      <w:r>
        <w:rPr>
          <w:rStyle w:val="12"/>
          <w:rFonts w:hint="eastAsia" w:ascii="Times New Roman" w:hAnsi="Times New Roman" w:eastAsia="仿宋_GB2312"/>
          <w:b w:val="0"/>
          <w:color w:val="000000"/>
          <w:spacing w:val="-4"/>
          <w:sz w:val="32"/>
          <w:szCs w:val="32"/>
          <w:lang w:val="en-US" w:eastAsia="zh-CN"/>
        </w:rPr>
        <w:t>31</w:t>
      </w:r>
      <w:r>
        <w:rPr>
          <w:rStyle w:val="12"/>
          <w:rFonts w:hint="eastAsia" w:ascii="仿宋_GB2312" w:hAnsi="楷体" w:eastAsia="仿宋_GB2312"/>
          <w:b w:val="0"/>
          <w:color w:val="000000"/>
          <w:spacing w:val="-4"/>
          <w:sz w:val="32"/>
          <w:szCs w:val="32"/>
          <w:lang w:val="en-US" w:eastAsia="zh-CN"/>
        </w:rPr>
        <w:t>日，完成专项6个，未完成专项0个。</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为规范专项资金使用，提高专项资金使用效益，单位主要采取四项措施。一是制订专项资金管理制度；二是各专项资金建立了专账；三是制定了项目实施方案；四是认真组织项目验收。切实保证专项资金都做到了专款专用。</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1）制定了《霍尔果斯市人大常委会机关人大专项经费管理办法（暂行）》专项资金管理办法，各项资金使用审批流程均按规定办理。涉及“三重一大”内容，严格按照规定提请局党组会审议决定，包括项目资金分配、重大项目确定、大额资金支付等。</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w:t>
      </w:r>
      <w:r>
        <w:rPr>
          <w:rFonts w:hint="eastAsia" w:ascii="Times New Roman" w:hAnsi="Times New Roman" w:eastAsia="仿宋_GB2312" w:cs="仿宋_GB2312"/>
          <w:color w:val="auto"/>
          <w:kern w:val="0"/>
          <w:sz w:val="32"/>
          <w:szCs w:val="32"/>
          <w:lang w:val="en-US" w:eastAsia="zh-CN" w:bidi="ar"/>
        </w:rPr>
        <w:t>2</w:t>
      </w:r>
      <w:r>
        <w:rPr>
          <w:rFonts w:hint="eastAsia" w:ascii="仿宋_GB2312" w:hAnsi="仿宋_GB2312" w:eastAsia="仿宋_GB2312" w:cs="仿宋_GB2312"/>
          <w:color w:val="auto"/>
          <w:kern w:val="0"/>
          <w:sz w:val="32"/>
          <w:szCs w:val="32"/>
          <w:lang w:val="en-US" w:eastAsia="zh-CN" w:bidi="ar"/>
        </w:rPr>
        <w:t>）建立人大专项资金专账，做到有据可依，有据可查。</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w:t>
      </w:r>
      <w:r>
        <w:rPr>
          <w:rFonts w:hint="eastAsia" w:ascii="Times New Roman" w:hAnsi="Times New Roman" w:eastAsia="仿宋_GB2312" w:cs="仿宋_GB2312"/>
          <w:color w:val="auto"/>
          <w:kern w:val="0"/>
          <w:sz w:val="32"/>
          <w:szCs w:val="32"/>
          <w:lang w:val="en-US" w:eastAsia="zh-CN" w:bidi="ar"/>
        </w:rPr>
        <w:t>3</w:t>
      </w:r>
      <w:r>
        <w:rPr>
          <w:rFonts w:hint="eastAsia" w:ascii="仿宋_GB2312" w:hAnsi="仿宋_GB2312" w:eastAsia="仿宋_GB2312" w:cs="仿宋_GB2312"/>
          <w:color w:val="auto"/>
          <w:kern w:val="0"/>
          <w:sz w:val="32"/>
          <w:szCs w:val="32"/>
          <w:lang w:val="en-US" w:eastAsia="zh-CN" w:bidi="ar"/>
        </w:rPr>
        <w:t xml:space="preserve">）制定了人大相关实施方案，确保项目达到预期目标。    </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rPr>
      </w:pPr>
      <w:r>
        <w:rPr>
          <w:rFonts w:hint="eastAsia" w:ascii="仿宋_GB2312" w:hAnsi="仿宋_GB2312" w:eastAsia="仿宋_GB2312" w:cs="仿宋_GB2312"/>
          <w:color w:val="auto"/>
          <w:kern w:val="0"/>
          <w:sz w:val="32"/>
          <w:szCs w:val="32"/>
          <w:lang w:val="en-US" w:eastAsia="zh-CN" w:bidi="ar"/>
        </w:rPr>
        <w:t>（</w:t>
      </w:r>
      <w:r>
        <w:rPr>
          <w:rFonts w:hint="eastAsia" w:ascii="Times New Roman" w:hAnsi="Times New Roman" w:eastAsia="仿宋_GB2312" w:cs="仿宋_GB2312"/>
          <w:color w:val="auto"/>
          <w:kern w:val="0"/>
          <w:sz w:val="32"/>
          <w:szCs w:val="32"/>
          <w:lang w:val="en-US" w:eastAsia="zh-CN" w:bidi="ar"/>
        </w:rPr>
        <w:t>4</w:t>
      </w:r>
      <w:r>
        <w:rPr>
          <w:rFonts w:hint="eastAsia" w:ascii="仿宋_GB2312" w:hAnsi="仿宋_GB2312" w:eastAsia="仿宋_GB2312" w:cs="仿宋_GB2312"/>
          <w:color w:val="auto"/>
          <w:kern w:val="0"/>
          <w:sz w:val="32"/>
          <w:szCs w:val="32"/>
          <w:lang w:val="en-US" w:eastAsia="zh-CN" w:bidi="ar"/>
        </w:rPr>
        <w:t>）认真组织</w:t>
      </w:r>
      <w:r>
        <w:rPr>
          <w:rStyle w:val="12"/>
          <w:rFonts w:hint="eastAsia" w:ascii="仿宋_GB2312" w:hAnsi="楷体" w:eastAsia="仿宋_GB2312"/>
          <w:b w:val="0"/>
          <w:color w:val="auto"/>
          <w:spacing w:val="-4"/>
          <w:sz w:val="32"/>
          <w:szCs w:val="32"/>
          <w:lang w:val="en-US" w:eastAsia="zh-CN"/>
        </w:rPr>
        <w:t>人大会议项目，人大代表联络站和家室站优化建设及工作项目，人大代表活动</w:t>
      </w:r>
      <w:r>
        <w:rPr>
          <w:rFonts w:hint="eastAsia" w:ascii="仿宋_GB2312" w:hAnsi="仿宋_GB2312" w:eastAsia="仿宋_GB2312" w:cs="仿宋_GB2312"/>
          <w:color w:val="auto"/>
          <w:kern w:val="0"/>
          <w:sz w:val="32"/>
          <w:szCs w:val="32"/>
          <w:lang w:val="en-US" w:eastAsia="zh-CN" w:bidi="ar"/>
        </w:rPr>
        <w:t>项目验收，确保项目达到预定标准和要求，保证专项资金切实发挥预期效益。</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outlineLvl w:val="0"/>
        <w:rPr>
          <w:rFonts w:hint="eastAsia" w:ascii="黑体" w:hAnsi="黑体" w:eastAsia="黑体" w:cs="宋体"/>
          <w:bCs/>
          <w:color w:val="333333"/>
          <w:sz w:val="32"/>
          <w:szCs w:val="32"/>
          <w:lang w:bidi="ar"/>
        </w:rPr>
      </w:pPr>
      <w:bookmarkStart w:id="16" w:name="_Toc6552"/>
      <w:r>
        <w:rPr>
          <w:rFonts w:hint="eastAsia" w:ascii="黑体" w:hAnsi="黑体" w:eastAsia="黑体" w:cs="宋体"/>
          <w:bCs/>
          <w:color w:val="333333"/>
          <w:kern w:val="2"/>
          <w:sz w:val="32"/>
          <w:szCs w:val="32"/>
          <w:lang w:val="en-US" w:eastAsia="zh-CN" w:bidi="ar"/>
        </w:rPr>
        <w:t>三</w:t>
      </w:r>
      <w:r>
        <w:rPr>
          <w:rFonts w:hint="default" w:ascii="黑体" w:hAnsi="黑体" w:eastAsia="黑体" w:cs="宋体"/>
          <w:bCs/>
          <w:color w:val="333333"/>
          <w:kern w:val="2"/>
          <w:sz w:val="32"/>
          <w:szCs w:val="32"/>
          <w:lang w:val="en-US" w:eastAsia="zh-CN" w:bidi="ar"/>
        </w:rPr>
        <w:t>、</w:t>
      </w:r>
      <w:r>
        <w:rPr>
          <w:rFonts w:hint="eastAsia" w:ascii="黑体" w:hAnsi="黑体" w:eastAsia="黑体" w:cs="宋体"/>
          <w:bCs/>
          <w:color w:val="333333"/>
          <w:sz w:val="32"/>
          <w:szCs w:val="32"/>
          <w:lang w:bidi="ar"/>
        </w:rPr>
        <w:t>部门单位整体支出绩效情况</w:t>
      </w:r>
      <w:bookmarkEnd w:id="1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1"/>
        <w:rPr>
          <w:rFonts w:hint="default" w:ascii="楷体" w:hAnsi="楷体" w:eastAsia="楷体" w:cs="楷体"/>
          <w:b/>
          <w:sz w:val="32"/>
          <w:szCs w:val="32"/>
          <w:lang w:val="en-US" w:eastAsia="zh-CN"/>
        </w:rPr>
      </w:pPr>
      <w:bookmarkStart w:id="17" w:name="_Toc15638"/>
      <w:r>
        <w:rPr>
          <w:rFonts w:hint="eastAsia" w:ascii="楷体" w:hAnsi="楷体" w:eastAsia="楷体" w:cs="楷体"/>
          <w:b/>
          <w:sz w:val="32"/>
          <w:szCs w:val="32"/>
          <w:lang w:val="en-US" w:eastAsia="zh-CN"/>
        </w:rPr>
        <w:t>（一）预算执行情况</w:t>
      </w:r>
      <w:bookmarkEnd w:id="17"/>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4" w:firstLineChars="200"/>
        <w:textAlignment w:val="auto"/>
        <w:rPr>
          <w:rFonts w:hint="eastAsia" w:ascii="仿宋_GB2312" w:hAnsi="楷体" w:eastAsia="仿宋_GB2312"/>
          <w:b w:val="0"/>
          <w:bCs/>
          <w:color w:val="000000"/>
          <w:spacing w:val="-4"/>
          <w:sz w:val="32"/>
          <w:szCs w:val="32"/>
          <w:lang w:val="en-US" w:eastAsia="zh-CN"/>
        </w:rPr>
      </w:pPr>
      <w:r>
        <w:rPr>
          <w:rFonts w:hint="eastAsia" w:ascii="Times New Roman" w:hAnsi="Times New Roman" w:eastAsia="仿宋_GB2312"/>
          <w:b w:val="0"/>
          <w:bCs/>
          <w:color w:val="000000"/>
          <w:spacing w:val="-4"/>
          <w:sz w:val="32"/>
          <w:szCs w:val="32"/>
          <w:lang w:val="en-US" w:eastAsia="zh-CN"/>
        </w:rPr>
        <w:t>202</w:t>
      </w:r>
      <w:r>
        <w:rPr>
          <w:rFonts w:hint="eastAsia" w:ascii="仿宋_GB2312" w:hAnsi="楷体" w:eastAsia="仿宋_GB2312"/>
          <w:b w:val="0"/>
          <w:bCs/>
          <w:color w:val="000000"/>
          <w:spacing w:val="-4"/>
          <w:sz w:val="32"/>
          <w:szCs w:val="32"/>
          <w:lang w:val="en-US" w:eastAsia="zh-CN"/>
        </w:rPr>
        <w:t>4年霍尔果斯市人民代表大会常务委员会总支出546.04万元，预算执行率95.51%，其中行政运行支出351.63万元；一般行政管理事务支出5.55万元；人大会议支出25.24万元代表工作支出29.78万元； 其他人大事务支出36.85万元；行政单位离退休支出9.94万元； 机关事业单位基本养老保险缴费支出43.85万元；机关事业单位职业年金缴费支出9.63万元；住房公积金支出33.57万元。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仿宋_GB2312" w:hAnsi="宋体" w:eastAsia="仿宋_GB2312"/>
          <w:b/>
          <w:sz w:val="32"/>
          <w:szCs w:val="32"/>
          <w:lang w:val="en-US" w:eastAsia="zh-CN"/>
        </w:rPr>
      </w:pPr>
      <w:bookmarkStart w:id="18" w:name="_Toc808"/>
      <w:r>
        <w:rPr>
          <w:rFonts w:hint="eastAsia" w:ascii="Times New Roman" w:hAnsi="Times New Roman" w:eastAsia="仿宋_GB2312"/>
          <w:b/>
          <w:sz w:val="32"/>
          <w:szCs w:val="32"/>
          <w:lang w:val="en-US" w:eastAsia="zh-CN"/>
        </w:rPr>
        <w:t>1</w:t>
      </w:r>
      <w:r>
        <w:rPr>
          <w:rFonts w:hint="eastAsia" w:ascii="仿宋_GB2312" w:hAnsi="宋体" w:eastAsia="仿宋_GB2312"/>
          <w:b/>
          <w:sz w:val="32"/>
          <w:szCs w:val="32"/>
          <w:lang w:val="en-US" w:eastAsia="zh-CN"/>
        </w:rPr>
        <w:t>.基本支出使用情况</w:t>
      </w:r>
      <w:bookmarkEnd w:id="18"/>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4" w:firstLineChars="200"/>
        <w:textAlignment w:val="auto"/>
        <w:rPr>
          <w:rFonts w:hint="default" w:ascii="仿宋_GB2312" w:hAnsi="楷体" w:eastAsia="仿宋_GB2312"/>
          <w:b w:val="0"/>
          <w:bCs/>
          <w:color w:val="auto"/>
          <w:spacing w:val="-4"/>
          <w:sz w:val="32"/>
          <w:szCs w:val="32"/>
          <w:highlight w:val="none"/>
          <w:lang w:val="en-US" w:eastAsia="zh-CN"/>
        </w:rPr>
      </w:pPr>
      <w:bookmarkStart w:id="19" w:name="_Toc9601"/>
      <w:r>
        <w:rPr>
          <w:rFonts w:hint="eastAsia" w:ascii="Times New Roman" w:hAnsi="Times New Roman" w:eastAsia="仿宋_GB2312"/>
          <w:b w:val="0"/>
          <w:bCs/>
          <w:color w:val="000000"/>
          <w:spacing w:val="-4"/>
          <w:sz w:val="32"/>
          <w:szCs w:val="32"/>
          <w:lang w:val="en-US" w:eastAsia="zh-CN"/>
        </w:rPr>
        <w:t>2024</w:t>
      </w:r>
      <w:r>
        <w:rPr>
          <w:rFonts w:hint="eastAsia" w:ascii="仿宋_GB2312" w:hAnsi="楷体" w:eastAsia="仿宋_GB2312"/>
          <w:b w:val="0"/>
          <w:bCs/>
          <w:color w:val="000000"/>
          <w:spacing w:val="-4"/>
          <w:sz w:val="32"/>
          <w:szCs w:val="32"/>
          <w:lang w:val="en-US" w:eastAsia="zh-CN"/>
        </w:rPr>
        <w:t>年，霍尔果斯市人民代表大会常务委员会基本支出448.61万元，占总支出的82.16％，其中：</w:t>
      </w:r>
      <w:r>
        <w:rPr>
          <w:rFonts w:hint="eastAsia" w:ascii="仿宋_GB2312" w:hAnsi="楷体" w:eastAsia="仿宋_GB2312"/>
          <w:b w:val="0"/>
          <w:bCs/>
          <w:color w:val="auto"/>
          <w:spacing w:val="-4"/>
          <w:sz w:val="32"/>
          <w:szCs w:val="32"/>
          <w:highlight w:val="none"/>
          <w:lang w:val="en-US" w:eastAsia="zh-CN"/>
        </w:rPr>
        <w:t xml:space="preserve"> 一般公共服务支出351.63万元，社会保障和就业支出63.41万元，卫生健康支出0万元，住房保障支出33.57万元。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仿宋_GB2312" w:hAnsi="宋体" w:eastAsia="仿宋_GB2312"/>
          <w:b/>
          <w:sz w:val="32"/>
          <w:szCs w:val="32"/>
          <w:lang w:val="en-US" w:eastAsia="zh-CN"/>
        </w:rPr>
      </w:pPr>
      <w:r>
        <w:rPr>
          <w:rFonts w:hint="eastAsia" w:ascii="Times New Roman" w:hAnsi="Times New Roman" w:eastAsia="仿宋_GB2312"/>
          <w:b/>
          <w:sz w:val="32"/>
          <w:szCs w:val="32"/>
          <w:lang w:val="en-US" w:eastAsia="zh-CN"/>
        </w:rPr>
        <w:t>2</w:t>
      </w:r>
      <w:r>
        <w:rPr>
          <w:rFonts w:hint="eastAsia" w:ascii="仿宋_GB2312" w:hAnsi="宋体" w:eastAsia="仿宋_GB2312"/>
          <w:b/>
          <w:sz w:val="32"/>
          <w:szCs w:val="32"/>
          <w:lang w:val="en-US" w:eastAsia="zh-CN"/>
        </w:rPr>
        <w:t>.项目支出使用情况</w:t>
      </w:r>
      <w:bookmarkEnd w:id="19"/>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4" w:firstLineChars="200"/>
        <w:textAlignment w:val="auto"/>
        <w:rPr>
          <w:rFonts w:hint="default" w:ascii="仿宋_GB2312" w:hAnsi="楷体" w:eastAsia="仿宋_GB2312"/>
          <w:b w:val="0"/>
          <w:bCs/>
          <w:color w:val="000000"/>
          <w:spacing w:val="-4"/>
          <w:sz w:val="32"/>
          <w:szCs w:val="32"/>
          <w:highlight w:val="yellow"/>
          <w:lang w:val="en-US" w:eastAsia="zh-CN"/>
        </w:rPr>
      </w:pPr>
      <w:bookmarkStart w:id="20" w:name="_Toc3647"/>
      <w:r>
        <w:rPr>
          <w:rFonts w:hint="eastAsia" w:ascii="Times New Roman" w:hAnsi="Times New Roman" w:eastAsia="仿宋_GB2312"/>
          <w:b w:val="0"/>
          <w:bCs/>
          <w:color w:val="000000"/>
          <w:spacing w:val="-4"/>
          <w:sz w:val="32"/>
          <w:szCs w:val="32"/>
          <w:lang w:val="en-US" w:eastAsia="zh-CN"/>
        </w:rPr>
        <w:t>2024</w:t>
      </w:r>
      <w:r>
        <w:rPr>
          <w:rFonts w:hint="eastAsia" w:ascii="仿宋_GB2312" w:hAnsi="楷体" w:eastAsia="仿宋_GB2312"/>
          <w:b w:val="0"/>
          <w:bCs/>
          <w:color w:val="000000"/>
          <w:spacing w:val="-4"/>
          <w:sz w:val="32"/>
          <w:szCs w:val="32"/>
          <w:lang w:val="en-US" w:eastAsia="zh-CN"/>
        </w:rPr>
        <w:t>年，霍尔果斯市人民代表大会常务委员会项目支出97.43万元，占总支出的17.84％。其中：一般行政管理事务支出5.55万元；人大会议支出25.24万元代表工作支出29.78万元； 其他人大事务支出支出36.85万元；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1"/>
        <w:rPr>
          <w:rFonts w:hint="eastAsia" w:ascii="楷体" w:hAnsi="楷体" w:eastAsia="楷体" w:cs="楷体"/>
          <w:b/>
          <w:sz w:val="32"/>
          <w:szCs w:val="32"/>
          <w:lang w:val="en-US" w:eastAsia="zh-CN"/>
        </w:rPr>
      </w:pPr>
      <w:r>
        <w:rPr>
          <w:rFonts w:hint="eastAsia" w:ascii="楷体" w:hAnsi="楷体" w:eastAsia="楷体" w:cs="楷体"/>
          <w:b/>
          <w:sz w:val="32"/>
          <w:szCs w:val="32"/>
          <w:lang w:val="en-US" w:eastAsia="zh-CN"/>
        </w:rPr>
        <w:t>（二）部门单位整体支出绩效指标完成情况</w:t>
      </w:r>
      <w:bookmarkEnd w:id="20"/>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bCs/>
          <w:color w:val="000000"/>
          <w:sz w:val="32"/>
          <w:szCs w:val="32"/>
          <w:lang w:val="en-US" w:eastAsia="zh-CN" w:bidi="ar"/>
        </w:rPr>
        <w:t>年初我单位设置部门整体绩效目标中包括一级指标1个，二级指标2个，三级指标5个，指标完成情况分析如下：</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rPr>
          <w:rFonts w:hint="default" w:ascii="楷体" w:hAnsi="楷体" w:eastAsia="楷体" w:cs="楷体"/>
          <w:b/>
          <w:bCs w:val="0"/>
          <w:color w:val="FF0000"/>
          <w:sz w:val="32"/>
          <w:szCs w:val="32"/>
          <w:lang w:val="en-US" w:eastAsia="zh-CN" w:bidi="ar"/>
        </w:rPr>
      </w:pPr>
      <w:r>
        <w:rPr>
          <w:rFonts w:hint="eastAsia" w:eastAsia="楷体" w:cs="楷体"/>
          <w:b/>
          <w:bCs w:val="0"/>
          <w:color w:val="auto"/>
          <w:sz w:val="32"/>
          <w:szCs w:val="32"/>
          <w:lang w:val="en-US" w:eastAsia="zh-CN" w:bidi="ar"/>
        </w:rPr>
        <w:t>1</w:t>
      </w:r>
      <w:r>
        <w:rPr>
          <w:rFonts w:hint="eastAsia" w:ascii="楷体" w:hAnsi="楷体" w:eastAsia="楷体" w:cs="楷体"/>
          <w:b/>
          <w:bCs w:val="0"/>
          <w:color w:val="auto"/>
          <w:sz w:val="32"/>
          <w:szCs w:val="32"/>
          <w:lang w:val="en-US" w:eastAsia="zh-CN" w:bidi="ar"/>
        </w:rPr>
        <w:t>.</w:t>
      </w:r>
      <w:r>
        <w:rPr>
          <w:rFonts w:hint="default" w:ascii="楷体" w:hAnsi="楷体" w:eastAsia="楷体" w:cs="楷体"/>
          <w:b/>
          <w:bCs w:val="0"/>
          <w:color w:val="auto"/>
          <w:sz w:val="32"/>
          <w:szCs w:val="32"/>
          <w:lang w:val="en-US" w:eastAsia="zh-CN" w:bidi="ar"/>
        </w:rPr>
        <w:t>履职效能</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Cs/>
          <w:color w:val="auto"/>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w:t>
      </w:r>
      <w:r>
        <w:rPr>
          <w:rFonts w:hint="eastAsia" w:ascii="Times New Roman" w:hAnsi="Times New Roman" w:eastAsia="仿宋_GB2312" w:cs="仿宋_GB2312"/>
          <w:color w:val="000000"/>
          <w:kern w:val="0"/>
          <w:sz w:val="32"/>
          <w:szCs w:val="32"/>
          <w:lang w:val="en-US" w:eastAsia="zh-CN" w:bidi="ar"/>
        </w:rPr>
        <w:t>1</w:t>
      </w:r>
      <w:r>
        <w:rPr>
          <w:rFonts w:hint="eastAsia" w:ascii="仿宋_GB2312" w:hAnsi="仿宋_GB2312" w:eastAsia="仿宋_GB2312" w:cs="仿宋_GB2312"/>
          <w:color w:val="000000"/>
          <w:kern w:val="0"/>
          <w:sz w:val="32"/>
          <w:szCs w:val="32"/>
          <w:lang w:val="en-US" w:eastAsia="zh-CN" w:bidi="ar"/>
        </w:rPr>
        <w:t>）</w:t>
      </w:r>
      <w:r>
        <w:rPr>
          <w:rFonts w:hint="eastAsia" w:ascii="仿宋_GB2312" w:hAnsi="仿宋_GB2312" w:eastAsia="仿宋_GB2312" w:cs="仿宋_GB2312"/>
          <w:bCs/>
          <w:color w:val="auto"/>
          <w:sz w:val="32"/>
          <w:szCs w:val="32"/>
          <w:lang w:val="en-US" w:eastAsia="zh-CN" w:bidi="ar"/>
        </w:rPr>
        <w:t>数量指标</w:t>
      </w:r>
    </w:p>
    <w:p>
      <w:pPr>
        <w:keepNext w:val="0"/>
        <w:keepLines w:val="0"/>
        <w:pageBreakBefore w:val="0"/>
        <w:kinsoku/>
        <w:wordWrap/>
        <w:overflowPunct/>
        <w:topLinePunct w:val="0"/>
        <w:autoSpaceDE/>
        <w:autoSpaceDN/>
        <w:bidi w:val="0"/>
        <w:adjustRightInd/>
        <w:spacing w:line="560" w:lineRule="exact"/>
        <w:ind w:firstLine="564" w:firstLineChars="181"/>
        <w:textAlignment w:val="auto"/>
        <w:rPr>
          <w:rStyle w:val="12"/>
          <w:rFonts w:hint="eastAsia" w:ascii="仿宋_GB2312" w:hAnsi="楷体" w:eastAsia="仿宋_GB2312" w:cs="Times New Roman"/>
          <w:b w:val="0"/>
          <w:spacing w:val="-4"/>
          <w:sz w:val="32"/>
          <w:szCs w:val="32"/>
          <w:lang w:val="en-US" w:eastAsia="zh-CN"/>
        </w:rPr>
      </w:pPr>
      <w:r>
        <w:rPr>
          <w:rStyle w:val="12"/>
          <w:rFonts w:hint="eastAsia" w:ascii="仿宋_GB2312" w:hAnsi="楷体" w:eastAsia="仿宋_GB2312" w:cs="Times New Roman"/>
          <w:b w:val="0"/>
          <w:spacing w:val="-4"/>
          <w:sz w:val="32"/>
          <w:szCs w:val="32"/>
        </w:rPr>
        <w:t>指标</w:t>
      </w:r>
      <w:r>
        <w:rPr>
          <w:rStyle w:val="12"/>
          <w:rFonts w:hint="eastAsia" w:ascii="仿宋_GB2312" w:hAnsi="楷体" w:eastAsia="仿宋_GB2312" w:cs="Times New Roman"/>
          <w:b w:val="0"/>
          <w:spacing w:val="-4"/>
          <w:sz w:val="32"/>
          <w:szCs w:val="32"/>
          <w:lang w:val="en-US" w:eastAsia="zh-CN"/>
        </w:rPr>
        <w:t>1</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组织人代会次数</w:t>
      </w:r>
      <w:r>
        <w:rPr>
          <w:rStyle w:val="12"/>
          <w:rFonts w:hint="eastAsia" w:ascii="仿宋_GB2312" w:hAnsi="楷体" w:eastAsia="仿宋_GB2312" w:cs="Times New Roman"/>
          <w:b w:val="0"/>
          <w:spacing w:val="-4"/>
          <w:sz w:val="32"/>
          <w:szCs w:val="32"/>
        </w:rPr>
        <w:t xml:space="preserve"> ，指标值：</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lang w:val="en-US" w:eastAsia="zh-CN"/>
        </w:rPr>
        <w:t>1次</w:t>
      </w:r>
      <w:r>
        <w:rPr>
          <w:rStyle w:val="12"/>
          <w:rFonts w:hint="eastAsia" w:ascii="仿宋_GB2312" w:hAnsi="楷体" w:eastAsia="仿宋_GB2312" w:cs="Times New Roman"/>
          <w:b w:val="0"/>
          <w:spacing w:val="-4"/>
          <w:sz w:val="32"/>
          <w:szCs w:val="32"/>
        </w:rPr>
        <w:t>，年中监控完成值：</w:t>
      </w:r>
      <w:r>
        <w:rPr>
          <w:rStyle w:val="12"/>
          <w:rFonts w:hint="eastAsia" w:ascii="仿宋_GB2312" w:hAnsi="楷体" w:eastAsia="仿宋_GB2312" w:cs="Times New Roman"/>
          <w:b w:val="0"/>
          <w:spacing w:val="-4"/>
          <w:sz w:val="32"/>
          <w:szCs w:val="32"/>
          <w:lang w:val="en-US" w:eastAsia="zh-CN"/>
        </w:rPr>
        <w:t>=1次</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自评完成值：</w:t>
      </w:r>
      <w:r>
        <w:rPr>
          <w:rStyle w:val="12"/>
          <w:rFonts w:hint="eastAsia" w:ascii="仿宋_GB2312" w:hAnsi="楷体" w:eastAsia="仿宋_GB2312" w:cs="Times New Roman"/>
          <w:b w:val="0"/>
          <w:spacing w:val="-4"/>
          <w:sz w:val="32"/>
          <w:szCs w:val="32"/>
          <w:lang w:val="en-US" w:eastAsia="zh-CN"/>
        </w:rPr>
        <w:t>1次</w:t>
      </w:r>
      <w:r>
        <w:rPr>
          <w:rStyle w:val="12"/>
          <w:rFonts w:hint="eastAsia" w:ascii="仿宋_GB2312" w:hAnsi="楷体" w:eastAsia="仿宋_GB2312" w:cs="Times New Roman"/>
          <w:b w:val="0"/>
          <w:spacing w:val="-4"/>
          <w:sz w:val="32"/>
          <w:szCs w:val="32"/>
        </w:rPr>
        <w:t>，指标完成率</w:t>
      </w:r>
      <w:r>
        <w:rPr>
          <w:rStyle w:val="12"/>
          <w:rFonts w:hint="eastAsia" w:ascii="仿宋_GB2312" w:hAnsi="楷体" w:eastAsia="仿宋_GB2312" w:cs="Times New Roman"/>
          <w:b w:val="0"/>
          <w:spacing w:val="-4"/>
          <w:sz w:val="32"/>
          <w:szCs w:val="32"/>
          <w:lang w:val="en-US" w:eastAsia="zh-CN"/>
        </w:rPr>
        <w:t>100</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偏差率</w:t>
      </w:r>
      <w:r>
        <w:rPr>
          <w:rStyle w:val="12"/>
          <w:rFonts w:hint="eastAsia" w:ascii="仿宋_GB2312" w:hAnsi="楷体" w:eastAsia="仿宋_GB2312" w:cs="Times New Roman"/>
          <w:b w:val="0"/>
          <w:spacing w:val="-4"/>
          <w:sz w:val="32"/>
          <w:szCs w:val="32"/>
          <w:lang w:val="en-US" w:eastAsia="zh-CN"/>
        </w:rPr>
        <w:t>0</w:t>
      </w:r>
      <w:r>
        <w:rPr>
          <w:rStyle w:val="12"/>
          <w:rFonts w:hint="eastAsia" w:ascii="仿宋_GB2312" w:hAnsi="楷体" w:eastAsia="仿宋_GB2312" w:cs="Times New Roman"/>
          <w:b w:val="0"/>
          <w:spacing w:val="-4"/>
          <w:sz w:val="32"/>
          <w:szCs w:val="32"/>
        </w:rPr>
        <w:t>%，偏差原因及改进措施</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lang w:val="en-US" w:eastAsia="zh-CN"/>
        </w:rPr>
        <w:t>无，指标成效分析：通过召开人大会议，有效联系人民群众，发挥与群众的桥梁纽带作用。</w:t>
      </w:r>
    </w:p>
    <w:p>
      <w:pPr>
        <w:keepNext w:val="0"/>
        <w:keepLines w:val="0"/>
        <w:pageBreakBefore w:val="0"/>
        <w:kinsoku/>
        <w:wordWrap/>
        <w:overflowPunct/>
        <w:topLinePunct w:val="0"/>
        <w:autoSpaceDE/>
        <w:autoSpaceDN/>
        <w:bidi w:val="0"/>
        <w:adjustRightInd/>
        <w:spacing w:line="560" w:lineRule="exact"/>
        <w:ind w:firstLine="564" w:firstLineChars="181"/>
        <w:textAlignment w:val="auto"/>
        <w:rPr>
          <w:rStyle w:val="12"/>
          <w:rFonts w:ascii="仿宋_GB2312" w:hAnsi="楷体" w:eastAsia="仿宋_GB2312" w:cs="Times New Roman"/>
          <w:b w:val="0"/>
          <w:color w:val="FF0000"/>
          <w:spacing w:val="-4"/>
          <w:sz w:val="32"/>
          <w:szCs w:val="32"/>
        </w:rPr>
      </w:pPr>
      <w:r>
        <w:rPr>
          <w:rStyle w:val="12"/>
          <w:rFonts w:hint="eastAsia" w:ascii="仿宋_GB2312" w:hAnsi="楷体" w:eastAsia="仿宋_GB2312" w:cs="Times New Roman"/>
          <w:b w:val="0"/>
          <w:spacing w:val="-4"/>
          <w:sz w:val="32"/>
          <w:szCs w:val="32"/>
        </w:rPr>
        <w:t>指标</w:t>
      </w:r>
      <w:r>
        <w:rPr>
          <w:rStyle w:val="12"/>
          <w:rFonts w:hint="eastAsia" w:ascii="仿宋_GB2312" w:hAnsi="楷体" w:eastAsia="仿宋_GB2312" w:cs="Times New Roman"/>
          <w:b w:val="0"/>
          <w:spacing w:val="-4"/>
          <w:sz w:val="32"/>
          <w:szCs w:val="32"/>
          <w:lang w:val="en-US" w:eastAsia="zh-CN"/>
        </w:rPr>
        <w:t>2</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召开人大常委会次数，指标值：≥</w:t>
      </w:r>
      <w:r>
        <w:rPr>
          <w:rStyle w:val="12"/>
          <w:rFonts w:hint="eastAsia" w:ascii="仿宋_GB2312" w:hAnsi="楷体" w:eastAsia="仿宋_GB2312" w:cs="Times New Roman"/>
          <w:b w:val="0"/>
          <w:spacing w:val="-4"/>
          <w:sz w:val="32"/>
          <w:szCs w:val="32"/>
          <w:lang w:val="en-US" w:eastAsia="zh-CN"/>
        </w:rPr>
        <w:t>7次，</w:t>
      </w:r>
      <w:r>
        <w:rPr>
          <w:rStyle w:val="12"/>
          <w:rFonts w:hint="eastAsia" w:ascii="仿宋_GB2312" w:hAnsi="楷体" w:eastAsia="仿宋_GB2312" w:cs="Times New Roman"/>
          <w:b w:val="0"/>
          <w:spacing w:val="-4"/>
          <w:sz w:val="32"/>
          <w:szCs w:val="32"/>
        </w:rPr>
        <w:t>年中监控完成值：</w:t>
      </w:r>
      <w:r>
        <w:rPr>
          <w:rStyle w:val="12"/>
          <w:rFonts w:hint="eastAsia" w:ascii="仿宋_GB2312" w:hAnsi="楷体" w:eastAsia="仿宋_GB2312" w:cs="Times New Roman"/>
          <w:b w:val="0"/>
          <w:spacing w:val="-4"/>
          <w:sz w:val="32"/>
          <w:szCs w:val="32"/>
          <w:lang w:val="en-US" w:eastAsia="zh-CN"/>
        </w:rPr>
        <w:t>3次</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自评完成值：</w:t>
      </w:r>
      <w:r>
        <w:rPr>
          <w:rStyle w:val="12"/>
          <w:rFonts w:hint="eastAsia" w:ascii="仿宋_GB2312" w:hAnsi="楷体" w:eastAsia="仿宋_GB2312" w:cs="Times New Roman"/>
          <w:b w:val="0"/>
          <w:spacing w:val="-4"/>
          <w:sz w:val="32"/>
          <w:szCs w:val="32"/>
          <w:lang w:val="en-US" w:eastAsia="zh-CN"/>
        </w:rPr>
        <w:t>7次</w:t>
      </w:r>
      <w:r>
        <w:rPr>
          <w:rStyle w:val="12"/>
          <w:rFonts w:hint="eastAsia" w:ascii="仿宋_GB2312" w:hAnsi="楷体" w:eastAsia="仿宋_GB2312" w:cs="Times New Roman"/>
          <w:b w:val="0"/>
          <w:spacing w:val="-4"/>
          <w:sz w:val="32"/>
          <w:szCs w:val="32"/>
        </w:rPr>
        <w:t>，指标完成率</w:t>
      </w:r>
      <w:r>
        <w:rPr>
          <w:rStyle w:val="12"/>
          <w:rFonts w:hint="eastAsia" w:ascii="仿宋_GB2312" w:hAnsi="楷体" w:eastAsia="仿宋_GB2312" w:cs="Times New Roman"/>
          <w:b w:val="0"/>
          <w:spacing w:val="-4"/>
          <w:sz w:val="32"/>
          <w:szCs w:val="32"/>
          <w:lang w:val="en-US" w:eastAsia="zh-CN"/>
        </w:rPr>
        <w:t>100</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偏差率</w:t>
      </w:r>
      <w:r>
        <w:rPr>
          <w:rStyle w:val="12"/>
          <w:rFonts w:hint="eastAsia" w:ascii="仿宋_GB2312" w:hAnsi="楷体" w:eastAsia="仿宋_GB2312" w:cs="Times New Roman"/>
          <w:b w:val="0"/>
          <w:spacing w:val="-4"/>
          <w:sz w:val="32"/>
          <w:szCs w:val="32"/>
          <w:lang w:val="en-US" w:eastAsia="zh-CN"/>
        </w:rPr>
        <w:t>0</w:t>
      </w:r>
      <w:r>
        <w:rPr>
          <w:rStyle w:val="12"/>
          <w:rFonts w:hint="eastAsia" w:ascii="仿宋_GB2312" w:hAnsi="楷体" w:eastAsia="仿宋_GB2312" w:cs="Times New Roman"/>
          <w:b w:val="0"/>
          <w:spacing w:val="-4"/>
          <w:sz w:val="32"/>
          <w:szCs w:val="32"/>
        </w:rPr>
        <w:t>%，偏差原因及改进措施</w:t>
      </w:r>
      <w:r>
        <w:rPr>
          <w:rStyle w:val="12"/>
          <w:rFonts w:hint="eastAsia" w:ascii="仿宋_GB2312" w:hAnsi="楷体" w:eastAsia="仿宋_GB2312" w:cs="Times New Roman"/>
          <w:b w:val="0"/>
          <w:spacing w:val="-4"/>
          <w:sz w:val="32"/>
          <w:szCs w:val="32"/>
          <w:lang w:eastAsia="zh-CN"/>
        </w:rPr>
        <w:t>：无，</w:t>
      </w:r>
      <w:r>
        <w:rPr>
          <w:rStyle w:val="12"/>
          <w:rFonts w:hint="eastAsia" w:ascii="仿宋_GB2312" w:hAnsi="楷体" w:eastAsia="仿宋_GB2312" w:cs="Times New Roman"/>
          <w:b w:val="0"/>
          <w:spacing w:val="-4"/>
          <w:sz w:val="32"/>
          <w:szCs w:val="32"/>
          <w:lang w:val="en-US" w:eastAsia="zh-CN"/>
        </w:rPr>
        <w:t>指标成效分析：通过召开人大常委会会议，有效发挥代表监督作用，圆满完成各项人事任免工作。</w:t>
      </w:r>
    </w:p>
    <w:p>
      <w:pPr>
        <w:keepNext w:val="0"/>
        <w:keepLines w:val="0"/>
        <w:pageBreakBefore w:val="0"/>
        <w:kinsoku/>
        <w:wordWrap/>
        <w:overflowPunct/>
        <w:topLinePunct w:val="0"/>
        <w:autoSpaceDE/>
        <w:autoSpaceDN/>
        <w:bidi w:val="0"/>
        <w:adjustRightInd/>
        <w:spacing w:line="560" w:lineRule="exact"/>
        <w:ind w:firstLine="564" w:firstLineChars="181"/>
        <w:textAlignment w:val="auto"/>
        <w:rPr>
          <w:rStyle w:val="12"/>
          <w:rFonts w:hint="eastAsia" w:ascii="仿宋_GB2312" w:hAnsi="楷体" w:eastAsia="仿宋_GB2312" w:cs="Times New Roman"/>
          <w:b w:val="0"/>
          <w:spacing w:val="-4"/>
          <w:sz w:val="32"/>
          <w:szCs w:val="32"/>
          <w:lang w:val="en-US" w:eastAsia="zh-CN"/>
        </w:rPr>
      </w:pPr>
      <w:r>
        <w:rPr>
          <w:rStyle w:val="12"/>
          <w:rFonts w:hint="eastAsia" w:ascii="仿宋_GB2312" w:hAnsi="楷体" w:eastAsia="仿宋_GB2312" w:cs="Times New Roman"/>
          <w:b w:val="0"/>
          <w:spacing w:val="-4"/>
          <w:sz w:val="32"/>
          <w:szCs w:val="32"/>
        </w:rPr>
        <w:t>指标</w:t>
      </w:r>
      <w:r>
        <w:rPr>
          <w:rStyle w:val="12"/>
          <w:rFonts w:hint="eastAsia" w:ascii="仿宋_GB2312" w:hAnsi="楷体" w:eastAsia="仿宋_GB2312" w:cs="Times New Roman"/>
          <w:b w:val="0"/>
          <w:spacing w:val="-4"/>
          <w:sz w:val="32"/>
          <w:szCs w:val="32"/>
          <w:lang w:val="en-US" w:eastAsia="zh-CN"/>
        </w:rPr>
        <w:t>3</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人大代表履职培训次数，指标值：≥</w:t>
      </w:r>
      <w:r>
        <w:rPr>
          <w:rStyle w:val="12"/>
          <w:rFonts w:hint="eastAsia" w:ascii="仿宋_GB2312" w:hAnsi="楷体" w:eastAsia="仿宋_GB2312" w:cs="Times New Roman"/>
          <w:b w:val="0"/>
          <w:spacing w:val="-4"/>
          <w:sz w:val="32"/>
          <w:szCs w:val="32"/>
          <w:lang w:val="en-US" w:eastAsia="zh-CN"/>
        </w:rPr>
        <w:t>2次，</w:t>
      </w:r>
      <w:r>
        <w:rPr>
          <w:rStyle w:val="12"/>
          <w:rFonts w:hint="eastAsia" w:ascii="仿宋_GB2312" w:hAnsi="楷体" w:eastAsia="仿宋_GB2312" w:cs="Times New Roman"/>
          <w:b w:val="0"/>
          <w:spacing w:val="-4"/>
          <w:sz w:val="32"/>
          <w:szCs w:val="32"/>
        </w:rPr>
        <w:t>年中监控完成值：</w:t>
      </w:r>
      <w:r>
        <w:rPr>
          <w:rStyle w:val="12"/>
          <w:rFonts w:hint="eastAsia" w:ascii="仿宋_GB2312" w:hAnsi="楷体" w:eastAsia="仿宋_GB2312" w:cs="Times New Roman"/>
          <w:b w:val="0"/>
          <w:spacing w:val="-4"/>
          <w:sz w:val="32"/>
          <w:szCs w:val="32"/>
          <w:lang w:val="en-US" w:eastAsia="zh-CN"/>
        </w:rPr>
        <w:t>1次</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自评完成值：</w:t>
      </w:r>
      <w:r>
        <w:rPr>
          <w:rStyle w:val="12"/>
          <w:rFonts w:hint="eastAsia" w:ascii="仿宋_GB2312" w:hAnsi="楷体" w:eastAsia="仿宋_GB2312" w:cs="Times New Roman"/>
          <w:b w:val="0"/>
          <w:spacing w:val="-4"/>
          <w:sz w:val="32"/>
          <w:szCs w:val="32"/>
          <w:lang w:val="en-US" w:eastAsia="zh-CN"/>
        </w:rPr>
        <w:t>2次</w:t>
      </w:r>
      <w:r>
        <w:rPr>
          <w:rStyle w:val="12"/>
          <w:rFonts w:hint="eastAsia" w:ascii="仿宋_GB2312" w:hAnsi="楷体" w:eastAsia="仿宋_GB2312" w:cs="Times New Roman"/>
          <w:b w:val="0"/>
          <w:spacing w:val="-4"/>
          <w:sz w:val="32"/>
          <w:szCs w:val="32"/>
        </w:rPr>
        <w:t>，指标完成率</w:t>
      </w:r>
      <w:r>
        <w:rPr>
          <w:rStyle w:val="12"/>
          <w:rFonts w:hint="eastAsia" w:ascii="仿宋_GB2312" w:hAnsi="楷体" w:eastAsia="仿宋_GB2312" w:cs="Times New Roman"/>
          <w:b w:val="0"/>
          <w:spacing w:val="-4"/>
          <w:sz w:val="32"/>
          <w:szCs w:val="32"/>
          <w:lang w:val="en-US" w:eastAsia="zh-CN"/>
        </w:rPr>
        <w:t>100</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偏差率</w:t>
      </w:r>
      <w:r>
        <w:rPr>
          <w:rStyle w:val="12"/>
          <w:rFonts w:hint="eastAsia" w:ascii="仿宋_GB2312" w:hAnsi="楷体" w:eastAsia="仿宋_GB2312" w:cs="Times New Roman"/>
          <w:b w:val="0"/>
          <w:spacing w:val="-4"/>
          <w:sz w:val="32"/>
          <w:szCs w:val="32"/>
          <w:lang w:val="en-US" w:eastAsia="zh-CN"/>
        </w:rPr>
        <w:t>0</w:t>
      </w:r>
      <w:r>
        <w:rPr>
          <w:rStyle w:val="12"/>
          <w:rFonts w:hint="eastAsia" w:ascii="仿宋_GB2312" w:hAnsi="楷体" w:eastAsia="仿宋_GB2312" w:cs="Times New Roman"/>
          <w:b w:val="0"/>
          <w:spacing w:val="-4"/>
          <w:sz w:val="32"/>
          <w:szCs w:val="32"/>
        </w:rPr>
        <w:t>%，偏差原因及改进措施</w:t>
      </w:r>
      <w:r>
        <w:rPr>
          <w:rStyle w:val="12"/>
          <w:rFonts w:hint="eastAsia" w:ascii="仿宋_GB2312" w:hAnsi="楷体" w:eastAsia="仿宋_GB2312" w:cs="Times New Roman"/>
          <w:b w:val="0"/>
          <w:spacing w:val="-4"/>
          <w:sz w:val="32"/>
          <w:szCs w:val="32"/>
          <w:lang w:eastAsia="zh-CN"/>
        </w:rPr>
        <w:t>：无，</w:t>
      </w:r>
      <w:r>
        <w:rPr>
          <w:rStyle w:val="12"/>
          <w:rFonts w:hint="eastAsia" w:ascii="仿宋_GB2312" w:hAnsi="楷体" w:eastAsia="仿宋_GB2312" w:cs="Times New Roman"/>
          <w:b w:val="0"/>
          <w:spacing w:val="-4"/>
          <w:sz w:val="32"/>
          <w:szCs w:val="32"/>
          <w:lang w:val="en-US" w:eastAsia="zh-CN"/>
        </w:rPr>
        <w:t>指标成效分析：通过</w:t>
      </w:r>
      <w:r>
        <w:rPr>
          <w:rStyle w:val="12"/>
          <w:rFonts w:hint="eastAsia" w:ascii="仿宋_GB2312" w:hAnsi="楷体" w:eastAsia="仿宋_GB2312" w:cs="Times New Roman"/>
          <w:b w:val="0"/>
          <w:spacing w:val="-4"/>
          <w:sz w:val="32"/>
          <w:szCs w:val="32"/>
          <w:lang w:eastAsia="zh-CN"/>
        </w:rPr>
        <w:t>人大代表开展履职培训工作，有效</w:t>
      </w:r>
      <w:r>
        <w:rPr>
          <w:rStyle w:val="12"/>
          <w:rFonts w:hint="eastAsia" w:ascii="仿宋_GB2312" w:hAnsi="楷体" w:eastAsia="仿宋_GB2312" w:cs="Times New Roman"/>
          <w:b w:val="0"/>
          <w:spacing w:val="-4"/>
          <w:sz w:val="32"/>
          <w:szCs w:val="32"/>
          <w:lang w:val="en-US" w:eastAsia="zh-CN"/>
        </w:rPr>
        <w:t>提升人大代表履职能力，增强了人大代表政治和法律素养。</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24" w:firstLineChars="200"/>
        <w:textAlignment w:val="auto"/>
        <w:rPr>
          <w:rFonts w:hint="eastAsia" w:ascii="仿宋_GB2312" w:hAnsi="仿宋_GB2312" w:eastAsia="仿宋_GB2312" w:cs="仿宋_GB2312"/>
          <w:color w:val="000000"/>
          <w:kern w:val="0"/>
          <w:sz w:val="32"/>
          <w:szCs w:val="32"/>
          <w:lang w:val="en-US" w:eastAsia="zh-CN" w:bidi="ar"/>
        </w:rPr>
      </w:pPr>
      <w:r>
        <w:rPr>
          <w:rStyle w:val="12"/>
          <w:rFonts w:hint="eastAsia" w:ascii="仿宋_GB2312" w:hAnsi="楷体" w:eastAsia="仿宋_GB2312" w:cs="Times New Roman"/>
          <w:b w:val="0"/>
          <w:spacing w:val="-4"/>
          <w:sz w:val="32"/>
          <w:szCs w:val="32"/>
        </w:rPr>
        <w:t>指标</w:t>
      </w:r>
      <w:r>
        <w:rPr>
          <w:rStyle w:val="12"/>
          <w:rFonts w:hint="eastAsia" w:ascii="仿宋_GB2312" w:hAnsi="楷体" w:eastAsia="仿宋_GB2312" w:cs="Times New Roman"/>
          <w:b w:val="0"/>
          <w:spacing w:val="-4"/>
          <w:sz w:val="32"/>
          <w:szCs w:val="32"/>
          <w:lang w:val="en-US" w:eastAsia="zh-CN"/>
        </w:rPr>
        <w:t>4</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组织人大代表开展三查“察”活动次数，指标值：≥</w:t>
      </w:r>
      <w:r>
        <w:rPr>
          <w:rStyle w:val="12"/>
          <w:rFonts w:hint="eastAsia" w:ascii="仿宋_GB2312" w:hAnsi="楷体" w:eastAsia="仿宋_GB2312" w:cs="Times New Roman"/>
          <w:b w:val="0"/>
          <w:spacing w:val="-4"/>
          <w:sz w:val="32"/>
          <w:szCs w:val="32"/>
          <w:lang w:val="en-US" w:eastAsia="zh-CN"/>
        </w:rPr>
        <w:t>14次，</w:t>
      </w:r>
      <w:r>
        <w:rPr>
          <w:rStyle w:val="12"/>
          <w:rFonts w:hint="eastAsia" w:ascii="仿宋_GB2312" w:hAnsi="楷体" w:eastAsia="仿宋_GB2312" w:cs="Times New Roman"/>
          <w:b w:val="0"/>
          <w:spacing w:val="-4"/>
          <w:sz w:val="32"/>
          <w:szCs w:val="32"/>
        </w:rPr>
        <w:t>年中监控完成值：</w:t>
      </w:r>
      <w:r>
        <w:rPr>
          <w:rStyle w:val="12"/>
          <w:rFonts w:hint="eastAsia" w:ascii="仿宋_GB2312" w:hAnsi="楷体" w:eastAsia="仿宋_GB2312" w:cs="Times New Roman"/>
          <w:b w:val="0"/>
          <w:spacing w:val="-4"/>
          <w:sz w:val="32"/>
          <w:szCs w:val="32"/>
          <w:lang w:val="en-US" w:eastAsia="zh-CN"/>
        </w:rPr>
        <w:t>7次</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自评完成值：</w:t>
      </w:r>
      <w:r>
        <w:rPr>
          <w:rStyle w:val="12"/>
          <w:rFonts w:hint="eastAsia" w:ascii="仿宋_GB2312" w:hAnsi="楷体" w:eastAsia="仿宋_GB2312" w:cs="Times New Roman"/>
          <w:b w:val="0"/>
          <w:spacing w:val="-4"/>
          <w:sz w:val="32"/>
          <w:szCs w:val="32"/>
          <w:lang w:val="en-US" w:eastAsia="zh-CN"/>
        </w:rPr>
        <w:t>18次</w:t>
      </w:r>
      <w:r>
        <w:rPr>
          <w:rStyle w:val="12"/>
          <w:rFonts w:hint="eastAsia" w:ascii="仿宋_GB2312" w:hAnsi="楷体" w:eastAsia="仿宋_GB2312" w:cs="Times New Roman"/>
          <w:b w:val="0"/>
          <w:spacing w:val="-4"/>
          <w:sz w:val="32"/>
          <w:szCs w:val="32"/>
        </w:rPr>
        <w:t>，指标完成率</w:t>
      </w:r>
      <w:r>
        <w:rPr>
          <w:rStyle w:val="12"/>
          <w:rFonts w:hint="eastAsia" w:ascii="仿宋_GB2312" w:hAnsi="楷体" w:eastAsia="仿宋_GB2312" w:cs="Times New Roman"/>
          <w:b w:val="0"/>
          <w:spacing w:val="-4"/>
          <w:sz w:val="32"/>
          <w:szCs w:val="32"/>
          <w:lang w:val="en-US" w:eastAsia="zh-CN"/>
        </w:rPr>
        <w:t>128.57</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偏差率</w:t>
      </w:r>
      <w:r>
        <w:rPr>
          <w:rStyle w:val="12"/>
          <w:rFonts w:hint="eastAsia" w:ascii="仿宋_GB2312" w:hAnsi="楷体" w:eastAsia="仿宋_GB2312" w:cs="Times New Roman"/>
          <w:b w:val="0"/>
          <w:spacing w:val="-4"/>
          <w:sz w:val="32"/>
          <w:szCs w:val="32"/>
          <w:lang w:val="en-US" w:eastAsia="zh-CN"/>
        </w:rPr>
        <w:t>28.57</w:t>
      </w:r>
      <w:r>
        <w:rPr>
          <w:rStyle w:val="12"/>
          <w:rFonts w:hint="eastAsia" w:ascii="仿宋_GB2312" w:hAnsi="楷体" w:eastAsia="仿宋_GB2312" w:cs="Times New Roman"/>
          <w:b w:val="0"/>
          <w:spacing w:val="-4"/>
          <w:sz w:val="32"/>
          <w:szCs w:val="32"/>
        </w:rPr>
        <w:t>%，偏差原因及改进措施</w:t>
      </w:r>
      <w:r>
        <w:rPr>
          <w:rStyle w:val="12"/>
          <w:rFonts w:hint="eastAsia" w:ascii="仿宋_GB2312" w:hAnsi="楷体" w:eastAsia="仿宋_GB2312" w:cs="Times New Roman"/>
          <w:b w:val="0"/>
          <w:spacing w:val="-4"/>
          <w:sz w:val="32"/>
          <w:szCs w:val="32"/>
          <w:lang w:eastAsia="zh-CN"/>
        </w:rPr>
        <w:t>：外县市人大来霍开展调研活动次数增多，下一年结合近三年情况精准设置指标值。</w:t>
      </w:r>
      <w:r>
        <w:rPr>
          <w:rStyle w:val="12"/>
          <w:rFonts w:hint="eastAsia" w:ascii="仿宋_GB2312" w:hAnsi="楷体" w:eastAsia="仿宋_GB2312" w:cs="Times New Roman"/>
          <w:b w:val="0"/>
          <w:spacing w:val="-4"/>
          <w:sz w:val="32"/>
          <w:szCs w:val="32"/>
          <w:lang w:val="en-US" w:eastAsia="zh-CN"/>
        </w:rPr>
        <w:t>指标成效分析：通过</w:t>
      </w:r>
      <w:r>
        <w:rPr>
          <w:rStyle w:val="12"/>
          <w:rFonts w:hint="eastAsia" w:ascii="仿宋_GB2312" w:hAnsi="楷体" w:eastAsia="仿宋_GB2312" w:cs="Times New Roman"/>
          <w:b w:val="0"/>
          <w:spacing w:val="-4"/>
          <w:sz w:val="32"/>
          <w:szCs w:val="32"/>
          <w:lang w:eastAsia="zh-CN"/>
        </w:rPr>
        <w:t>组织人大代表开展三查“察”活动工作，有效</w:t>
      </w:r>
      <w:r>
        <w:rPr>
          <w:rStyle w:val="12"/>
          <w:rFonts w:hint="eastAsia" w:ascii="仿宋_GB2312" w:hAnsi="楷体" w:eastAsia="仿宋_GB2312" w:cs="Times New Roman"/>
          <w:b w:val="0"/>
          <w:spacing w:val="-4"/>
          <w:sz w:val="32"/>
          <w:szCs w:val="32"/>
          <w:lang w:val="en-US" w:eastAsia="zh-CN"/>
        </w:rPr>
        <w:t>发挥人大监督职能，进一步推动政府工作有序开展。</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Cs/>
          <w:color w:val="00000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w:t>
      </w:r>
      <w:r>
        <w:rPr>
          <w:rFonts w:hint="eastAsia" w:ascii="Times New Roman" w:hAnsi="Times New Roman" w:eastAsia="仿宋_GB2312" w:cs="仿宋_GB2312"/>
          <w:color w:val="000000"/>
          <w:kern w:val="0"/>
          <w:sz w:val="32"/>
          <w:szCs w:val="32"/>
          <w:lang w:val="en-US" w:eastAsia="zh-CN" w:bidi="ar"/>
        </w:rPr>
        <w:t>2</w:t>
      </w:r>
      <w:r>
        <w:rPr>
          <w:rFonts w:hint="eastAsia" w:ascii="仿宋_GB2312" w:hAnsi="仿宋_GB2312" w:eastAsia="仿宋_GB2312" w:cs="仿宋_GB2312"/>
          <w:color w:val="000000"/>
          <w:kern w:val="0"/>
          <w:sz w:val="32"/>
          <w:szCs w:val="32"/>
          <w:lang w:val="en-US" w:eastAsia="zh-CN" w:bidi="ar"/>
        </w:rPr>
        <w:t>）</w:t>
      </w:r>
      <w:r>
        <w:rPr>
          <w:rFonts w:hint="eastAsia" w:ascii="仿宋_GB2312" w:hAnsi="仿宋_GB2312" w:eastAsia="仿宋_GB2312" w:cs="仿宋_GB2312"/>
          <w:bCs/>
          <w:color w:val="000000"/>
          <w:sz w:val="32"/>
          <w:szCs w:val="32"/>
          <w:lang w:val="en-US" w:eastAsia="zh-CN" w:bidi="ar"/>
        </w:rPr>
        <w:t>质量指标</w:t>
      </w:r>
    </w:p>
    <w:p>
      <w:pPr>
        <w:keepNext w:val="0"/>
        <w:keepLines w:val="0"/>
        <w:pageBreakBefore w:val="0"/>
        <w:kinsoku/>
        <w:wordWrap/>
        <w:overflowPunct/>
        <w:topLinePunct w:val="0"/>
        <w:autoSpaceDE/>
        <w:autoSpaceDN/>
        <w:bidi w:val="0"/>
        <w:adjustRightInd/>
        <w:spacing w:line="560" w:lineRule="exact"/>
        <w:ind w:firstLine="564" w:firstLineChars="181"/>
        <w:textAlignment w:val="auto"/>
        <w:rPr>
          <w:rStyle w:val="12"/>
          <w:rFonts w:hint="default" w:ascii="仿宋_GB2312" w:hAnsi="楷体" w:eastAsia="仿宋_GB2312" w:cs="Times New Roman"/>
          <w:b w:val="0"/>
          <w:color w:val="FF0000"/>
          <w:spacing w:val="-4"/>
          <w:sz w:val="32"/>
          <w:szCs w:val="32"/>
          <w:lang w:val="en-US"/>
        </w:rPr>
      </w:pPr>
      <w:r>
        <w:rPr>
          <w:rStyle w:val="12"/>
          <w:rFonts w:hint="eastAsia" w:ascii="仿宋_GB2312" w:hAnsi="楷体" w:eastAsia="仿宋_GB2312" w:cs="Times New Roman"/>
          <w:b w:val="0"/>
          <w:spacing w:val="-4"/>
          <w:sz w:val="32"/>
          <w:szCs w:val="32"/>
        </w:rPr>
        <w:t>指标</w:t>
      </w:r>
      <w:r>
        <w:rPr>
          <w:rStyle w:val="12"/>
          <w:rFonts w:hint="eastAsia" w:ascii="仿宋_GB2312" w:hAnsi="楷体" w:eastAsia="仿宋_GB2312" w:cs="Times New Roman"/>
          <w:b w:val="0"/>
          <w:spacing w:val="-4"/>
          <w:sz w:val="32"/>
          <w:szCs w:val="32"/>
          <w:lang w:val="en-US" w:eastAsia="zh-CN"/>
        </w:rPr>
        <w:t>1</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代表意见建议办理完成率，指标值：≥</w:t>
      </w:r>
      <w:r>
        <w:rPr>
          <w:rStyle w:val="12"/>
          <w:rFonts w:hint="eastAsia" w:ascii="仿宋_GB2312" w:hAnsi="楷体" w:eastAsia="仿宋_GB2312" w:cs="Times New Roman"/>
          <w:b w:val="0"/>
          <w:spacing w:val="-4"/>
          <w:sz w:val="32"/>
          <w:szCs w:val="32"/>
          <w:lang w:val="en-US" w:eastAsia="zh-CN"/>
        </w:rPr>
        <w:t>90%，</w:t>
      </w:r>
      <w:r>
        <w:rPr>
          <w:rStyle w:val="12"/>
          <w:rFonts w:hint="eastAsia" w:ascii="仿宋_GB2312" w:hAnsi="楷体" w:eastAsia="仿宋_GB2312" w:cs="Times New Roman"/>
          <w:b w:val="0"/>
          <w:spacing w:val="-4"/>
          <w:sz w:val="32"/>
          <w:szCs w:val="32"/>
        </w:rPr>
        <w:t>年中监控完成值：</w:t>
      </w:r>
      <w:r>
        <w:rPr>
          <w:rStyle w:val="12"/>
          <w:rFonts w:hint="eastAsia" w:ascii="仿宋_GB2312" w:hAnsi="楷体" w:eastAsia="仿宋_GB2312" w:cs="Times New Roman"/>
          <w:b w:val="0"/>
          <w:spacing w:val="-4"/>
          <w:sz w:val="32"/>
          <w:szCs w:val="32"/>
          <w:lang w:val="en-US" w:eastAsia="zh-CN"/>
        </w:rPr>
        <w:t>90%</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自评完成值：</w:t>
      </w:r>
      <w:r>
        <w:rPr>
          <w:rStyle w:val="12"/>
          <w:rFonts w:hint="eastAsia" w:ascii="仿宋_GB2312" w:hAnsi="楷体" w:eastAsia="仿宋_GB2312" w:cs="Times New Roman"/>
          <w:b w:val="0"/>
          <w:spacing w:val="-4"/>
          <w:sz w:val="32"/>
          <w:szCs w:val="32"/>
          <w:lang w:val="en-US" w:eastAsia="zh-CN"/>
        </w:rPr>
        <w:t>90%</w:t>
      </w:r>
      <w:r>
        <w:rPr>
          <w:rStyle w:val="12"/>
          <w:rFonts w:hint="eastAsia" w:ascii="仿宋_GB2312" w:hAnsi="楷体" w:eastAsia="仿宋_GB2312" w:cs="Times New Roman"/>
          <w:b w:val="0"/>
          <w:spacing w:val="-4"/>
          <w:sz w:val="32"/>
          <w:szCs w:val="32"/>
        </w:rPr>
        <w:t>，指标完成率</w:t>
      </w:r>
      <w:r>
        <w:rPr>
          <w:rStyle w:val="12"/>
          <w:rFonts w:hint="eastAsia" w:ascii="仿宋_GB2312" w:hAnsi="楷体" w:eastAsia="仿宋_GB2312" w:cs="Times New Roman"/>
          <w:b w:val="0"/>
          <w:spacing w:val="-4"/>
          <w:sz w:val="32"/>
          <w:szCs w:val="32"/>
          <w:lang w:val="en-US" w:eastAsia="zh-CN"/>
        </w:rPr>
        <w:t>100</w:t>
      </w:r>
      <w:r>
        <w:rPr>
          <w:rStyle w:val="12"/>
          <w:rFonts w:hint="eastAsia" w:ascii="仿宋_GB2312" w:hAnsi="楷体" w:eastAsia="仿宋_GB2312" w:cs="Times New Roman"/>
          <w:b w:val="0"/>
          <w:spacing w:val="-4"/>
          <w:sz w:val="32"/>
          <w:szCs w:val="32"/>
        </w:rPr>
        <w:t>%</w:t>
      </w:r>
      <w:r>
        <w:rPr>
          <w:rStyle w:val="12"/>
          <w:rFonts w:hint="eastAsia" w:ascii="仿宋_GB2312" w:hAnsi="楷体" w:eastAsia="仿宋_GB2312" w:cs="Times New Roman"/>
          <w:b w:val="0"/>
          <w:spacing w:val="-4"/>
          <w:sz w:val="32"/>
          <w:szCs w:val="32"/>
          <w:lang w:eastAsia="zh-CN"/>
        </w:rPr>
        <w:t>，</w:t>
      </w:r>
      <w:r>
        <w:rPr>
          <w:rStyle w:val="12"/>
          <w:rFonts w:hint="eastAsia" w:ascii="仿宋_GB2312" w:hAnsi="楷体" w:eastAsia="仿宋_GB2312" w:cs="Times New Roman"/>
          <w:b w:val="0"/>
          <w:spacing w:val="-4"/>
          <w:sz w:val="32"/>
          <w:szCs w:val="32"/>
        </w:rPr>
        <w:t>偏差率</w:t>
      </w:r>
      <w:r>
        <w:rPr>
          <w:rStyle w:val="12"/>
          <w:rFonts w:hint="eastAsia" w:ascii="仿宋_GB2312" w:hAnsi="楷体" w:eastAsia="仿宋_GB2312" w:cs="Times New Roman"/>
          <w:b w:val="0"/>
          <w:spacing w:val="-4"/>
          <w:sz w:val="32"/>
          <w:szCs w:val="32"/>
          <w:lang w:val="en-US" w:eastAsia="zh-CN"/>
        </w:rPr>
        <w:t>0%</w:t>
      </w:r>
      <w:r>
        <w:rPr>
          <w:rStyle w:val="12"/>
          <w:rFonts w:hint="eastAsia" w:ascii="仿宋_GB2312" w:hAnsi="楷体" w:eastAsia="仿宋_GB2312" w:cs="Times New Roman"/>
          <w:b w:val="0"/>
          <w:spacing w:val="-4"/>
          <w:sz w:val="32"/>
          <w:szCs w:val="32"/>
        </w:rPr>
        <w:t>，偏差原因及改进措施</w:t>
      </w:r>
      <w:r>
        <w:rPr>
          <w:rStyle w:val="12"/>
          <w:rFonts w:hint="eastAsia" w:ascii="仿宋_GB2312" w:hAnsi="楷体" w:eastAsia="仿宋_GB2312" w:cs="Times New Roman"/>
          <w:b w:val="0"/>
          <w:spacing w:val="-4"/>
          <w:sz w:val="32"/>
          <w:szCs w:val="32"/>
          <w:lang w:eastAsia="zh-CN"/>
        </w:rPr>
        <w:t>：无，</w:t>
      </w:r>
      <w:r>
        <w:rPr>
          <w:rStyle w:val="12"/>
          <w:rFonts w:hint="eastAsia" w:ascii="仿宋_GB2312" w:hAnsi="楷体" w:eastAsia="仿宋_GB2312" w:cs="Times New Roman"/>
          <w:b w:val="0"/>
          <w:spacing w:val="-4"/>
          <w:sz w:val="32"/>
          <w:szCs w:val="32"/>
          <w:lang w:val="en-US" w:eastAsia="zh-CN"/>
        </w:rPr>
        <w:t>指标成效分析：通过完成人大代表意见建议办理工作，有效保障人民行使当家作</w:t>
      </w:r>
      <w:r>
        <w:rPr>
          <w:rStyle w:val="12"/>
          <w:rFonts w:hint="eastAsia" w:ascii="仿宋_GB2312" w:hAnsi="楷体" w:eastAsia="仿宋_GB2312" w:cs="Times New Roman"/>
          <w:b w:val="0"/>
          <w:spacing w:val="-4"/>
          <w:sz w:val="32"/>
          <w:szCs w:val="32"/>
          <w:lang w:val="en-US" w:eastAsia="zh-CN"/>
        </w:rPr>
        <w:t>主的权利，推动社会主义民主政治建设不断向前发展。</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outlineLvl w:val="0"/>
        <w:rPr>
          <w:rFonts w:hint="eastAsia" w:ascii="黑体" w:hAnsi="黑体" w:eastAsia="黑体" w:cs="宋体"/>
          <w:bCs/>
          <w:color w:val="333333"/>
          <w:kern w:val="2"/>
          <w:sz w:val="32"/>
          <w:szCs w:val="32"/>
          <w:lang w:val="en-US" w:eastAsia="zh-CN" w:bidi="ar"/>
        </w:rPr>
      </w:pPr>
      <w:bookmarkStart w:id="21" w:name="_Toc7253"/>
      <w:r>
        <w:rPr>
          <w:rFonts w:hint="eastAsia" w:ascii="黑体" w:hAnsi="黑体" w:eastAsia="黑体" w:cs="宋体"/>
          <w:bCs/>
          <w:color w:val="333333"/>
          <w:kern w:val="2"/>
          <w:sz w:val="32"/>
          <w:szCs w:val="32"/>
          <w:lang w:val="en-US" w:eastAsia="zh-CN" w:bidi="ar"/>
        </w:rPr>
        <w:t>四、评价结论</w:t>
      </w:r>
      <w:bookmarkEnd w:id="21"/>
    </w:p>
    <w:p>
      <w:pPr>
        <w:keepNext w:val="0"/>
        <w:keepLines w:val="0"/>
        <w:pageBreakBefore w:val="0"/>
        <w:kinsoku/>
        <w:wordWrap/>
        <w:overflowPunct/>
        <w:topLinePunct w:val="0"/>
        <w:autoSpaceDE/>
        <w:autoSpaceDN/>
        <w:bidi w:val="0"/>
        <w:adjustRightInd/>
        <w:spacing w:line="560" w:lineRule="exact"/>
        <w:ind w:firstLine="564" w:firstLineChars="181"/>
        <w:textAlignment w:val="auto"/>
        <w:rPr>
          <w:rStyle w:val="12"/>
          <w:rFonts w:hint="eastAsia" w:ascii="仿宋_GB2312" w:hAnsi="楷体" w:eastAsia="仿宋_GB2312" w:cs="Times New Roman"/>
          <w:b w:val="0"/>
          <w:spacing w:val="-4"/>
          <w:sz w:val="32"/>
          <w:szCs w:val="32"/>
          <w:lang w:eastAsia="zh-CN"/>
        </w:rPr>
      </w:pPr>
      <w:r>
        <w:rPr>
          <w:rStyle w:val="12"/>
          <w:rFonts w:hint="eastAsia" w:ascii="Times New Roman" w:hAnsi="Times New Roman" w:eastAsia="仿宋_GB2312" w:cs="Times New Roman"/>
          <w:b w:val="0"/>
          <w:spacing w:val="-4"/>
          <w:sz w:val="32"/>
          <w:szCs w:val="32"/>
        </w:rPr>
        <w:t>20</w:t>
      </w:r>
      <w:r>
        <w:rPr>
          <w:rStyle w:val="12"/>
          <w:rFonts w:hint="eastAsia" w:ascii="仿宋_GB2312" w:hAnsi="楷体" w:eastAsia="仿宋_GB2312" w:cs="Times New Roman"/>
          <w:b w:val="0"/>
          <w:spacing w:val="-4"/>
          <w:sz w:val="32"/>
          <w:szCs w:val="32"/>
          <w:lang w:val="en-US" w:eastAsia="zh-CN"/>
        </w:rPr>
        <w:t>24</w:t>
      </w:r>
      <w:r>
        <w:rPr>
          <w:rStyle w:val="12"/>
          <w:rFonts w:hint="eastAsia" w:ascii="仿宋_GB2312" w:hAnsi="楷体" w:eastAsia="仿宋_GB2312" w:cs="Times New Roman"/>
          <w:b w:val="0"/>
          <w:spacing w:val="-4"/>
          <w:sz w:val="32"/>
          <w:szCs w:val="32"/>
        </w:rPr>
        <w:t>年度部门整体支出绩效</w:t>
      </w:r>
      <w:r>
        <w:rPr>
          <w:rStyle w:val="12"/>
          <w:rFonts w:hint="eastAsia" w:ascii="仿宋_GB2312" w:hAnsi="楷体" w:eastAsia="仿宋_GB2312" w:cs="Times New Roman"/>
          <w:b w:val="0"/>
          <w:spacing w:val="-4"/>
          <w:sz w:val="32"/>
          <w:szCs w:val="32"/>
          <w:lang w:val="en-US" w:eastAsia="zh-CN"/>
        </w:rPr>
        <w:t>评价</w:t>
      </w:r>
      <w:r>
        <w:rPr>
          <w:rStyle w:val="12"/>
          <w:rFonts w:hint="eastAsia" w:ascii="仿宋_GB2312" w:hAnsi="楷体" w:eastAsia="仿宋_GB2312" w:cs="Times New Roman"/>
          <w:b w:val="0"/>
          <w:spacing w:val="-4"/>
          <w:sz w:val="32"/>
          <w:szCs w:val="32"/>
        </w:rPr>
        <w:t>综合得分</w:t>
      </w:r>
      <w:r>
        <w:rPr>
          <w:rStyle w:val="12"/>
          <w:rFonts w:hint="eastAsia" w:ascii="仿宋_GB2312" w:hAnsi="楷体" w:eastAsia="仿宋_GB2312" w:cs="Times New Roman"/>
          <w:b w:val="0"/>
          <w:spacing w:val="-4"/>
          <w:sz w:val="32"/>
          <w:szCs w:val="32"/>
          <w:lang w:val="en-US" w:eastAsia="zh-CN"/>
        </w:rPr>
        <w:t>99.55</w:t>
      </w:r>
      <w:r>
        <w:rPr>
          <w:rStyle w:val="12"/>
          <w:rFonts w:hint="eastAsia" w:ascii="仿宋_GB2312" w:hAnsi="楷体" w:eastAsia="仿宋_GB2312" w:cs="Times New Roman"/>
          <w:b w:val="0"/>
          <w:spacing w:val="-4"/>
          <w:sz w:val="32"/>
          <w:szCs w:val="32"/>
        </w:rPr>
        <w:t>分，评价结果为“</w:t>
      </w:r>
      <w:r>
        <w:rPr>
          <w:rStyle w:val="12"/>
          <w:rFonts w:hint="eastAsia" w:ascii="仿宋_GB2312" w:hAnsi="楷体" w:eastAsia="仿宋_GB2312" w:cs="Times New Roman"/>
          <w:b w:val="0"/>
          <w:spacing w:val="-4"/>
          <w:sz w:val="32"/>
          <w:szCs w:val="32"/>
          <w:lang w:val="en-US" w:eastAsia="zh-CN"/>
        </w:rPr>
        <w:t>优</w:t>
      </w:r>
      <w:r>
        <w:rPr>
          <w:rStyle w:val="12"/>
          <w:rFonts w:hint="eastAsia" w:ascii="仿宋_GB2312" w:hAnsi="楷体" w:eastAsia="仿宋_GB2312" w:cs="Times New Roman"/>
          <w:b w:val="0"/>
          <w:spacing w:val="-4"/>
          <w:sz w:val="32"/>
          <w:szCs w:val="32"/>
        </w:rPr>
        <w:t>”。</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outlineLvl w:val="0"/>
        <w:rPr>
          <w:rFonts w:hint="default" w:ascii="仿宋_GB2312" w:hAnsi="仿宋_GB2312" w:eastAsia="仿宋_GB2312" w:cs="仿宋_GB2312"/>
          <w:bCs/>
          <w:color w:val="FF0000"/>
          <w:sz w:val="32"/>
          <w:szCs w:val="32"/>
          <w:lang w:val="en-US" w:eastAsia="zh-CN" w:bidi="ar"/>
        </w:rPr>
      </w:pPr>
      <w:bookmarkStart w:id="22" w:name="_Toc12815"/>
      <w:r>
        <w:rPr>
          <w:rFonts w:hint="eastAsia" w:ascii="黑体" w:hAnsi="黑体" w:eastAsia="黑体" w:cs="宋体"/>
          <w:bCs/>
          <w:color w:val="333333"/>
          <w:kern w:val="2"/>
          <w:sz w:val="32"/>
          <w:szCs w:val="32"/>
          <w:lang w:val="en-US" w:eastAsia="zh-CN" w:bidi="ar"/>
        </w:rPr>
        <w:t>五</w:t>
      </w:r>
      <w:r>
        <w:rPr>
          <w:rFonts w:hint="default" w:ascii="黑体" w:hAnsi="黑体" w:eastAsia="黑体" w:cs="宋体"/>
          <w:bCs/>
          <w:color w:val="333333"/>
          <w:kern w:val="2"/>
          <w:sz w:val="32"/>
          <w:szCs w:val="32"/>
          <w:lang w:val="en-US" w:eastAsia="zh-CN" w:bidi="ar"/>
        </w:rPr>
        <w:t>、</w:t>
      </w:r>
      <w:r>
        <w:rPr>
          <w:rFonts w:hint="eastAsia" w:ascii="黑体" w:hAnsi="黑体" w:eastAsia="黑体" w:cs="宋体"/>
          <w:bCs/>
          <w:color w:val="333333"/>
          <w:sz w:val="32"/>
          <w:szCs w:val="32"/>
          <w:lang w:bidi="ar"/>
        </w:rPr>
        <w:t>存在的主要问题</w:t>
      </w:r>
      <w:bookmarkEnd w:id="22"/>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left"/>
        <w:textAlignment w:val="auto"/>
        <w:outlineLvl w:val="1"/>
        <w:rPr>
          <w:rFonts w:hint="eastAsia" w:ascii="楷体" w:hAnsi="楷体" w:eastAsia="楷体" w:cs="楷体"/>
          <w:b/>
          <w:bCs w:val="0"/>
          <w:color w:val="auto"/>
          <w:sz w:val="32"/>
          <w:szCs w:val="32"/>
          <w:lang w:val="en-US" w:eastAsia="zh-CN" w:bidi="ar"/>
        </w:rPr>
      </w:pPr>
      <w:bookmarkStart w:id="23" w:name="_Toc2729"/>
      <w:r>
        <w:rPr>
          <w:rFonts w:hint="eastAsia" w:ascii="楷体" w:hAnsi="楷体" w:eastAsia="楷体" w:cs="楷体"/>
          <w:b/>
          <w:bCs w:val="0"/>
          <w:color w:val="auto"/>
          <w:sz w:val="32"/>
          <w:szCs w:val="32"/>
          <w:lang w:val="en-US" w:eastAsia="zh-CN" w:bidi="ar"/>
        </w:rPr>
        <w:t>（一）固定资产账务管理不够细致、严谨</w:t>
      </w:r>
      <w:bookmarkEnd w:id="23"/>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Cs/>
          <w:color w:val="auto"/>
          <w:sz w:val="32"/>
          <w:szCs w:val="32"/>
          <w:lang w:val="en-US" w:eastAsia="zh-CN" w:bidi="ar"/>
        </w:rPr>
      </w:pPr>
      <w:r>
        <w:rPr>
          <w:rFonts w:hint="eastAsia" w:ascii="仿宋_GB2312" w:hAnsi="仿宋_GB2312" w:eastAsia="仿宋_GB2312" w:cs="仿宋_GB2312"/>
          <w:bCs/>
          <w:color w:val="auto"/>
          <w:sz w:val="32"/>
          <w:szCs w:val="32"/>
          <w:lang w:val="en-US" w:eastAsia="zh-CN" w:bidi="ar"/>
        </w:rPr>
        <w:t>抽查发现，各单位固定资产账务管理普遍存在入账不及时、漏入、入账信息、金额不准确或资产台账未登记到具体使用人等问题。</w:t>
      </w:r>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left"/>
        <w:textAlignment w:val="auto"/>
        <w:outlineLvl w:val="1"/>
        <w:rPr>
          <w:rFonts w:hint="default" w:ascii="楷体" w:hAnsi="楷体" w:eastAsia="楷体" w:cs="楷体"/>
          <w:b/>
          <w:bCs w:val="0"/>
          <w:color w:val="auto"/>
          <w:sz w:val="32"/>
          <w:szCs w:val="32"/>
          <w:lang w:val="en-US" w:eastAsia="zh-CN" w:bidi="ar"/>
        </w:rPr>
      </w:pPr>
      <w:bookmarkStart w:id="24" w:name="_Toc14737"/>
      <w:r>
        <w:rPr>
          <w:rFonts w:hint="eastAsia" w:ascii="楷体" w:hAnsi="楷体" w:eastAsia="楷体" w:cs="楷体"/>
          <w:b/>
          <w:bCs w:val="0"/>
          <w:color w:val="auto"/>
          <w:sz w:val="32"/>
          <w:szCs w:val="32"/>
          <w:lang w:val="en-US" w:eastAsia="zh-CN" w:bidi="ar"/>
        </w:rPr>
        <w:t>（二）</w:t>
      </w:r>
      <w:r>
        <w:rPr>
          <w:rFonts w:hint="default" w:ascii="楷体" w:hAnsi="楷体" w:eastAsia="楷体" w:cs="楷体"/>
          <w:b/>
          <w:bCs w:val="0"/>
          <w:color w:val="auto"/>
          <w:sz w:val="32"/>
          <w:szCs w:val="32"/>
          <w:lang w:val="en-US" w:eastAsia="zh-CN" w:bidi="ar"/>
        </w:rPr>
        <w:t>项目监督工作存在薄弱环节</w:t>
      </w:r>
      <w:bookmarkEnd w:id="24"/>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仿宋_GB2312" w:hAnsi="仿宋_GB2312" w:eastAsia="仿宋_GB2312" w:cs="仿宋_GB2312"/>
          <w:bCs/>
          <w:color w:val="auto"/>
          <w:sz w:val="32"/>
          <w:szCs w:val="32"/>
          <w:lang w:val="en-US" w:eastAsia="zh-CN" w:bidi="ar"/>
        </w:rPr>
      </w:pPr>
      <w:r>
        <w:rPr>
          <w:rFonts w:hint="default" w:ascii="仿宋_GB2312" w:hAnsi="仿宋_GB2312" w:eastAsia="仿宋_GB2312" w:cs="仿宋_GB2312"/>
          <w:bCs/>
          <w:color w:val="auto"/>
          <w:sz w:val="32"/>
          <w:szCs w:val="32"/>
          <w:lang w:val="en-US" w:eastAsia="zh-CN" w:bidi="ar"/>
        </w:rPr>
        <w:t>项目实施过程中的上报、跟</w:t>
      </w:r>
      <w:r>
        <w:rPr>
          <w:rFonts w:hint="eastAsia" w:ascii="仿宋_GB2312" w:hAnsi="仿宋_GB2312" w:eastAsia="仿宋_GB2312" w:cs="仿宋_GB2312"/>
          <w:bCs/>
          <w:color w:val="auto"/>
          <w:sz w:val="32"/>
          <w:szCs w:val="32"/>
          <w:lang w:val="en-US" w:eastAsia="zh-CN" w:bidi="ar"/>
        </w:rPr>
        <w:t>踪、反馈机制尚未真正形成，对本单位</w:t>
      </w:r>
      <w:r>
        <w:rPr>
          <w:rFonts w:hint="default" w:ascii="仿宋_GB2312" w:hAnsi="仿宋_GB2312" w:eastAsia="仿宋_GB2312" w:cs="仿宋_GB2312"/>
          <w:bCs/>
          <w:color w:val="auto"/>
          <w:sz w:val="32"/>
          <w:szCs w:val="32"/>
          <w:lang w:val="en-US" w:eastAsia="zh-CN" w:bidi="ar"/>
        </w:rPr>
        <w:t>资金的使用、实施等监管</w:t>
      </w:r>
      <w:r>
        <w:rPr>
          <w:rFonts w:hint="eastAsia" w:ascii="仿宋_GB2312" w:hAnsi="仿宋_GB2312" w:eastAsia="仿宋_GB2312" w:cs="仿宋_GB2312"/>
          <w:bCs/>
          <w:color w:val="auto"/>
          <w:sz w:val="32"/>
          <w:szCs w:val="32"/>
          <w:lang w:val="en-US" w:eastAsia="zh-CN" w:bidi="ar"/>
        </w:rPr>
        <w:t>措施仍然存在改进的空间。</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outlineLvl w:val="0"/>
        <w:rPr>
          <w:rFonts w:hint="eastAsia" w:ascii="黑体" w:hAnsi="黑体" w:eastAsia="黑体" w:cs="宋体"/>
          <w:bCs/>
          <w:color w:val="333333"/>
          <w:sz w:val="32"/>
          <w:szCs w:val="32"/>
          <w:lang w:bidi="ar"/>
        </w:rPr>
      </w:pPr>
      <w:bookmarkStart w:id="25" w:name="_Toc31536"/>
      <w:r>
        <w:rPr>
          <w:rFonts w:hint="eastAsia" w:ascii="黑体" w:hAnsi="黑体" w:eastAsia="黑体" w:cs="宋体"/>
          <w:bCs/>
          <w:color w:val="333333"/>
          <w:kern w:val="2"/>
          <w:sz w:val="32"/>
          <w:szCs w:val="32"/>
          <w:lang w:val="en-US" w:eastAsia="zh-CN" w:bidi="ar"/>
        </w:rPr>
        <w:t>六</w:t>
      </w:r>
      <w:r>
        <w:rPr>
          <w:rFonts w:hint="default" w:ascii="黑体" w:hAnsi="黑体" w:eastAsia="黑体" w:cs="宋体"/>
          <w:bCs/>
          <w:color w:val="333333"/>
          <w:kern w:val="2"/>
          <w:sz w:val="32"/>
          <w:szCs w:val="32"/>
          <w:lang w:val="en-US" w:eastAsia="zh-CN" w:bidi="ar"/>
        </w:rPr>
        <w:t>、</w:t>
      </w:r>
      <w:r>
        <w:rPr>
          <w:rFonts w:hint="eastAsia" w:ascii="黑体" w:hAnsi="黑体" w:eastAsia="黑体" w:cs="宋体"/>
          <w:bCs/>
          <w:color w:val="333333"/>
          <w:sz w:val="32"/>
          <w:szCs w:val="32"/>
          <w:lang w:bidi="ar"/>
        </w:rPr>
        <w:t>改进措施和建议</w:t>
      </w:r>
      <w:bookmarkEnd w:id="25"/>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left"/>
        <w:textAlignment w:val="auto"/>
        <w:outlineLvl w:val="1"/>
        <w:rPr>
          <w:rFonts w:hint="eastAsia" w:ascii="楷体" w:hAnsi="楷体" w:eastAsia="楷体" w:cs="楷体"/>
          <w:b/>
          <w:bCs w:val="0"/>
          <w:color w:val="auto"/>
          <w:sz w:val="32"/>
          <w:szCs w:val="32"/>
          <w:lang w:val="en-US" w:eastAsia="zh-CN" w:bidi="ar"/>
        </w:rPr>
      </w:pPr>
      <w:bookmarkStart w:id="26" w:name="_Toc24446"/>
      <w:r>
        <w:rPr>
          <w:rFonts w:hint="eastAsia" w:ascii="楷体" w:hAnsi="楷体" w:eastAsia="楷体" w:cs="楷体"/>
          <w:b/>
          <w:bCs w:val="0"/>
          <w:color w:val="auto"/>
          <w:sz w:val="32"/>
          <w:szCs w:val="32"/>
          <w:lang w:val="en-US" w:eastAsia="zh-CN" w:bidi="ar"/>
        </w:rPr>
        <w:t>（一）</w:t>
      </w:r>
      <w:bookmarkEnd w:id="26"/>
      <w:bookmarkStart w:id="27" w:name="_Toc14981"/>
      <w:r>
        <w:rPr>
          <w:rFonts w:hint="eastAsia" w:ascii="楷体" w:hAnsi="楷体" w:eastAsia="楷体" w:cs="楷体"/>
          <w:b/>
          <w:bCs w:val="0"/>
          <w:color w:val="auto"/>
          <w:sz w:val="32"/>
          <w:szCs w:val="32"/>
          <w:lang w:val="en-US" w:eastAsia="zh-CN" w:bidi="ar"/>
        </w:rPr>
        <w:t>加强固定资产账务管理，确保账实相符</w:t>
      </w:r>
      <w:bookmarkEnd w:id="27"/>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Cs/>
          <w:color w:val="auto"/>
          <w:sz w:val="32"/>
          <w:szCs w:val="32"/>
          <w:lang w:val="en-US" w:eastAsia="zh-CN" w:bidi="ar"/>
        </w:rPr>
      </w:pPr>
      <w:r>
        <w:rPr>
          <w:rFonts w:hint="eastAsia" w:ascii="仿宋_GB2312" w:hAnsi="仿宋_GB2312" w:eastAsia="仿宋_GB2312" w:cs="仿宋_GB2312"/>
          <w:bCs/>
          <w:color w:val="auto"/>
          <w:sz w:val="32"/>
          <w:szCs w:val="32"/>
          <w:lang w:val="en-US" w:eastAsia="zh-CN" w:bidi="ar"/>
        </w:rPr>
        <w:t>针对抽查发现的问题，查找根源并改进，建议：一是加强年度政府采购台账和固定资产台账信息的比对，避免资产漏入、少入或录入不及时，二是资产领用应尽可能明确到具体使用人。三是资产入账时相关人员应再次确认发票、合同信息，避免基础信息录入错误</w:t>
      </w:r>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both"/>
        <w:textAlignment w:val="auto"/>
        <w:outlineLvl w:val="1"/>
        <w:rPr>
          <w:rFonts w:hint="eastAsia" w:ascii="楷体" w:hAnsi="楷体" w:eastAsia="楷体" w:cs="楷体"/>
          <w:b/>
          <w:bCs w:val="0"/>
          <w:color w:val="auto"/>
          <w:sz w:val="32"/>
          <w:szCs w:val="32"/>
          <w:lang w:val="en-US" w:eastAsia="zh-CN" w:bidi="ar"/>
        </w:rPr>
      </w:pPr>
      <w:bookmarkStart w:id="28" w:name="_Toc18250"/>
      <w:r>
        <w:rPr>
          <w:rFonts w:hint="eastAsia" w:ascii="楷体" w:hAnsi="楷体" w:eastAsia="楷体" w:cs="楷体"/>
          <w:b/>
          <w:bCs w:val="0"/>
          <w:color w:val="auto"/>
          <w:sz w:val="32"/>
          <w:szCs w:val="32"/>
          <w:lang w:val="en-US" w:eastAsia="zh-CN" w:bidi="ar"/>
        </w:rPr>
        <w:t>（三）建立动态分析管理机制，提高项目监管主动性</w:t>
      </w:r>
      <w:bookmarkEnd w:id="28"/>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Cs/>
          <w:color w:val="auto"/>
          <w:sz w:val="32"/>
          <w:szCs w:val="32"/>
          <w:lang w:val="en-US" w:eastAsia="zh-CN" w:bidi="ar"/>
        </w:rPr>
      </w:pPr>
      <w:r>
        <w:rPr>
          <w:rFonts w:hint="eastAsia" w:ascii="仿宋_GB2312" w:hAnsi="仿宋_GB2312" w:eastAsia="仿宋_GB2312" w:cs="仿宋_GB2312"/>
          <w:bCs/>
          <w:color w:val="auto"/>
          <w:sz w:val="32"/>
          <w:szCs w:val="32"/>
          <w:lang w:val="en-US" w:eastAsia="zh-CN" w:bidi="ar"/>
        </w:rPr>
        <w:t>业务部门进行指导、监督和检查时进一步加强主动性，积极探索更有效和积极主动的监管方式。一方面要建立重点项目实施过程的反馈机制，依托霍尔果斯市政务网站相关信息平台，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p>
    <w:p>
      <w:pPr>
        <w:pStyle w:val="20"/>
        <w:keepNext w:val="0"/>
        <w:keepLines w:val="0"/>
        <w:pageBreakBefore w:val="0"/>
        <w:numPr>
          <w:ilvl w:val="0"/>
          <w:numId w:val="0"/>
        </w:numPr>
        <w:kinsoku/>
        <w:wordWrap/>
        <w:overflowPunct/>
        <w:topLinePunct w:val="0"/>
        <w:autoSpaceDE/>
        <w:autoSpaceDN/>
        <w:bidi w:val="0"/>
        <w:adjustRightInd/>
        <w:snapToGrid w:val="0"/>
        <w:spacing w:line="560" w:lineRule="exact"/>
        <w:ind w:left="1360" w:leftChars="0" w:hanging="720" w:firstLineChars="0"/>
        <w:textAlignment w:val="auto"/>
        <w:outlineLvl w:val="0"/>
        <w:rPr>
          <w:rStyle w:val="12"/>
          <w:rFonts w:ascii="仿宋_GB2312" w:hAnsi="仿宋" w:eastAsia="仿宋_GB2312"/>
          <w:b w:val="0"/>
          <w:spacing w:val="-4"/>
          <w:sz w:val="32"/>
          <w:szCs w:val="32"/>
        </w:rPr>
      </w:pPr>
      <w:bookmarkStart w:id="29" w:name="_Toc26203"/>
      <w:r>
        <w:rPr>
          <w:rFonts w:hint="eastAsia" w:ascii="黑体" w:hAnsi="黑体" w:eastAsia="黑体" w:cs="Times New Roman"/>
          <w:b w:val="0"/>
          <w:bCs/>
          <w:spacing w:val="-4"/>
          <w:kern w:val="2"/>
          <w:sz w:val="32"/>
          <w:szCs w:val="32"/>
          <w:lang w:val="en-US" w:eastAsia="zh-CN" w:bidi="ar-SA"/>
        </w:rPr>
        <w:t>七</w:t>
      </w:r>
      <w:r>
        <w:rPr>
          <w:rFonts w:hint="default" w:ascii="黑体" w:hAnsi="黑体" w:eastAsia="黑体" w:cs="Times New Roman"/>
          <w:b w:val="0"/>
          <w:bCs/>
          <w:spacing w:val="-4"/>
          <w:kern w:val="2"/>
          <w:sz w:val="32"/>
          <w:szCs w:val="32"/>
          <w:lang w:val="en-US" w:eastAsia="zh-CN" w:bidi="ar-SA"/>
        </w:rPr>
        <w:t>、</w:t>
      </w:r>
      <w:r>
        <w:rPr>
          <w:rStyle w:val="12"/>
          <w:rFonts w:hint="eastAsia" w:ascii="黑体" w:hAnsi="黑体" w:eastAsia="黑体"/>
          <w:b w:val="0"/>
          <w:bCs w:val="0"/>
          <w:spacing w:val="-4"/>
          <w:sz w:val="32"/>
          <w:szCs w:val="32"/>
        </w:rPr>
        <w:t>附表：</w:t>
      </w:r>
      <w:r>
        <w:rPr>
          <w:rStyle w:val="12"/>
          <w:rFonts w:hint="eastAsia" w:ascii="仿宋_GB2312" w:hAnsi="仿宋" w:eastAsia="仿宋_GB2312"/>
          <w:b w:val="0"/>
          <w:spacing w:val="-4"/>
          <w:sz w:val="32"/>
          <w:szCs w:val="32"/>
        </w:rPr>
        <w:t>《</w:t>
      </w:r>
      <w:r>
        <w:rPr>
          <w:rStyle w:val="12"/>
          <w:rFonts w:hint="eastAsia" w:ascii="仿宋_GB2312" w:hAnsi="楷体" w:eastAsia="仿宋_GB2312"/>
          <w:b w:val="0"/>
          <w:bCs w:val="0"/>
          <w:spacing w:val="-4"/>
          <w:sz w:val="32"/>
          <w:szCs w:val="32"/>
        </w:rPr>
        <w:t>部门整体支出绩效目标自评表</w:t>
      </w:r>
      <w:r>
        <w:rPr>
          <w:rStyle w:val="12"/>
          <w:rFonts w:hint="eastAsia" w:ascii="仿宋_GB2312" w:hAnsi="仿宋" w:eastAsia="仿宋_GB2312"/>
          <w:b w:val="0"/>
          <w:spacing w:val="-4"/>
          <w:sz w:val="32"/>
          <w:szCs w:val="32"/>
        </w:rPr>
        <w:t>》</w:t>
      </w:r>
      <w:bookmarkEnd w:id="29"/>
    </w:p>
    <w:p>
      <w:pPr>
        <w:numPr>
          <w:ilvl w:val="0"/>
          <w:numId w:val="0"/>
        </w:numPr>
        <w:spacing w:line="540" w:lineRule="exact"/>
        <w:rPr>
          <w:rFonts w:hint="default" w:ascii="仿宋_GB2312" w:hAnsi="楷体" w:eastAsia="仿宋_GB2312"/>
          <w:b/>
          <w:bCs w:val="0"/>
          <w:spacing w:val="-4"/>
          <w:sz w:val="32"/>
          <w:szCs w:val="32"/>
          <w:lang w:val="en-US" w:eastAsia="zh-CN"/>
        </w:rPr>
      </w:pPr>
    </w:p>
    <w:p/>
    <w:p/>
    <w:p/>
    <w:tbl>
      <w:tblPr>
        <w:tblStyle w:val="10"/>
        <w:tblW w:w="93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6"/>
        <w:gridCol w:w="1575"/>
        <w:gridCol w:w="1095"/>
        <w:gridCol w:w="1335"/>
        <w:gridCol w:w="1320"/>
        <w:gridCol w:w="684"/>
        <w:gridCol w:w="960"/>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22" w:hRule="atLeast"/>
        </w:trPr>
        <w:tc>
          <w:tcPr>
            <w:tcW w:w="933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部门（单位）整体支出绩效目标自评表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trPr>
        <w:tc>
          <w:tcPr>
            <w:tcW w:w="933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部门（单位）名称</w:t>
            </w:r>
          </w:p>
        </w:tc>
        <w:tc>
          <w:tcPr>
            <w:tcW w:w="785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霍尔果斯市人民代表大会常务委员会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部门资金（万元）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资金来源</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全年预算数</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全年执行数</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分值权重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执行率</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年度总资金</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556.47</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571.71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546.04</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95.51%</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9.55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上级资金：</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7</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本级资金：</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543.87</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559.11</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533.63</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5.6</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5.41</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年度总体目标</w:t>
            </w:r>
          </w:p>
        </w:tc>
        <w:tc>
          <w:tcPr>
            <w:tcW w:w="400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预期目标</w:t>
            </w:r>
          </w:p>
        </w:tc>
        <w:tc>
          <w:tcPr>
            <w:tcW w:w="3849"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9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40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大会议项目主要用于霍尔果斯市第二届人民代表大会第四次会议经费及常委会、代表补选；人大代表活动项目主要用于组织人大代表培训、考察学习，代表执法检查、调研、视察等活动，人大代表外出观摩学习、培训及误工补助和代表履职补助等；人大代表联络站、工作室优化建设及工作项目主要用于代表联络站及工作室优化建设以及开展活动；伊车嘎善锡伯乡人民代表大会项目主要用于乡级人代会的召开。能够有效保障人大常委会各项工作顺利开展，聚焦聚力总目标，始终把总目标贯穿人大工作全过程。对标高质量发展的新要求，落实落细人大监督工作，注重基层建设和服务工作，代表能力全面提升。加强代表工作，为代表知情知政、履职创造良好条件。</w:t>
            </w:r>
          </w:p>
        </w:tc>
        <w:tc>
          <w:tcPr>
            <w:tcW w:w="384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霍尔果斯市人大常委会2024年度召开人代会1次、常委</w:t>
            </w:r>
            <w:bookmarkStart w:id="30" w:name="_GoBack"/>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会</w:t>
            </w:r>
            <w:bookmarkEnd w:id="30"/>
            <w:r>
              <w:rPr>
                <w:rFonts w:hint="eastAsia" w:ascii="宋体" w:hAnsi="宋体" w:eastAsia="宋体" w:cs="宋体"/>
                <w:i w:val="0"/>
                <w:color w:val="000000"/>
                <w:kern w:val="0"/>
                <w:sz w:val="18"/>
                <w:szCs w:val="18"/>
                <w:u w:val="none"/>
                <w:lang w:val="en-US" w:eastAsia="zh-CN" w:bidi="ar"/>
              </w:rPr>
              <w:t>会议7次，开展人大代表履职能力培训2次、开展人大代表三察活动18及代表意见建议办结率达到90%，有效提升了人大代表履职能力，强化了监督实效，推动了工作落实。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2" w:hRule="atLeast"/>
        </w:trPr>
        <w:tc>
          <w:tcPr>
            <w:tcW w:w="14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预期指标值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指标值设定依据</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分值权重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实际完成指标值</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9" w:hRule="atLeast"/>
        </w:trPr>
        <w:tc>
          <w:tcPr>
            <w:tcW w:w="14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履职效能</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组织人代会次数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中华人民共和国地方各级人民代表大会和地方各级人民政府组织法</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召开人大常委会次数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&gt;=7次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中华人民共和国地方各级人民代表大会和地方各级人民政府组织法</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7次</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人大代表履职能力提升培训次数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&gt;=2次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霍尔果斯市人大常委会2024年工作要点</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组织人大代表开展“三查（察）”活动次数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&gt;=14次</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霍尔果斯市人大常委会2024年工作要点</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18次</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9" w:hRule="atLeast"/>
        </w:trPr>
        <w:tc>
          <w:tcPr>
            <w:tcW w:w="14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0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代表意见建议办理完成率</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霍尔果斯市人大常委会2024年工作要点</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r>
    </w:tbl>
    <w:p>
      <w:pPr>
        <w:rPr>
          <w:sz w:val="15"/>
          <w:szCs w:val="18"/>
        </w:rPr>
      </w:pPr>
    </w:p>
    <w:sectPr>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2000000000000000000"/>
    <w:charset w:val="86"/>
    <w:family w:val="script"/>
    <w:pitch w:val="default"/>
    <w:sig w:usb0="00000000" w:usb1="00000000"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1NzU1ZDE5MWUyOTliZTgzODE4MzZjMzNmODI4OTMifQ=="/>
  </w:docVars>
  <w:rsids>
    <w:rsidRoot w:val="00000000"/>
    <w:rsid w:val="00072C34"/>
    <w:rsid w:val="00687A8F"/>
    <w:rsid w:val="00902FD4"/>
    <w:rsid w:val="009742D3"/>
    <w:rsid w:val="00B1151A"/>
    <w:rsid w:val="00B14F24"/>
    <w:rsid w:val="00ED5B48"/>
    <w:rsid w:val="011251E8"/>
    <w:rsid w:val="011E2469"/>
    <w:rsid w:val="012D2227"/>
    <w:rsid w:val="01457426"/>
    <w:rsid w:val="01F33470"/>
    <w:rsid w:val="01FD72CB"/>
    <w:rsid w:val="020F0F24"/>
    <w:rsid w:val="02371BAC"/>
    <w:rsid w:val="02751B8E"/>
    <w:rsid w:val="02A82C91"/>
    <w:rsid w:val="02B80216"/>
    <w:rsid w:val="02BC1F0C"/>
    <w:rsid w:val="02C778A5"/>
    <w:rsid w:val="02CD5EF5"/>
    <w:rsid w:val="03020F19"/>
    <w:rsid w:val="03080D25"/>
    <w:rsid w:val="03083AED"/>
    <w:rsid w:val="0367772B"/>
    <w:rsid w:val="03756AC6"/>
    <w:rsid w:val="03793EE9"/>
    <w:rsid w:val="037C2BD4"/>
    <w:rsid w:val="038067FD"/>
    <w:rsid w:val="039505B1"/>
    <w:rsid w:val="03DA44C3"/>
    <w:rsid w:val="03E524F9"/>
    <w:rsid w:val="03FF60FC"/>
    <w:rsid w:val="041C7A9C"/>
    <w:rsid w:val="0432219F"/>
    <w:rsid w:val="043B1E89"/>
    <w:rsid w:val="045B5612"/>
    <w:rsid w:val="04776F5F"/>
    <w:rsid w:val="04A85867"/>
    <w:rsid w:val="04C609C8"/>
    <w:rsid w:val="04F76DD4"/>
    <w:rsid w:val="05373674"/>
    <w:rsid w:val="054601C2"/>
    <w:rsid w:val="055F5E14"/>
    <w:rsid w:val="05695BD3"/>
    <w:rsid w:val="05DD0E5F"/>
    <w:rsid w:val="061B371A"/>
    <w:rsid w:val="066A1827"/>
    <w:rsid w:val="06AE64C8"/>
    <w:rsid w:val="06D53145"/>
    <w:rsid w:val="06E91D2F"/>
    <w:rsid w:val="06EB2120"/>
    <w:rsid w:val="07465F84"/>
    <w:rsid w:val="07470020"/>
    <w:rsid w:val="0749768F"/>
    <w:rsid w:val="07715C4C"/>
    <w:rsid w:val="07767566"/>
    <w:rsid w:val="079452B4"/>
    <w:rsid w:val="07974BB9"/>
    <w:rsid w:val="079A41EF"/>
    <w:rsid w:val="07BF71EC"/>
    <w:rsid w:val="07D56749"/>
    <w:rsid w:val="07D91801"/>
    <w:rsid w:val="07EA691B"/>
    <w:rsid w:val="07F9705D"/>
    <w:rsid w:val="081E4FBF"/>
    <w:rsid w:val="0828726D"/>
    <w:rsid w:val="082D0D5E"/>
    <w:rsid w:val="083E2F6B"/>
    <w:rsid w:val="086773C2"/>
    <w:rsid w:val="08CB2ED6"/>
    <w:rsid w:val="09213DEB"/>
    <w:rsid w:val="092D7F94"/>
    <w:rsid w:val="09495F23"/>
    <w:rsid w:val="095A668F"/>
    <w:rsid w:val="09646A02"/>
    <w:rsid w:val="096E7F98"/>
    <w:rsid w:val="099217C1"/>
    <w:rsid w:val="09B65E97"/>
    <w:rsid w:val="09F22594"/>
    <w:rsid w:val="09F4422A"/>
    <w:rsid w:val="09FB1114"/>
    <w:rsid w:val="0A4620F8"/>
    <w:rsid w:val="0A7669DB"/>
    <w:rsid w:val="0A806707"/>
    <w:rsid w:val="0A8A5DAF"/>
    <w:rsid w:val="0ABA6536"/>
    <w:rsid w:val="0AD125A3"/>
    <w:rsid w:val="0AEC4F01"/>
    <w:rsid w:val="0AEE0235"/>
    <w:rsid w:val="0B3F54E4"/>
    <w:rsid w:val="0B9474AF"/>
    <w:rsid w:val="0BA70DE0"/>
    <w:rsid w:val="0BA8431F"/>
    <w:rsid w:val="0BAA137C"/>
    <w:rsid w:val="0BD231B3"/>
    <w:rsid w:val="0BD60F2F"/>
    <w:rsid w:val="0BEF42D9"/>
    <w:rsid w:val="0C012554"/>
    <w:rsid w:val="0C021ADB"/>
    <w:rsid w:val="0C2858D1"/>
    <w:rsid w:val="0C5E5A5E"/>
    <w:rsid w:val="0CE61390"/>
    <w:rsid w:val="0D042079"/>
    <w:rsid w:val="0D1003C0"/>
    <w:rsid w:val="0D2F56E2"/>
    <w:rsid w:val="0D407F3C"/>
    <w:rsid w:val="0D594453"/>
    <w:rsid w:val="0D674D12"/>
    <w:rsid w:val="0D842216"/>
    <w:rsid w:val="0D991370"/>
    <w:rsid w:val="0DAA142A"/>
    <w:rsid w:val="0DDF2D1D"/>
    <w:rsid w:val="0E1C3D4F"/>
    <w:rsid w:val="0E261128"/>
    <w:rsid w:val="0E34675B"/>
    <w:rsid w:val="0E582F4D"/>
    <w:rsid w:val="0E5C239D"/>
    <w:rsid w:val="0E5E7EC3"/>
    <w:rsid w:val="0E760421"/>
    <w:rsid w:val="0EE43F4D"/>
    <w:rsid w:val="0F2E0977"/>
    <w:rsid w:val="0F360E40"/>
    <w:rsid w:val="0F8E465F"/>
    <w:rsid w:val="0F957915"/>
    <w:rsid w:val="0F970F5F"/>
    <w:rsid w:val="0FA34718"/>
    <w:rsid w:val="0FAC5A51"/>
    <w:rsid w:val="0FC56B72"/>
    <w:rsid w:val="0FD20B69"/>
    <w:rsid w:val="0FD84356"/>
    <w:rsid w:val="0FE7777F"/>
    <w:rsid w:val="0FF535C6"/>
    <w:rsid w:val="0FF87EA4"/>
    <w:rsid w:val="10040F1F"/>
    <w:rsid w:val="100E38D8"/>
    <w:rsid w:val="10196798"/>
    <w:rsid w:val="10383AE3"/>
    <w:rsid w:val="104A6951"/>
    <w:rsid w:val="10526A15"/>
    <w:rsid w:val="1092654A"/>
    <w:rsid w:val="10B25969"/>
    <w:rsid w:val="10B83562"/>
    <w:rsid w:val="10FB1E12"/>
    <w:rsid w:val="11065A8F"/>
    <w:rsid w:val="113432C2"/>
    <w:rsid w:val="114A472F"/>
    <w:rsid w:val="116C7EF4"/>
    <w:rsid w:val="11BC076D"/>
    <w:rsid w:val="11DD3F74"/>
    <w:rsid w:val="12192A7F"/>
    <w:rsid w:val="12352040"/>
    <w:rsid w:val="124B28F0"/>
    <w:rsid w:val="125633DA"/>
    <w:rsid w:val="12681139"/>
    <w:rsid w:val="126C58BD"/>
    <w:rsid w:val="128C266D"/>
    <w:rsid w:val="12DD5944"/>
    <w:rsid w:val="12E27085"/>
    <w:rsid w:val="12F9465F"/>
    <w:rsid w:val="13144FF5"/>
    <w:rsid w:val="13271725"/>
    <w:rsid w:val="13274886"/>
    <w:rsid w:val="1347746A"/>
    <w:rsid w:val="138159A6"/>
    <w:rsid w:val="13990DC9"/>
    <w:rsid w:val="139A0A42"/>
    <w:rsid w:val="13C13E25"/>
    <w:rsid w:val="13CF4698"/>
    <w:rsid w:val="14123C2A"/>
    <w:rsid w:val="14600CBE"/>
    <w:rsid w:val="1462340B"/>
    <w:rsid w:val="149056DE"/>
    <w:rsid w:val="14D26F15"/>
    <w:rsid w:val="14D5028E"/>
    <w:rsid w:val="14D96044"/>
    <w:rsid w:val="14EA425F"/>
    <w:rsid w:val="14F71D0C"/>
    <w:rsid w:val="14FE76D4"/>
    <w:rsid w:val="152B2D63"/>
    <w:rsid w:val="15605CBC"/>
    <w:rsid w:val="1574621E"/>
    <w:rsid w:val="158B3BCA"/>
    <w:rsid w:val="15C935E3"/>
    <w:rsid w:val="160A3B7C"/>
    <w:rsid w:val="161533BA"/>
    <w:rsid w:val="168F6536"/>
    <w:rsid w:val="169956DE"/>
    <w:rsid w:val="169A5553"/>
    <w:rsid w:val="17612447"/>
    <w:rsid w:val="176C6845"/>
    <w:rsid w:val="1780285D"/>
    <w:rsid w:val="178564C1"/>
    <w:rsid w:val="17C441C8"/>
    <w:rsid w:val="17EA27C8"/>
    <w:rsid w:val="17EE3867"/>
    <w:rsid w:val="17EE5D31"/>
    <w:rsid w:val="187D6034"/>
    <w:rsid w:val="188A04FE"/>
    <w:rsid w:val="18A53BCA"/>
    <w:rsid w:val="18BF3A3A"/>
    <w:rsid w:val="18D92F68"/>
    <w:rsid w:val="18DE18C0"/>
    <w:rsid w:val="19523B6F"/>
    <w:rsid w:val="19A304A4"/>
    <w:rsid w:val="1A005945"/>
    <w:rsid w:val="1A11228E"/>
    <w:rsid w:val="1A2374AF"/>
    <w:rsid w:val="1A3853B0"/>
    <w:rsid w:val="1A3A5DAA"/>
    <w:rsid w:val="1A5328A6"/>
    <w:rsid w:val="1ABB7B5C"/>
    <w:rsid w:val="1AC45552"/>
    <w:rsid w:val="1AD67034"/>
    <w:rsid w:val="1AF57E02"/>
    <w:rsid w:val="1B090F50"/>
    <w:rsid w:val="1B0911B7"/>
    <w:rsid w:val="1B22337F"/>
    <w:rsid w:val="1B4876B5"/>
    <w:rsid w:val="1B604C74"/>
    <w:rsid w:val="1B880D47"/>
    <w:rsid w:val="1B9B55CC"/>
    <w:rsid w:val="1BA269FB"/>
    <w:rsid w:val="1BA535D6"/>
    <w:rsid w:val="1C046FC1"/>
    <w:rsid w:val="1C131A83"/>
    <w:rsid w:val="1C1918CE"/>
    <w:rsid w:val="1C2A5E29"/>
    <w:rsid w:val="1C2E4F0B"/>
    <w:rsid w:val="1C7D1E5D"/>
    <w:rsid w:val="1CC65BD4"/>
    <w:rsid w:val="1CDF602F"/>
    <w:rsid w:val="1D0646D9"/>
    <w:rsid w:val="1D11016F"/>
    <w:rsid w:val="1D4330A6"/>
    <w:rsid w:val="1D47412D"/>
    <w:rsid w:val="1D5B78B6"/>
    <w:rsid w:val="1D734D3E"/>
    <w:rsid w:val="1D780E27"/>
    <w:rsid w:val="1D8F4F8D"/>
    <w:rsid w:val="1DA12787"/>
    <w:rsid w:val="1DA578BD"/>
    <w:rsid w:val="1DBA45AC"/>
    <w:rsid w:val="1E012619"/>
    <w:rsid w:val="1E1850E4"/>
    <w:rsid w:val="1E28404A"/>
    <w:rsid w:val="1E3F1DE5"/>
    <w:rsid w:val="1EA40D73"/>
    <w:rsid w:val="1EAB3891"/>
    <w:rsid w:val="1F13179A"/>
    <w:rsid w:val="1F4D7623"/>
    <w:rsid w:val="1F505C6B"/>
    <w:rsid w:val="1F59323F"/>
    <w:rsid w:val="1F7E1A5B"/>
    <w:rsid w:val="1F836389"/>
    <w:rsid w:val="1F9F20EA"/>
    <w:rsid w:val="1FD161FD"/>
    <w:rsid w:val="1FE246F3"/>
    <w:rsid w:val="1FFE0608"/>
    <w:rsid w:val="20300D46"/>
    <w:rsid w:val="204369D4"/>
    <w:rsid w:val="208B5A2A"/>
    <w:rsid w:val="20D43AC7"/>
    <w:rsid w:val="20FA7F20"/>
    <w:rsid w:val="211F4451"/>
    <w:rsid w:val="21336F8E"/>
    <w:rsid w:val="216B05FC"/>
    <w:rsid w:val="21857E79"/>
    <w:rsid w:val="21B13EB3"/>
    <w:rsid w:val="21C35D68"/>
    <w:rsid w:val="21D57BC5"/>
    <w:rsid w:val="222A50C8"/>
    <w:rsid w:val="22394A78"/>
    <w:rsid w:val="22500D2C"/>
    <w:rsid w:val="22506BB9"/>
    <w:rsid w:val="22A10BFE"/>
    <w:rsid w:val="232A28AB"/>
    <w:rsid w:val="233F7E6C"/>
    <w:rsid w:val="234E0A1D"/>
    <w:rsid w:val="23BA5D80"/>
    <w:rsid w:val="23D97EE2"/>
    <w:rsid w:val="23DB7D35"/>
    <w:rsid w:val="23E344C7"/>
    <w:rsid w:val="24003C1D"/>
    <w:rsid w:val="241C37C2"/>
    <w:rsid w:val="241F37F9"/>
    <w:rsid w:val="244756D5"/>
    <w:rsid w:val="244811C2"/>
    <w:rsid w:val="246F003B"/>
    <w:rsid w:val="247C4344"/>
    <w:rsid w:val="24991F03"/>
    <w:rsid w:val="24AF1DCA"/>
    <w:rsid w:val="251E6664"/>
    <w:rsid w:val="252F3294"/>
    <w:rsid w:val="25312F2A"/>
    <w:rsid w:val="25846520"/>
    <w:rsid w:val="25913036"/>
    <w:rsid w:val="25A469CF"/>
    <w:rsid w:val="25B3069D"/>
    <w:rsid w:val="25BE6D49"/>
    <w:rsid w:val="2609650F"/>
    <w:rsid w:val="26152A66"/>
    <w:rsid w:val="262477ED"/>
    <w:rsid w:val="263D0454"/>
    <w:rsid w:val="265F3E4E"/>
    <w:rsid w:val="26661D08"/>
    <w:rsid w:val="266E0146"/>
    <w:rsid w:val="26784E8F"/>
    <w:rsid w:val="26887D7C"/>
    <w:rsid w:val="269D3C5E"/>
    <w:rsid w:val="26A74B38"/>
    <w:rsid w:val="26B66603"/>
    <w:rsid w:val="26C106B2"/>
    <w:rsid w:val="26D66361"/>
    <w:rsid w:val="26D70969"/>
    <w:rsid w:val="26DD55B0"/>
    <w:rsid w:val="26F946AD"/>
    <w:rsid w:val="271F7E0F"/>
    <w:rsid w:val="272732DF"/>
    <w:rsid w:val="273A66F1"/>
    <w:rsid w:val="2743038A"/>
    <w:rsid w:val="27A44741"/>
    <w:rsid w:val="27EA2607"/>
    <w:rsid w:val="282825E9"/>
    <w:rsid w:val="288A6ECB"/>
    <w:rsid w:val="289A0341"/>
    <w:rsid w:val="289A2E7C"/>
    <w:rsid w:val="28DB744A"/>
    <w:rsid w:val="2909215C"/>
    <w:rsid w:val="292E1048"/>
    <w:rsid w:val="292E4C0A"/>
    <w:rsid w:val="293250DF"/>
    <w:rsid w:val="29B30CFC"/>
    <w:rsid w:val="29CE3CF8"/>
    <w:rsid w:val="2A525407"/>
    <w:rsid w:val="2A6A50CB"/>
    <w:rsid w:val="2A7725E1"/>
    <w:rsid w:val="2A897B9B"/>
    <w:rsid w:val="2A9F6F12"/>
    <w:rsid w:val="2AAB620D"/>
    <w:rsid w:val="2AD26966"/>
    <w:rsid w:val="2AE6501F"/>
    <w:rsid w:val="2B131DCA"/>
    <w:rsid w:val="2B2E3390"/>
    <w:rsid w:val="2B3B68B8"/>
    <w:rsid w:val="2B7B4E11"/>
    <w:rsid w:val="2B9048AB"/>
    <w:rsid w:val="2BD13C9F"/>
    <w:rsid w:val="2BD918A6"/>
    <w:rsid w:val="2BDA24A2"/>
    <w:rsid w:val="2C076067"/>
    <w:rsid w:val="2C324A12"/>
    <w:rsid w:val="2C344C3F"/>
    <w:rsid w:val="2C424ABA"/>
    <w:rsid w:val="2C540414"/>
    <w:rsid w:val="2C790E26"/>
    <w:rsid w:val="2C9A284E"/>
    <w:rsid w:val="2CB216AE"/>
    <w:rsid w:val="2CB63C4C"/>
    <w:rsid w:val="2D614E83"/>
    <w:rsid w:val="2D651562"/>
    <w:rsid w:val="2D6B7AAF"/>
    <w:rsid w:val="2D7D6F89"/>
    <w:rsid w:val="2D8D115E"/>
    <w:rsid w:val="2D9516F9"/>
    <w:rsid w:val="2D991966"/>
    <w:rsid w:val="2DA90D03"/>
    <w:rsid w:val="2E0B05CC"/>
    <w:rsid w:val="2E0C316C"/>
    <w:rsid w:val="2E2E745B"/>
    <w:rsid w:val="2E3B1E87"/>
    <w:rsid w:val="2E7D0ACF"/>
    <w:rsid w:val="2ECC7A3A"/>
    <w:rsid w:val="2ECF6DA2"/>
    <w:rsid w:val="2EEB2150"/>
    <w:rsid w:val="2EF8278F"/>
    <w:rsid w:val="2EFA2319"/>
    <w:rsid w:val="2F336920"/>
    <w:rsid w:val="2F4A5776"/>
    <w:rsid w:val="2F7E0BC8"/>
    <w:rsid w:val="2FA90113"/>
    <w:rsid w:val="2FD9574E"/>
    <w:rsid w:val="300466C5"/>
    <w:rsid w:val="305D78CF"/>
    <w:rsid w:val="30636D4A"/>
    <w:rsid w:val="309A2C8D"/>
    <w:rsid w:val="30BD0622"/>
    <w:rsid w:val="313D46CB"/>
    <w:rsid w:val="31A139C8"/>
    <w:rsid w:val="31D90AE5"/>
    <w:rsid w:val="31FA1A5A"/>
    <w:rsid w:val="32261152"/>
    <w:rsid w:val="32314944"/>
    <w:rsid w:val="324F15E1"/>
    <w:rsid w:val="327F61E4"/>
    <w:rsid w:val="32CF49A8"/>
    <w:rsid w:val="32FC322E"/>
    <w:rsid w:val="32FD2138"/>
    <w:rsid w:val="33710BD8"/>
    <w:rsid w:val="338A3B00"/>
    <w:rsid w:val="33B51A84"/>
    <w:rsid w:val="33E13A0E"/>
    <w:rsid w:val="33E62F9E"/>
    <w:rsid w:val="33E86AD8"/>
    <w:rsid w:val="33F91D8C"/>
    <w:rsid w:val="34270BD4"/>
    <w:rsid w:val="34323FED"/>
    <w:rsid w:val="34480B4A"/>
    <w:rsid w:val="34496D9C"/>
    <w:rsid w:val="3450547F"/>
    <w:rsid w:val="348F575B"/>
    <w:rsid w:val="349B6ECC"/>
    <w:rsid w:val="349E3596"/>
    <w:rsid w:val="34AF609A"/>
    <w:rsid w:val="34D32B0A"/>
    <w:rsid w:val="34D81ECE"/>
    <w:rsid w:val="34F00851"/>
    <w:rsid w:val="34FF1919"/>
    <w:rsid w:val="35144EAB"/>
    <w:rsid w:val="353F122E"/>
    <w:rsid w:val="354B6B44"/>
    <w:rsid w:val="355653DF"/>
    <w:rsid w:val="35610116"/>
    <w:rsid w:val="3561657A"/>
    <w:rsid w:val="356335F4"/>
    <w:rsid w:val="357B414C"/>
    <w:rsid w:val="358873AC"/>
    <w:rsid w:val="358B3972"/>
    <w:rsid w:val="35AA1552"/>
    <w:rsid w:val="35F86775"/>
    <w:rsid w:val="36032F7B"/>
    <w:rsid w:val="36062A6B"/>
    <w:rsid w:val="366F6862"/>
    <w:rsid w:val="3672388A"/>
    <w:rsid w:val="36A725AC"/>
    <w:rsid w:val="36BE1FE4"/>
    <w:rsid w:val="37482CF9"/>
    <w:rsid w:val="3751597B"/>
    <w:rsid w:val="37A82A9E"/>
    <w:rsid w:val="37B40511"/>
    <w:rsid w:val="37B76160"/>
    <w:rsid w:val="37D008AE"/>
    <w:rsid w:val="37D82AAC"/>
    <w:rsid w:val="37F521FD"/>
    <w:rsid w:val="383F00DF"/>
    <w:rsid w:val="384A74DA"/>
    <w:rsid w:val="386746B5"/>
    <w:rsid w:val="386A230C"/>
    <w:rsid w:val="38C32900"/>
    <w:rsid w:val="38EC7ABE"/>
    <w:rsid w:val="38F64623"/>
    <w:rsid w:val="38F92887"/>
    <w:rsid w:val="390A1133"/>
    <w:rsid w:val="39143665"/>
    <w:rsid w:val="3915466C"/>
    <w:rsid w:val="39194863"/>
    <w:rsid w:val="392E4497"/>
    <w:rsid w:val="396B373A"/>
    <w:rsid w:val="39A529DB"/>
    <w:rsid w:val="39AA1BDB"/>
    <w:rsid w:val="39BB29F6"/>
    <w:rsid w:val="39CF3832"/>
    <w:rsid w:val="39E72E49"/>
    <w:rsid w:val="3A045999"/>
    <w:rsid w:val="3A1E32BF"/>
    <w:rsid w:val="3A23143E"/>
    <w:rsid w:val="3A277BC7"/>
    <w:rsid w:val="3A7561D8"/>
    <w:rsid w:val="3A80361F"/>
    <w:rsid w:val="3A865F28"/>
    <w:rsid w:val="3A991B74"/>
    <w:rsid w:val="3AC52EF5"/>
    <w:rsid w:val="3AE94581"/>
    <w:rsid w:val="3AF46B1A"/>
    <w:rsid w:val="3B2F5AED"/>
    <w:rsid w:val="3B39238D"/>
    <w:rsid w:val="3B4C7172"/>
    <w:rsid w:val="3B715851"/>
    <w:rsid w:val="3B806E1C"/>
    <w:rsid w:val="3B9801FA"/>
    <w:rsid w:val="3BA26060"/>
    <w:rsid w:val="3BDD23E7"/>
    <w:rsid w:val="3BDF7CFD"/>
    <w:rsid w:val="3BE178BA"/>
    <w:rsid w:val="3C17152E"/>
    <w:rsid w:val="3C3A346E"/>
    <w:rsid w:val="3C4F2391"/>
    <w:rsid w:val="3C6E0C3A"/>
    <w:rsid w:val="3CB9583C"/>
    <w:rsid w:val="3CBA0168"/>
    <w:rsid w:val="3CBB6A29"/>
    <w:rsid w:val="3CEB6517"/>
    <w:rsid w:val="3D08531B"/>
    <w:rsid w:val="3D29600E"/>
    <w:rsid w:val="3D53705D"/>
    <w:rsid w:val="3D57747E"/>
    <w:rsid w:val="3D632326"/>
    <w:rsid w:val="3D864BBD"/>
    <w:rsid w:val="3D8E6D48"/>
    <w:rsid w:val="3D9C247F"/>
    <w:rsid w:val="3DB31D29"/>
    <w:rsid w:val="3DEB5278"/>
    <w:rsid w:val="3DFA2EB5"/>
    <w:rsid w:val="3E2F6F48"/>
    <w:rsid w:val="3E646581"/>
    <w:rsid w:val="3E8601A3"/>
    <w:rsid w:val="3EDA038C"/>
    <w:rsid w:val="3F2B18E8"/>
    <w:rsid w:val="3F3271BB"/>
    <w:rsid w:val="3F350A72"/>
    <w:rsid w:val="3F6178C1"/>
    <w:rsid w:val="3F751147"/>
    <w:rsid w:val="3FCA4E34"/>
    <w:rsid w:val="3FF07ADC"/>
    <w:rsid w:val="3FF136EB"/>
    <w:rsid w:val="40186E22"/>
    <w:rsid w:val="401B4D99"/>
    <w:rsid w:val="40606E6F"/>
    <w:rsid w:val="40664660"/>
    <w:rsid w:val="409262A8"/>
    <w:rsid w:val="4093139F"/>
    <w:rsid w:val="40A5618A"/>
    <w:rsid w:val="40A6560B"/>
    <w:rsid w:val="40E37D9E"/>
    <w:rsid w:val="41055475"/>
    <w:rsid w:val="41055DF9"/>
    <w:rsid w:val="410F101C"/>
    <w:rsid w:val="41225622"/>
    <w:rsid w:val="41316913"/>
    <w:rsid w:val="4185309F"/>
    <w:rsid w:val="419E1DAA"/>
    <w:rsid w:val="41D4089C"/>
    <w:rsid w:val="422A715E"/>
    <w:rsid w:val="42492118"/>
    <w:rsid w:val="427B7763"/>
    <w:rsid w:val="429B54A6"/>
    <w:rsid w:val="42CC4877"/>
    <w:rsid w:val="42EB2481"/>
    <w:rsid w:val="42EC7A88"/>
    <w:rsid w:val="43140832"/>
    <w:rsid w:val="43374264"/>
    <w:rsid w:val="43AB2818"/>
    <w:rsid w:val="43C81360"/>
    <w:rsid w:val="43D63EC1"/>
    <w:rsid w:val="43DE0B83"/>
    <w:rsid w:val="43E813A0"/>
    <w:rsid w:val="4401407F"/>
    <w:rsid w:val="44140743"/>
    <w:rsid w:val="441623DD"/>
    <w:rsid w:val="44323DCE"/>
    <w:rsid w:val="445A69C7"/>
    <w:rsid w:val="44D01EDE"/>
    <w:rsid w:val="44DF4BB3"/>
    <w:rsid w:val="44ED48A1"/>
    <w:rsid w:val="44F239C0"/>
    <w:rsid w:val="45200DC2"/>
    <w:rsid w:val="45632281"/>
    <w:rsid w:val="456546FE"/>
    <w:rsid w:val="45965BB9"/>
    <w:rsid w:val="45F03C5E"/>
    <w:rsid w:val="45F93E0F"/>
    <w:rsid w:val="460030F5"/>
    <w:rsid w:val="460446E2"/>
    <w:rsid w:val="461528CD"/>
    <w:rsid w:val="467F21AA"/>
    <w:rsid w:val="46DD5122"/>
    <w:rsid w:val="472557C8"/>
    <w:rsid w:val="472B56FE"/>
    <w:rsid w:val="473E34E4"/>
    <w:rsid w:val="47734324"/>
    <w:rsid w:val="477F442B"/>
    <w:rsid w:val="47A31545"/>
    <w:rsid w:val="47CE1F53"/>
    <w:rsid w:val="47FE35A2"/>
    <w:rsid w:val="483E43EF"/>
    <w:rsid w:val="486C0E54"/>
    <w:rsid w:val="48C20A13"/>
    <w:rsid w:val="48EF78F3"/>
    <w:rsid w:val="49042E3A"/>
    <w:rsid w:val="492D7546"/>
    <w:rsid w:val="493528E3"/>
    <w:rsid w:val="49496A9F"/>
    <w:rsid w:val="49634005"/>
    <w:rsid w:val="496D4287"/>
    <w:rsid w:val="49AF724A"/>
    <w:rsid w:val="49D67507"/>
    <w:rsid w:val="49D96075"/>
    <w:rsid w:val="49E774BC"/>
    <w:rsid w:val="49EC4AE4"/>
    <w:rsid w:val="49FA19D9"/>
    <w:rsid w:val="4A4C31D0"/>
    <w:rsid w:val="4A4C6847"/>
    <w:rsid w:val="4A6320A6"/>
    <w:rsid w:val="4A7933B4"/>
    <w:rsid w:val="4A7B3C02"/>
    <w:rsid w:val="4A85292A"/>
    <w:rsid w:val="4A971109"/>
    <w:rsid w:val="4AA11836"/>
    <w:rsid w:val="4AC60981"/>
    <w:rsid w:val="4ACF60BE"/>
    <w:rsid w:val="4AF95E44"/>
    <w:rsid w:val="4B152373"/>
    <w:rsid w:val="4B1878EC"/>
    <w:rsid w:val="4B2071F5"/>
    <w:rsid w:val="4B3D244C"/>
    <w:rsid w:val="4BDB765E"/>
    <w:rsid w:val="4C1B7736"/>
    <w:rsid w:val="4C460F50"/>
    <w:rsid w:val="4C4D05FF"/>
    <w:rsid w:val="4C562E95"/>
    <w:rsid w:val="4C8979F4"/>
    <w:rsid w:val="4C982217"/>
    <w:rsid w:val="4CC528E0"/>
    <w:rsid w:val="4CE23492"/>
    <w:rsid w:val="4CE30FB8"/>
    <w:rsid w:val="4CE52F83"/>
    <w:rsid w:val="4D5F2D35"/>
    <w:rsid w:val="4D6749E1"/>
    <w:rsid w:val="4D8509DE"/>
    <w:rsid w:val="4D861CB1"/>
    <w:rsid w:val="4D916E18"/>
    <w:rsid w:val="4DCB4381"/>
    <w:rsid w:val="4DE33966"/>
    <w:rsid w:val="4DF8413E"/>
    <w:rsid w:val="4E1A1924"/>
    <w:rsid w:val="4E2459D2"/>
    <w:rsid w:val="4E835519"/>
    <w:rsid w:val="4EBB60C4"/>
    <w:rsid w:val="4EBF6B30"/>
    <w:rsid w:val="4F1155A6"/>
    <w:rsid w:val="4F374A05"/>
    <w:rsid w:val="4F520691"/>
    <w:rsid w:val="4FBD6EDF"/>
    <w:rsid w:val="4FC9093A"/>
    <w:rsid w:val="4FDA60DB"/>
    <w:rsid w:val="4FE34E3B"/>
    <w:rsid w:val="4FEF576E"/>
    <w:rsid w:val="50011E81"/>
    <w:rsid w:val="5007030F"/>
    <w:rsid w:val="50407123"/>
    <w:rsid w:val="50775EC4"/>
    <w:rsid w:val="50812FC2"/>
    <w:rsid w:val="50956257"/>
    <w:rsid w:val="50E62E0A"/>
    <w:rsid w:val="51046B59"/>
    <w:rsid w:val="51054803"/>
    <w:rsid w:val="510D64B7"/>
    <w:rsid w:val="512D4C56"/>
    <w:rsid w:val="51335B97"/>
    <w:rsid w:val="51377DDE"/>
    <w:rsid w:val="51CD2963"/>
    <w:rsid w:val="51E32AF7"/>
    <w:rsid w:val="51E753DE"/>
    <w:rsid w:val="51F1365C"/>
    <w:rsid w:val="5248112B"/>
    <w:rsid w:val="525804FF"/>
    <w:rsid w:val="52895153"/>
    <w:rsid w:val="5295371B"/>
    <w:rsid w:val="52973C78"/>
    <w:rsid w:val="52BB6C5F"/>
    <w:rsid w:val="52E25508"/>
    <w:rsid w:val="52F04BB1"/>
    <w:rsid w:val="531225F7"/>
    <w:rsid w:val="533B291C"/>
    <w:rsid w:val="535715BB"/>
    <w:rsid w:val="53670B95"/>
    <w:rsid w:val="53BA10A2"/>
    <w:rsid w:val="54281F63"/>
    <w:rsid w:val="544B4013"/>
    <w:rsid w:val="5472334E"/>
    <w:rsid w:val="54D20290"/>
    <w:rsid w:val="5527503A"/>
    <w:rsid w:val="556A2277"/>
    <w:rsid w:val="556C5FEF"/>
    <w:rsid w:val="558C48E3"/>
    <w:rsid w:val="55BD0FB5"/>
    <w:rsid w:val="55D01602"/>
    <w:rsid w:val="55F70838"/>
    <w:rsid w:val="56034784"/>
    <w:rsid w:val="561121E7"/>
    <w:rsid w:val="56415898"/>
    <w:rsid w:val="56530F5D"/>
    <w:rsid w:val="56646DA2"/>
    <w:rsid w:val="56DA7D27"/>
    <w:rsid w:val="56E62CD4"/>
    <w:rsid w:val="57062EA5"/>
    <w:rsid w:val="57095CAB"/>
    <w:rsid w:val="572C64F5"/>
    <w:rsid w:val="574216FD"/>
    <w:rsid w:val="57684EDC"/>
    <w:rsid w:val="579C77A4"/>
    <w:rsid w:val="57C337C0"/>
    <w:rsid w:val="57FC209D"/>
    <w:rsid w:val="58276B45"/>
    <w:rsid w:val="5865131C"/>
    <w:rsid w:val="589E5E4C"/>
    <w:rsid w:val="589E6E07"/>
    <w:rsid w:val="58A33F96"/>
    <w:rsid w:val="58A53CDA"/>
    <w:rsid w:val="58D85CD8"/>
    <w:rsid w:val="58FE7460"/>
    <w:rsid w:val="5902178A"/>
    <w:rsid w:val="592117E6"/>
    <w:rsid w:val="593A5ADF"/>
    <w:rsid w:val="59457027"/>
    <w:rsid w:val="59544C65"/>
    <w:rsid w:val="5960230F"/>
    <w:rsid w:val="5988532A"/>
    <w:rsid w:val="598D4786"/>
    <w:rsid w:val="59AC5554"/>
    <w:rsid w:val="59AE3B0F"/>
    <w:rsid w:val="5A096502"/>
    <w:rsid w:val="5A251300"/>
    <w:rsid w:val="5A3C5FDA"/>
    <w:rsid w:val="5A460260"/>
    <w:rsid w:val="5A4F2EF0"/>
    <w:rsid w:val="5A585B5B"/>
    <w:rsid w:val="5A9C6BF7"/>
    <w:rsid w:val="5AA80201"/>
    <w:rsid w:val="5AAA5310"/>
    <w:rsid w:val="5AAC3332"/>
    <w:rsid w:val="5AD57571"/>
    <w:rsid w:val="5AF8647B"/>
    <w:rsid w:val="5AFC6067"/>
    <w:rsid w:val="5B12588A"/>
    <w:rsid w:val="5B6D486F"/>
    <w:rsid w:val="5B704BA9"/>
    <w:rsid w:val="5B8B2F47"/>
    <w:rsid w:val="5BAD42EB"/>
    <w:rsid w:val="5BD82630"/>
    <w:rsid w:val="5BFA3C63"/>
    <w:rsid w:val="5C021EAE"/>
    <w:rsid w:val="5C0F5926"/>
    <w:rsid w:val="5C1579F6"/>
    <w:rsid w:val="5C42306A"/>
    <w:rsid w:val="5C4B7644"/>
    <w:rsid w:val="5C6A5252"/>
    <w:rsid w:val="5C881D34"/>
    <w:rsid w:val="5CA95D7B"/>
    <w:rsid w:val="5CBD79F5"/>
    <w:rsid w:val="5D061979"/>
    <w:rsid w:val="5D29153F"/>
    <w:rsid w:val="5D2E6280"/>
    <w:rsid w:val="5D2F2C0C"/>
    <w:rsid w:val="5D3E7198"/>
    <w:rsid w:val="5DA5797B"/>
    <w:rsid w:val="5DE402B6"/>
    <w:rsid w:val="5DE45C50"/>
    <w:rsid w:val="5DF52041"/>
    <w:rsid w:val="5E0133B7"/>
    <w:rsid w:val="5E181846"/>
    <w:rsid w:val="5E3C677A"/>
    <w:rsid w:val="5E4E4E2C"/>
    <w:rsid w:val="5E6336A5"/>
    <w:rsid w:val="5E9F2542"/>
    <w:rsid w:val="5EBF3633"/>
    <w:rsid w:val="5ED03A93"/>
    <w:rsid w:val="5ED16751"/>
    <w:rsid w:val="5ED450D2"/>
    <w:rsid w:val="5ED538C2"/>
    <w:rsid w:val="5F0916FE"/>
    <w:rsid w:val="5F0E7793"/>
    <w:rsid w:val="5F1A6ABC"/>
    <w:rsid w:val="5F5462E8"/>
    <w:rsid w:val="5FBF3971"/>
    <w:rsid w:val="5FD3782E"/>
    <w:rsid w:val="5FF15A41"/>
    <w:rsid w:val="600965D4"/>
    <w:rsid w:val="603B7020"/>
    <w:rsid w:val="60544296"/>
    <w:rsid w:val="607438AF"/>
    <w:rsid w:val="609E41B5"/>
    <w:rsid w:val="60AA0751"/>
    <w:rsid w:val="60B43AEE"/>
    <w:rsid w:val="60CF7600"/>
    <w:rsid w:val="60FD5236"/>
    <w:rsid w:val="60FF065F"/>
    <w:rsid w:val="61521DCC"/>
    <w:rsid w:val="617E36D4"/>
    <w:rsid w:val="61BA6AF0"/>
    <w:rsid w:val="61BC2EF9"/>
    <w:rsid w:val="61BD7BD2"/>
    <w:rsid w:val="61E735F4"/>
    <w:rsid w:val="61F94CE4"/>
    <w:rsid w:val="62353F65"/>
    <w:rsid w:val="629761F7"/>
    <w:rsid w:val="62EF3BF7"/>
    <w:rsid w:val="633A772C"/>
    <w:rsid w:val="637A374D"/>
    <w:rsid w:val="6394187F"/>
    <w:rsid w:val="63A63014"/>
    <w:rsid w:val="63C87BFD"/>
    <w:rsid w:val="63D0096A"/>
    <w:rsid w:val="63D35EF3"/>
    <w:rsid w:val="63E862A9"/>
    <w:rsid w:val="644A1564"/>
    <w:rsid w:val="646E2275"/>
    <w:rsid w:val="64960712"/>
    <w:rsid w:val="649C0975"/>
    <w:rsid w:val="649C3D6C"/>
    <w:rsid w:val="64CF0900"/>
    <w:rsid w:val="64D21BE7"/>
    <w:rsid w:val="64D944B3"/>
    <w:rsid w:val="64E86FDB"/>
    <w:rsid w:val="65027E79"/>
    <w:rsid w:val="650C10E2"/>
    <w:rsid w:val="6543102C"/>
    <w:rsid w:val="655D7702"/>
    <w:rsid w:val="659539A6"/>
    <w:rsid w:val="65982AEA"/>
    <w:rsid w:val="65B337C6"/>
    <w:rsid w:val="65B434AD"/>
    <w:rsid w:val="65D5373C"/>
    <w:rsid w:val="65E31FAA"/>
    <w:rsid w:val="65F33662"/>
    <w:rsid w:val="65FB2030"/>
    <w:rsid w:val="661D6873"/>
    <w:rsid w:val="663C37BC"/>
    <w:rsid w:val="667747F4"/>
    <w:rsid w:val="669940FD"/>
    <w:rsid w:val="66BA2BC6"/>
    <w:rsid w:val="66DF014C"/>
    <w:rsid w:val="67194127"/>
    <w:rsid w:val="673D0F17"/>
    <w:rsid w:val="67492634"/>
    <w:rsid w:val="67507556"/>
    <w:rsid w:val="676651FD"/>
    <w:rsid w:val="67B62FDD"/>
    <w:rsid w:val="67E759A9"/>
    <w:rsid w:val="68000AD6"/>
    <w:rsid w:val="68196D67"/>
    <w:rsid w:val="684460A4"/>
    <w:rsid w:val="684D3A5E"/>
    <w:rsid w:val="68816E27"/>
    <w:rsid w:val="688612AF"/>
    <w:rsid w:val="689A674E"/>
    <w:rsid w:val="68C30390"/>
    <w:rsid w:val="692F32EE"/>
    <w:rsid w:val="694C5FC3"/>
    <w:rsid w:val="69526FA3"/>
    <w:rsid w:val="696002CD"/>
    <w:rsid w:val="699F653B"/>
    <w:rsid w:val="69B978CF"/>
    <w:rsid w:val="69F60876"/>
    <w:rsid w:val="6A331379"/>
    <w:rsid w:val="6A520821"/>
    <w:rsid w:val="6A7226D8"/>
    <w:rsid w:val="6A785773"/>
    <w:rsid w:val="6A7C062B"/>
    <w:rsid w:val="6A8614A9"/>
    <w:rsid w:val="6AB570B9"/>
    <w:rsid w:val="6AC1146F"/>
    <w:rsid w:val="6AE968C3"/>
    <w:rsid w:val="6B036F9E"/>
    <w:rsid w:val="6B324CFA"/>
    <w:rsid w:val="6B374E64"/>
    <w:rsid w:val="6B681A44"/>
    <w:rsid w:val="6B8E0096"/>
    <w:rsid w:val="6BAA7280"/>
    <w:rsid w:val="6BAE5105"/>
    <w:rsid w:val="6BD212C3"/>
    <w:rsid w:val="6BD214FC"/>
    <w:rsid w:val="6BDC674C"/>
    <w:rsid w:val="6C103720"/>
    <w:rsid w:val="6C24114C"/>
    <w:rsid w:val="6C4013B6"/>
    <w:rsid w:val="6CCC5FF3"/>
    <w:rsid w:val="6CCD355B"/>
    <w:rsid w:val="6CDD2671"/>
    <w:rsid w:val="6D1F48CF"/>
    <w:rsid w:val="6D300E7B"/>
    <w:rsid w:val="6D830A83"/>
    <w:rsid w:val="6DA63DBA"/>
    <w:rsid w:val="6E066E45"/>
    <w:rsid w:val="6E1F5E53"/>
    <w:rsid w:val="6E4A5658"/>
    <w:rsid w:val="6E5024FA"/>
    <w:rsid w:val="6E822F69"/>
    <w:rsid w:val="6E9D63BF"/>
    <w:rsid w:val="6E9F0038"/>
    <w:rsid w:val="6ECE55A0"/>
    <w:rsid w:val="6EF61D6E"/>
    <w:rsid w:val="6F2E3EBD"/>
    <w:rsid w:val="6F596A87"/>
    <w:rsid w:val="6F5D2F83"/>
    <w:rsid w:val="6FA80D31"/>
    <w:rsid w:val="6FAE78D6"/>
    <w:rsid w:val="6FD769F9"/>
    <w:rsid w:val="6FDD600F"/>
    <w:rsid w:val="6FE078AE"/>
    <w:rsid w:val="6FE54186"/>
    <w:rsid w:val="6FE56C72"/>
    <w:rsid w:val="702A4743"/>
    <w:rsid w:val="702F613F"/>
    <w:rsid w:val="706D0346"/>
    <w:rsid w:val="706E6C67"/>
    <w:rsid w:val="707101F0"/>
    <w:rsid w:val="707324D0"/>
    <w:rsid w:val="70756248"/>
    <w:rsid w:val="708867B8"/>
    <w:rsid w:val="709541F4"/>
    <w:rsid w:val="70B80DB9"/>
    <w:rsid w:val="70D0347E"/>
    <w:rsid w:val="70D26610"/>
    <w:rsid w:val="70D816CA"/>
    <w:rsid w:val="71096211"/>
    <w:rsid w:val="7113730F"/>
    <w:rsid w:val="712454CF"/>
    <w:rsid w:val="71527F65"/>
    <w:rsid w:val="716360A0"/>
    <w:rsid w:val="71645B2C"/>
    <w:rsid w:val="71BA118A"/>
    <w:rsid w:val="71BE3082"/>
    <w:rsid w:val="72324855"/>
    <w:rsid w:val="72A90A88"/>
    <w:rsid w:val="72B15264"/>
    <w:rsid w:val="72DF3E4C"/>
    <w:rsid w:val="734A50D3"/>
    <w:rsid w:val="73792D50"/>
    <w:rsid w:val="73D80034"/>
    <w:rsid w:val="74012D49"/>
    <w:rsid w:val="740535B3"/>
    <w:rsid w:val="7407608E"/>
    <w:rsid w:val="740F6C81"/>
    <w:rsid w:val="74147B26"/>
    <w:rsid w:val="741A4B9A"/>
    <w:rsid w:val="742C1D86"/>
    <w:rsid w:val="7435334E"/>
    <w:rsid w:val="74381F98"/>
    <w:rsid w:val="74881AD8"/>
    <w:rsid w:val="748A147D"/>
    <w:rsid w:val="74D33EF1"/>
    <w:rsid w:val="75422471"/>
    <w:rsid w:val="75575F1C"/>
    <w:rsid w:val="755D4667"/>
    <w:rsid w:val="756454D6"/>
    <w:rsid w:val="757E5B9F"/>
    <w:rsid w:val="757F1917"/>
    <w:rsid w:val="7597331E"/>
    <w:rsid w:val="759A22AD"/>
    <w:rsid w:val="75FC1929"/>
    <w:rsid w:val="760E3790"/>
    <w:rsid w:val="763224E5"/>
    <w:rsid w:val="76612DCA"/>
    <w:rsid w:val="769928BD"/>
    <w:rsid w:val="76AF7FDA"/>
    <w:rsid w:val="76B93BF6"/>
    <w:rsid w:val="76FA1EA1"/>
    <w:rsid w:val="77087646"/>
    <w:rsid w:val="7709593C"/>
    <w:rsid w:val="770B2B3A"/>
    <w:rsid w:val="771E329E"/>
    <w:rsid w:val="774C0454"/>
    <w:rsid w:val="77CD3DA8"/>
    <w:rsid w:val="77D44A90"/>
    <w:rsid w:val="77D67749"/>
    <w:rsid w:val="78042148"/>
    <w:rsid w:val="78454752"/>
    <w:rsid w:val="7858261A"/>
    <w:rsid w:val="78631D99"/>
    <w:rsid w:val="78680440"/>
    <w:rsid w:val="788747FB"/>
    <w:rsid w:val="78913E0C"/>
    <w:rsid w:val="789456D9"/>
    <w:rsid w:val="78951413"/>
    <w:rsid w:val="78D51559"/>
    <w:rsid w:val="7917542B"/>
    <w:rsid w:val="791E2AAF"/>
    <w:rsid w:val="796F447B"/>
    <w:rsid w:val="797C3CA1"/>
    <w:rsid w:val="798B0534"/>
    <w:rsid w:val="799A4A63"/>
    <w:rsid w:val="79E616FD"/>
    <w:rsid w:val="79F93A46"/>
    <w:rsid w:val="7A0C1A6C"/>
    <w:rsid w:val="7A1824E2"/>
    <w:rsid w:val="7A4904BA"/>
    <w:rsid w:val="7A5050EA"/>
    <w:rsid w:val="7A5231B0"/>
    <w:rsid w:val="7A6330F9"/>
    <w:rsid w:val="7A6D5BF9"/>
    <w:rsid w:val="7A710772"/>
    <w:rsid w:val="7A8171F6"/>
    <w:rsid w:val="7A827066"/>
    <w:rsid w:val="7A937080"/>
    <w:rsid w:val="7AAF1192"/>
    <w:rsid w:val="7B0C1557"/>
    <w:rsid w:val="7B2D07A3"/>
    <w:rsid w:val="7B534407"/>
    <w:rsid w:val="7B675D96"/>
    <w:rsid w:val="7B9C5372"/>
    <w:rsid w:val="7B9D2AF7"/>
    <w:rsid w:val="7BFF517E"/>
    <w:rsid w:val="7C23503C"/>
    <w:rsid w:val="7C3B6960"/>
    <w:rsid w:val="7C9A03CD"/>
    <w:rsid w:val="7CB83D29"/>
    <w:rsid w:val="7CBC51FE"/>
    <w:rsid w:val="7CD61A75"/>
    <w:rsid w:val="7D1E74D1"/>
    <w:rsid w:val="7D35560A"/>
    <w:rsid w:val="7D495CC7"/>
    <w:rsid w:val="7D803B53"/>
    <w:rsid w:val="7D837B9D"/>
    <w:rsid w:val="7DD10841"/>
    <w:rsid w:val="7E221091"/>
    <w:rsid w:val="7E4C4147"/>
    <w:rsid w:val="7E5F399E"/>
    <w:rsid w:val="7E62107B"/>
    <w:rsid w:val="7E71108B"/>
    <w:rsid w:val="7EE60478"/>
    <w:rsid w:val="7EFE0269"/>
    <w:rsid w:val="7F1A6AAD"/>
    <w:rsid w:val="7F2B1794"/>
    <w:rsid w:val="7F345520"/>
    <w:rsid w:val="7F62208D"/>
    <w:rsid w:val="7F652BE3"/>
    <w:rsid w:val="7F7906C9"/>
    <w:rsid w:val="7FBA36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0"/>
    <w:pPr>
      <w:ind w:left="1277"/>
      <w:outlineLvl w:val="1"/>
    </w:pPr>
    <w:rPr>
      <w:rFonts w:ascii="仿宋_GB2312" w:hAnsi="仿宋_GB2312" w:eastAsia="仿宋_GB2312" w:cs="仿宋_GB2312"/>
      <w:b/>
      <w:bCs/>
      <w:sz w:val="32"/>
      <w:szCs w:val="32"/>
      <w:lang w:val="zh-CN" w:eastAsia="zh-CN" w:bidi="zh-CN"/>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toc 3"/>
    <w:basedOn w:val="1"/>
    <w:next w:val="1"/>
    <w:qFormat/>
    <w:uiPriority w:val="0"/>
    <w:pPr>
      <w:ind w:left="840" w:leftChars="400"/>
    </w:p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微软雅黑" w:hAnsi="微软雅黑" w:eastAsia="微软雅黑" w:cs="微软雅黑"/>
      <w:kern w:val="0"/>
      <w:sz w:val="24"/>
      <w:lang w:val="en-US" w:eastAsia="zh-CN" w:bidi="ar"/>
    </w:rPr>
  </w:style>
  <w:style w:type="character" w:styleId="12">
    <w:name w:val="Strong"/>
    <w:basedOn w:val="11"/>
    <w:qFormat/>
    <w:uiPriority w:val="0"/>
    <w:rPr>
      <w:b/>
      <w:bCs/>
    </w:rPr>
  </w:style>
  <w:style w:type="character" w:styleId="13">
    <w:name w:val="FollowedHyperlink"/>
    <w:basedOn w:val="11"/>
    <w:qFormat/>
    <w:uiPriority w:val="0"/>
    <w:rPr>
      <w:color w:val="333333"/>
      <w:u w:val="none"/>
    </w:rPr>
  </w:style>
  <w:style w:type="character" w:styleId="14">
    <w:name w:val="Emphasis"/>
    <w:basedOn w:val="11"/>
    <w:qFormat/>
    <w:uiPriority w:val="0"/>
    <w:rPr>
      <w:rFonts w:ascii="微软雅黑" w:hAnsi="微软雅黑" w:eastAsia="微软雅黑" w:cs="微软雅黑"/>
    </w:rPr>
  </w:style>
  <w:style w:type="character" w:styleId="15">
    <w:name w:val="Hyperlink"/>
    <w:basedOn w:val="11"/>
    <w:qFormat/>
    <w:uiPriority w:val="0"/>
    <w:rPr>
      <w:color w:val="333333"/>
      <w:u w:val="none"/>
    </w:rPr>
  </w:style>
  <w:style w:type="character" w:customStyle="1" w:styleId="16">
    <w:name w:val="after"/>
    <w:basedOn w:val="11"/>
    <w:qFormat/>
    <w:uiPriority w:val="0"/>
    <w:rPr>
      <w:shd w:val="clear" w:color="auto" w:fill="FFFFFF"/>
    </w:rPr>
  </w:style>
  <w:style w:type="character" w:customStyle="1" w:styleId="17">
    <w:name w:val="text"/>
    <w:basedOn w:val="11"/>
    <w:qFormat/>
    <w:uiPriority w:val="0"/>
    <w:rPr>
      <w:color w:val="666666"/>
    </w:rPr>
  </w:style>
  <w:style w:type="character" w:customStyle="1" w:styleId="18">
    <w:name w:val="last"/>
    <w:basedOn w:val="11"/>
    <w:qFormat/>
    <w:uiPriority w:val="0"/>
  </w:style>
  <w:style w:type="character" w:customStyle="1" w:styleId="19">
    <w:name w:val="bsharetext"/>
    <w:basedOn w:val="11"/>
    <w:qFormat/>
    <w:uiPriority w:val="0"/>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3477</Words>
  <Characters>3829</Characters>
  <Lines>0</Lines>
  <Paragraphs>0</Paragraphs>
  <TotalTime>51</TotalTime>
  <ScaleCrop>false</ScaleCrop>
  <LinksUpToDate>false</LinksUpToDate>
  <CharactersWithSpaces>3931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Administrator</cp:lastModifiedBy>
  <dcterms:modified xsi:type="dcterms:W3CDTF">2025-11-13T04:32:19Z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7DD0ED397DCB43FA890D15E92B1FCDB1_13</vt:lpwstr>
  </property>
  <property fmtid="{D5CDD505-2E9C-101B-9397-08002B2CF9AE}" pid="4" name="KSOTemplateDocerSaveRecord">
    <vt:lpwstr>eyJoZGlkIjoiY2UxYTY5Njg0NWU1NDU5MmE3NzhjZDNiMDAyZDZjNWUiLCJ1c2VySWQiOiIxMTEwNzY4OCJ9</vt:lpwstr>
  </property>
</Properties>
</file>