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Times New Roman" w:hAnsi="Times New Roman" w:eastAsia="方正小标宋_GBK" w:cs="宋体"/>
          <w:b/>
          <w:kern w:val="0"/>
          <w:sz w:val="48"/>
          <w:szCs w:val="48"/>
        </w:rPr>
      </w:pPr>
    </w:p>
    <w:p>
      <w:pPr>
        <w:spacing w:line="540" w:lineRule="exact"/>
        <w:jc w:val="center"/>
        <w:rPr>
          <w:rFonts w:ascii="Times New Roman" w:hAnsi="Times New Roman" w:eastAsia="方正小标宋_GBK" w:cs="宋体"/>
          <w:b/>
          <w:kern w:val="0"/>
          <w:sz w:val="48"/>
          <w:szCs w:val="48"/>
        </w:rPr>
      </w:pPr>
    </w:p>
    <w:p>
      <w:pPr>
        <w:spacing w:line="540" w:lineRule="exact"/>
        <w:jc w:val="center"/>
        <w:rPr>
          <w:rFonts w:ascii="Times New Roman" w:hAnsi="Times New Roman" w:eastAsia="方正小标宋_GBK" w:cs="宋体"/>
          <w:b/>
          <w:kern w:val="0"/>
          <w:sz w:val="48"/>
          <w:szCs w:val="48"/>
        </w:rPr>
      </w:pPr>
    </w:p>
    <w:p>
      <w:pPr>
        <w:spacing w:line="540" w:lineRule="exact"/>
        <w:jc w:val="center"/>
        <w:rPr>
          <w:rFonts w:ascii="Times New Roman" w:hAnsi="Times New Roman" w:eastAsia="方正小标宋_GBK" w:cs="宋体"/>
          <w:b/>
          <w:kern w:val="0"/>
          <w:sz w:val="48"/>
          <w:szCs w:val="48"/>
        </w:rPr>
      </w:pPr>
    </w:p>
    <w:p>
      <w:pPr>
        <w:spacing w:line="540" w:lineRule="exact"/>
        <w:jc w:val="center"/>
        <w:rPr>
          <w:rFonts w:ascii="Times New Roman" w:hAnsi="Times New Roman" w:eastAsia="方正小标宋_GBK" w:cs="宋体"/>
          <w:b/>
          <w:kern w:val="0"/>
          <w:sz w:val="48"/>
          <w:szCs w:val="48"/>
        </w:rPr>
      </w:pPr>
    </w:p>
    <w:p>
      <w:pPr>
        <w:spacing w:line="540" w:lineRule="exact"/>
        <w:jc w:val="center"/>
        <w:rPr>
          <w:rFonts w:ascii="Times New Roman" w:hAnsi="Times New Roman" w:eastAsia="方正小标宋_GBK" w:cs="宋体"/>
          <w:b/>
          <w:kern w:val="0"/>
          <w:sz w:val="48"/>
          <w:szCs w:val="48"/>
        </w:rPr>
      </w:pPr>
    </w:p>
    <w:p>
      <w:pPr>
        <w:spacing w:line="540" w:lineRule="exact"/>
        <w:jc w:val="center"/>
        <w:rPr>
          <w:rFonts w:ascii="Times New Roman" w:hAnsi="Times New Roman" w:eastAsia="方正小标宋_GBK" w:cs="宋体"/>
          <w:b/>
          <w:kern w:val="0"/>
          <w:sz w:val="48"/>
          <w:szCs w:val="48"/>
        </w:rPr>
      </w:pPr>
      <w:r>
        <w:rPr>
          <w:rFonts w:hint="eastAsia" w:ascii="Times New Roman" w:hAnsi="Times New Roman" w:eastAsia="方正小标宋_GBK" w:cs="宋体"/>
          <w:b/>
          <w:kern w:val="0"/>
          <w:sz w:val="48"/>
          <w:szCs w:val="48"/>
          <w:lang w:val="en-US" w:eastAsia="zh-CN"/>
        </w:rPr>
        <w:t>中国共产党霍尔果斯市纪律检查委员会</w:t>
      </w:r>
      <w:r>
        <w:rPr>
          <w:rFonts w:hint="eastAsia" w:ascii="Times New Roman" w:hAnsi="Times New Roman" w:eastAsia="方正小标宋_GBK" w:cs="宋体"/>
          <w:b/>
          <w:kern w:val="0"/>
          <w:sz w:val="48"/>
          <w:szCs w:val="48"/>
        </w:rPr>
        <w:t>整体支出绩效自评报告</w:t>
      </w:r>
    </w:p>
    <w:p>
      <w:pPr>
        <w:spacing w:line="540" w:lineRule="exact"/>
        <w:jc w:val="center"/>
        <w:rPr>
          <w:rFonts w:ascii="Times New Roman" w:hAnsi="Times New Roman" w:eastAsia="华文中宋" w:cs="宋体"/>
          <w:b/>
          <w:kern w:val="0"/>
          <w:sz w:val="52"/>
          <w:szCs w:val="52"/>
        </w:rPr>
      </w:pPr>
    </w:p>
    <w:p>
      <w:pPr>
        <w:spacing w:line="540" w:lineRule="exact"/>
        <w:jc w:val="center"/>
        <w:rPr>
          <w:rFonts w:ascii="Times New Roman" w:hAnsi="Times New Roman" w:eastAsia="仿宋_GB2312" w:cs="宋体"/>
          <w:kern w:val="0"/>
          <w:sz w:val="36"/>
          <w:szCs w:val="36"/>
        </w:rPr>
      </w:pPr>
      <w:r>
        <w:rPr>
          <w:rFonts w:hint="eastAsia" w:ascii="Times New Roman" w:hAnsi="Times New Roman" w:eastAsia="仿宋_GB2312" w:cs="宋体"/>
          <w:kern w:val="0"/>
          <w:sz w:val="36"/>
          <w:szCs w:val="36"/>
        </w:rPr>
        <w:t xml:space="preserve">（ </w:t>
      </w:r>
      <w:r>
        <w:rPr>
          <w:rFonts w:hint="eastAsia" w:ascii="Times New Roman" w:hAnsi="Times New Roman" w:eastAsia="仿宋_GB2312" w:cs="宋体"/>
          <w:kern w:val="0"/>
          <w:sz w:val="36"/>
          <w:szCs w:val="36"/>
          <w:lang w:val="en-US" w:eastAsia="zh-CN"/>
        </w:rPr>
        <w:t>2024</w:t>
      </w:r>
      <w:r>
        <w:rPr>
          <w:rFonts w:hint="eastAsia" w:ascii="Times New Roman" w:hAnsi="Times New Roman" w:eastAsia="仿宋_GB2312" w:cs="宋体"/>
          <w:kern w:val="0"/>
          <w:sz w:val="36"/>
          <w:szCs w:val="36"/>
        </w:rPr>
        <w:t>年度）</w:t>
      </w:r>
    </w:p>
    <w:p>
      <w:pPr>
        <w:spacing w:line="540" w:lineRule="exact"/>
        <w:jc w:val="center"/>
        <w:rPr>
          <w:rFonts w:ascii="Times New Roman" w:hAnsi="Times New Roman" w:eastAsia="仿宋_GB2312" w:cs="宋体"/>
          <w:kern w:val="0"/>
          <w:sz w:val="30"/>
          <w:szCs w:val="30"/>
        </w:rPr>
      </w:pPr>
    </w:p>
    <w:p>
      <w:pPr>
        <w:spacing w:line="540" w:lineRule="exact"/>
        <w:jc w:val="center"/>
        <w:rPr>
          <w:rFonts w:ascii="Times New Roman" w:hAnsi="Times New Roman" w:eastAsia="仿宋_GB2312" w:cs="宋体"/>
          <w:kern w:val="0"/>
          <w:sz w:val="30"/>
          <w:szCs w:val="30"/>
        </w:rPr>
      </w:pPr>
    </w:p>
    <w:p>
      <w:pPr>
        <w:spacing w:line="540" w:lineRule="exact"/>
        <w:jc w:val="center"/>
        <w:rPr>
          <w:rFonts w:ascii="Times New Roman" w:hAnsi="Times New Roman" w:eastAsia="方正小标宋_GBK" w:cs="宋体"/>
          <w:kern w:val="0"/>
          <w:sz w:val="36"/>
          <w:szCs w:val="36"/>
        </w:rPr>
      </w:pPr>
    </w:p>
    <w:p>
      <w:pPr>
        <w:spacing w:line="540" w:lineRule="exact"/>
        <w:jc w:val="center"/>
        <w:rPr>
          <w:rFonts w:ascii="Times New Roman" w:hAnsi="Times New Roman" w:eastAsia="仿宋_GB2312" w:cs="宋体"/>
          <w:kern w:val="0"/>
          <w:sz w:val="30"/>
          <w:szCs w:val="30"/>
        </w:rPr>
      </w:pPr>
    </w:p>
    <w:p>
      <w:pPr>
        <w:spacing w:line="540" w:lineRule="exact"/>
        <w:jc w:val="center"/>
        <w:rPr>
          <w:rFonts w:ascii="Times New Roman" w:hAnsi="Times New Roman" w:eastAsia="仿宋_GB2312" w:cs="宋体"/>
          <w:kern w:val="0"/>
          <w:sz w:val="30"/>
          <w:szCs w:val="30"/>
        </w:rPr>
      </w:pPr>
    </w:p>
    <w:p>
      <w:pPr>
        <w:spacing w:line="540" w:lineRule="exact"/>
        <w:jc w:val="center"/>
        <w:rPr>
          <w:rFonts w:ascii="Times New Roman" w:hAnsi="Times New Roman" w:eastAsia="仿宋_GB2312" w:cs="宋体"/>
          <w:kern w:val="0"/>
          <w:sz w:val="30"/>
          <w:szCs w:val="30"/>
        </w:rPr>
      </w:pPr>
    </w:p>
    <w:p>
      <w:pPr>
        <w:spacing w:line="540" w:lineRule="exact"/>
        <w:rPr>
          <w:rFonts w:ascii="Times New Roman" w:hAnsi="Times New Roman" w:eastAsia="仿宋_GB2312" w:cs="宋体"/>
          <w:kern w:val="0"/>
          <w:sz w:val="30"/>
          <w:szCs w:val="30"/>
        </w:rPr>
      </w:pPr>
    </w:p>
    <w:p>
      <w:pPr>
        <w:spacing w:line="700" w:lineRule="exact"/>
        <w:jc w:val="left"/>
        <w:rPr>
          <w:rFonts w:ascii="Times New Roman" w:hAnsi="Times New Roman" w:eastAsia="仿宋_GB2312" w:cs="宋体"/>
          <w:kern w:val="0"/>
          <w:sz w:val="36"/>
          <w:szCs w:val="36"/>
        </w:rPr>
      </w:pPr>
      <w:r>
        <w:rPr>
          <w:rFonts w:hint="eastAsia" w:ascii="Times New Roman" w:hAnsi="Times New Roman" w:eastAsia="仿宋_GB2312" w:cs="宋体"/>
          <w:kern w:val="0"/>
          <w:sz w:val="36"/>
          <w:szCs w:val="36"/>
        </w:rPr>
        <w:t xml:space="preserve">  </w:t>
      </w:r>
    </w:p>
    <w:p>
      <w:pPr>
        <w:spacing w:line="700" w:lineRule="exact"/>
        <w:ind w:left="5263" w:leftChars="513" w:hanging="4186" w:hangingChars="1163"/>
        <w:jc w:val="left"/>
        <w:rPr>
          <w:rFonts w:ascii="Times New Roman" w:hAnsi="Times New Roman" w:eastAsia="仿宋_GB2312" w:cs="宋体"/>
          <w:kern w:val="0"/>
          <w:sz w:val="36"/>
          <w:szCs w:val="36"/>
        </w:rPr>
      </w:pPr>
      <w:r>
        <w:rPr>
          <w:rFonts w:hint="eastAsia" w:ascii="Times New Roman" w:hAnsi="Times New Roman" w:eastAsia="仿宋_GB2312" w:cs="宋体"/>
          <w:kern w:val="0"/>
          <w:sz w:val="36"/>
          <w:szCs w:val="36"/>
        </w:rPr>
        <w:t>部门单位名称（公章）：</w:t>
      </w:r>
      <w:r>
        <w:rPr>
          <w:rFonts w:hint="eastAsia" w:ascii="Times New Roman" w:hAnsi="Times New Roman" w:eastAsia="仿宋_GB2312" w:cs="宋体"/>
          <w:kern w:val="0"/>
          <w:sz w:val="36"/>
          <w:szCs w:val="36"/>
          <w:lang w:val="en-US" w:eastAsia="zh-CN"/>
        </w:rPr>
        <w:t>中国共产党霍尔果斯市纪律检查委员会</w:t>
      </w:r>
    </w:p>
    <w:p>
      <w:pPr>
        <w:spacing w:line="700" w:lineRule="exact"/>
        <w:ind w:firstLine="1206" w:firstLineChars="335"/>
        <w:jc w:val="left"/>
        <w:rPr>
          <w:rFonts w:ascii="Times New Roman" w:hAnsi="Times New Roman" w:eastAsia="仿宋_GB2312" w:cs="宋体"/>
          <w:kern w:val="0"/>
          <w:sz w:val="36"/>
          <w:szCs w:val="36"/>
        </w:rPr>
      </w:pPr>
      <w:r>
        <w:rPr>
          <w:rFonts w:hint="eastAsia" w:ascii="Times New Roman" w:hAnsi="Times New Roman" w:eastAsia="仿宋_GB2312" w:cs="宋体"/>
          <w:kern w:val="0"/>
          <w:sz w:val="36"/>
          <w:szCs w:val="36"/>
        </w:rPr>
        <w:t>填报时间：</w:t>
      </w:r>
      <w:r>
        <w:rPr>
          <w:rFonts w:hint="eastAsia" w:ascii="Times New Roman" w:hAnsi="Times New Roman" w:eastAsia="仿宋_GB2312" w:cs="宋体"/>
          <w:kern w:val="0"/>
          <w:sz w:val="36"/>
          <w:szCs w:val="36"/>
          <w:lang w:val="en-US" w:eastAsia="zh-CN"/>
        </w:rPr>
        <w:t>2025</w:t>
      </w:r>
      <w:r>
        <w:rPr>
          <w:rFonts w:hint="eastAsia" w:ascii="Times New Roman" w:hAnsi="Times New Roman" w:eastAsia="仿宋_GB2312" w:cs="宋体"/>
          <w:kern w:val="0"/>
          <w:sz w:val="36"/>
          <w:szCs w:val="36"/>
        </w:rPr>
        <w:t>年</w:t>
      </w:r>
      <w:r>
        <w:rPr>
          <w:rFonts w:hint="eastAsia" w:ascii="Times New Roman" w:hAnsi="Times New Roman" w:eastAsia="仿宋_GB2312" w:cs="宋体"/>
          <w:kern w:val="0"/>
          <w:sz w:val="36"/>
          <w:szCs w:val="36"/>
          <w:lang w:val="en-US" w:eastAsia="zh-CN"/>
        </w:rPr>
        <w:t>4</w:t>
      </w:r>
      <w:r>
        <w:rPr>
          <w:rFonts w:hint="eastAsia" w:ascii="Times New Roman" w:hAnsi="Times New Roman" w:eastAsia="仿宋_GB2312" w:cs="宋体"/>
          <w:kern w:val="0"/>
          <w:sz w:val="36"/>
          <w:szCs w:val="36"/>
        </w:rPr>
        <w:t>月</w:t>
      </w:r>
      <w:r>
        <w:rPr>
          <w:rFonts w:hint="eastAsia" w:ascii="Times New Roman" w:hAnsi="Times New Roman" w:eastAsia="仿宋_GB2312" w:cs="宋体"/>
          <w:kern w:val="0"/>
          <w:sz w:val="36"/>
          <w:szCs w:val="36"/>
          <w:lang w:val="en-US" w:eastAsia="zh-CN"/>
        </w:rPr>
        <w:t>18</w:t>
      </w:r>
      <w:r>
        <w:rPr>
          <w:rFonts w:hint="eastAsia" w:ascii="Times New Roman" w:hAnsi="Times New Roman" w:eastAsia="仿宋_GB2312" w:cs="宋体"/>
          <w:kern w:val="0"/>
          <w:sz w:val="36"/>
          <w:szCs w:val="36"/>
        </w:rPr>
        <w:t>日</w:t>
      </w:r>
    </w:p>
    <w:p>
      <w:pPr>
        <w:spacing w:line="700" w:lineRule="exact"/>
        <w:ind w:firstLine="0" w:firstLineChars="0"/>
        <w:jc w:val="left"/>
        <w:rPr>
          <w:rFonts w:ascii="Times New Roman" w:hAnsi="Times New Roman" w:eastAsia="仿宋_GB2312" w:cs="宋体"/>
          <w:kern w:val="0"/>
          <w:sz w:val="36"/>
          <w:szCs w:val="36"/>
        </w:rPr>
        <w:sectPr>
          <w:pgSz w:w="11906" w:h="16838"/>
          <w:pgMar w:top="1440" w:right="1800" w:bottom="1440" w:left="1800" w:header="851" w:footer="992" w:gutter="0"/>
          <w:cols w:space="720" w:num="1"/>
          <w:docGrid w:type="lines" w:linePitch="312" w:charSpace="0"/>
        </w:sectPr>
      </w:pP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firstLine="640" w:firstLineChars="200"/>
        <w:textAlignment w:val="auto"/>
        <w:outlineLvl w:val="0"/>
        <w:rPr>
          <w:rFonts w:hint="eastAsia" w:ascii="Times New Roman" w:hAnsi="Times New Roman" w:eastAsia="黑体" w:cs="宋体"/>
          <w:b w:val="0"/>
          <w:bCs/>
          <w:color w:val="333333"/>
          <w:sz w:val="32"/>
          <w:szCs w:val="32"/>
          <w:lang w:bidi="ar"/>
        </w:rPr>
      </w:pPr>
      <w:bookmarkStart w:id="0" w:name="_Toc17212"/>
      <w:r>
        <w:rPr>
          <w:rFonts w:hint="eastAsia" w:ascii="Times New Roman" w:hAnsi="Times New Roman" w:eastAsia="黑体" w:cs="宋体"/>
          <w:b w:val="0"/>
          <w:bCs/>
          <w:color w:val="333333"/>
          <w:sz w:val="32"/>
          <w:szCs w:val="32"/>
          <w:lang w:val="en-US" w:eastAsia="zh-CN" w:bidi="ar"/>
        </w:rPr>
        <w:t>一、</w:t>
      </w:r>
      <w:r>
        <w:rPr>
          <w:rFonts w:hint="eastAsia" w:ascii="Times New Roman" w:hAnsi="Times New Roman" w:eastAsia="黑体" w:cs="宋体"/>
          <w:b w:val="0"/>
          <w:bCs/>
          <w:color w:val="333333"/>
          <w:sz w:val="32"/>
          <w:szCs w:val="32"/>
          <w:lang w:bidi="ar"/>
        </w:rPr>
        <w:t>基本概况</w:t>
      </w:r>
      <w:bookmarkEnd w:id="0"/>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638" w:leftChars="304" w:firstLine="0" w:firstLineChars="0"/>
        <w:textAlignment w:val="auto"/>
        <w:outlineLvl w:val="1"/>
        <w:rPr>
          <w:rFonts w:hint="eastAsia" w:ascii="Times New Roman" w:hAnsi="Times New Roman" w:eastAsia="楷体" w:cs="楷体"/>
          <w:b/>
          <w:sz w:val="32"/>
          <w:szCs w:val="32"/>
        </w:rPr>
      </w:pPr>
      <w:bookmarkStart w:id="1" w:name="_Toc18380"/>
      <w:r>
        <w:rPr>
          <w:rFonts w:hint="eastAsia" w:ascii="Times New Roman" w:hAnsi="Times New Roman" w:eastAsia="楷体" w:cs="楷体"/>
          <w:b/>
          <w:sz w:val="32"/>
          <w:szCs w:val="32"/>
        </w:rPr>
        <w:t>（一）部门单位基本情况</w:t>
      </w:r>
      <w:bookmarkEnd w:id="1"/>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638" w:leftChars="304" w:firstLine="0" w:firstLineChars="0"/>
        <w:textAlignment w:val="auto"/>
        <w:rPr>
          <w:rFonts w:hint="eastAsia" w:ascii="Times New Roman" w:hAnsi="Times New Roman" w:eastAsia="仿宋_GB2312" w:cs="仿宋_GB2312"/>
          <w:b/>
          <w:bCs w:val="0"/>
          <w:spacing w:val="-4"/>
          <w:kern w:val="2"/>
          <w:sz w:val="32"/>
          <w:szCs w:val="32"/>
          <w:lang w:val="en-US" w:eastAsia="zh-CN" w:bidi="ar-SA"/>
        </w:rPr>
      </w:pPr>
      <w:r>
        <w:rPr>
          <w:rFonts w:hint="eastAsia" w:ascii="Times New Roman" w:hAnsi="Times New Roman" w:eastAsia="仿宋_GB2312" w:cs="仿宋_GB2312"/>
          <w:b/>
          <w:bCs w:val="0"/>
          <w:spacing w:val="-4"/>
          <w:kern w:val="2"/>
          <w:sz w:val="32"/>
          <w:szCs w:val="32"/>
          <w:lang w:val="en-US" w:eastAsia="zh-CN" w:bidi="ar-SA"/>
        </w:rPr>
        <w:t>1.主要职能</w:t>
      </w:r>
    </w:p>
    <w:p>
      <w:pPr>
        <w:spacing w:line="540" w:lineRule="exact"/>
        <w:ind w:firstLine="579" w:firstLineChars="181"/>
        <w:rPr>
          <w:rFonts w:hint="eastAsia" w:ascii="Times New Roman" w:hAnsi="Times New Roman" w:eastAsia="仿宋" w:cs="仿宋"/>
          <w:sz w:val="32"/>
          <w:szCs w:val="32"/>
        </w:rPr>
      </w:pPr>
      <w:r>
        <w:rPr>
          <w:rFonts w:hint="eastAsia" w:ascii="Times New Roman" w:hAnsi="Times New Roman" w:eastAsia="仿宋" w:cs="仿宋"/>
          <w:b w:val="0"/>
          <w:bCs w:val="0"/>
          <w:kern w:val="2"/>
          <w:sz w:val="32"/>
          <w:szCs w:val="32"/>
          <w:lang w:val="en-US" w:eastAsia="zh-CN" w:bidi="ar-SA"/>
        </w:rPr>
        <w:t>中国共产党霍尔果斯市纪律检查委员会是负责党的纪律检查工作的专门机关，受霍尔果斯市委和伊犁州纪律检查委员会双重领导；霍尔果斯市监察委员会是行使国家监察职能的专责机关，对霍尔果斯市人民代表大会及其常务委员会和伊犁州监察委员会负责，并接受监督。中共霍尔果斯市纪律检查委员会机关（以下简称霍尔果斯市纪委机关）和霍尔果斯市监察委机关（以下简称霍尔果斯市监委机关）合署办公，履行党的纪律检查和行政国家监察职能。</w:t>
      </w:r>
    </w:p>
    <w:p>
      <w:pPr>
        <w:spacing w:line="560" w:lineRule="exact"/>
        <w:ind w:firstLine="640" w:firstLineChars="200"/>
        <w:rPr>
          <w:rFonts w:hint="default" w:ascii="Times New Roman" w:hAnsi="Times New Roman" w:eastAsia="仿宋" w:cs="仿宋"/>
          <w:sz w:val="32"/>
          <w:szCs w:val="32"/>
          <w:lang w:val="en-US" w:eastAsia="zh-CN"/>
        </w:rPr>
      </w:pPr>
      <w:r>
        <w:rPr>
          <w:rFonts w:hint="eastAsia" w:ascii="Times New Roman" w:hAnsi="Times New Roman" w:eastAsia="仿宋" w:cs="仿宋"/>
          <w:sz w:val="32"/>
          <w:szCs w:val="32"/>
        </w:rPr>
        <w:t>（1）履行党章赋予的权力，维护党的章程和其他党内法规，检查党的路线、方针、政策和决议的执行情况，协助市委推进全面从严治党、加强党风廉政建设和组织协调反腐败工作。</w:t>
      </w:r>
    </w:p>
    <w:p>
      <w:pPr>
        <w:spacing w:line="560" w:lineRule="exact"/>
        <w:ind w:firstLine="640" w:firstLineChars="200"/>
        <w:rPr>
          <w:rFonts w:hint="eastAsia" w:ascii="Times New Roman" w:hAnsi="Times New Roman" w:eastAsia="仿宋" w:cs="仿宋"/>
          <w:sz w:val="32"/>
          <w:szCs w:val="32"/>
          <w:lang w:eastAsia="zh-CN"/>
        </w:rPr>
      </w:pPr>
      <w:r>
        <w:rPr>
          <w:rFonts w:hint="eastAsia" w:ascii="Times New Roman" w:hAnsi="Times New Roman" w:eastAsia="仿宋" w:cs="仿宋"/>
          <w:sz w:val="32"/>
          <w:szCs w:val="32"/>
        </w:rPr>
        <w:t>（2）履行监督、执纪、问责三项纪律检查职责，经常对全市党员进行遵守纪律尤其是政治纪律的教育，作出关于维护党纪的决定；对全市党的组织和党员领导干部履行职责、行使权力进行监督，受理处置党员群众检举举报，开展谈话提醒、约谈函询；检查和处理全市党的组织和党员违反党的章程和其他党内法规的比较重要或复杂的案件，决定或取消对这些案件中的党员的处分；进行问责或提出责任追究的建议。</w:t>
      </w:r>
    </w:p>
    <w:p>
      <w:pPr>
        <w:spacing w:line="560" w:lineRule="exact"/>
        <w:ind w:firstLine="640" w:firstLineChars="200"/>
        <w:rPr>
          <w:rFonts w:hint="eastAsia" w:ascii="Times New Roman" w:hAnsi="Times New Roman" w:eastAsia="仿宋" w:cs="仿宋"/>
          <w:sz w:val="32"/>
          <w:szCs w:val="32"/>
          <w:lang w:eastAsia="zh-CN"/>
        </w:rPr>
      </w:pPr>
      <w:r>
        <w:rPr>
          <w:rFonts w:hint="eastAsia" w:ascii="Times New Roman" w:hAnsi="Times New Roman" w:eastAsia="仿宋" w:cs="仿宋"/>
          <w:sz w:val="32"/>
          <w:szCs w:val="32"/>
        </w:rPr>
        <w:t>（3）依法独立行使监察权，维护宪法和法律法规，依法监察公职人员行使公权力的情况，调查职务违法和职务犯罪，开展廉政建设和反腐败工作。</w:t>
      </w:r>
    </w:p>
    <w:p>
      <w:pPr>
        <w:spacing w:line="560" w:lineRule="exact"/>
        <w:ind w:firstLine="640" w:firstLineChars="200"/>
        <w:rPr>
          <w:rFonts w:hint="eastAsia" w:ascii="Times New Roman" w:hAnsi="Times New Roman" w:eastAsia="仿宋" w:cs="仿宋"/>
          <w:sz w:val="32"/>
          <w:szCs w:val="32"/>
        </w:rPr>
      </w:pPr>
      <w:r>
        <w:rPr>
          <w:rFonts w:hint="eastAsia" w:ascii="Times New Roman" w:hAnsi="Times New Roman" w:eastAsia="仿宋" w:cs="仿宋"/>
          <w:sz w:val="32"/>
          <w:szCs w:val="32"/>
        </w:rPr>
        <w:t>（</w:t>
      </w:r>
      <w:r>
        <w:rPr>
          <w:rFonts w:hint="eastAsia" w:ascii="Times New Roman" w:hAnsi="Times New Roman" w:eastAsia="仿宋" w:cs="仿宋"/>
          <w:sz w:val="32"/>
          <w:szCs w:val="32"/>
          <w:lang w:val="en-US" w:eastAsia="zh-CN"/>
        </w:rPr>
        <w:t>4</w:t>
      </w:r>
      <w:r>
        <w:rPr>
          <w:rFonts w:hint="eastAsia" w:ascii="Times New Roman" w:hAnsi="Times New Roman" w:eastAsia="仿宋" w:cs="仿宋"/>
          <w:sz w:val="32"/>
          <w:szCs w:val="32"/>
        </w:rPr>
        <w:t>）履行监督、调查、处置三项国家监察职责，对全市公职人员开展廉政教育，对其依法履职、秉公用权、廉洁从政从业以及道德操守情况进行监督检查；对涉嫌贪污贿赂、滥用职权、玩忽职守、权力寻租、利益输送、徇私舞弊以及浪费国家资财等职务违法和职务犯罪进行调查；对违法的公职人员依法作出政务处分决定；对履行职责不力、失职失责的领导人员进行问责；对涉嫌职务犯罪的，将调查结果移送检察机关依法提出诉讼；对在行使职权中存在的问题提出监察建议。</w:t>
      </w:r>
    </w:p>
    <w:p>
      <w:pPr>
        <w:spacing w:line="560" w:lineRule="exact"/>
        <w:ind w:firstLine="640" w:firstLineChars="200"/>
        <w:rPr>
          <w:rFonts w:hint="eastAsia" w:ascii="Times New Roman" w:hAnsi="Times New Roman" w:eastAsia="仿宋" w:cs="仿宋"/>
          <w:sz w:val="32"/>
          <w:szCs w:val="32"/>
        </w:rPr>
      </w:pPr>
      <w:r>
        <w:rPr>
          <w:rFonts w:hint="eastAsia" w:ascii="Times New Roman" w:hAnsi="Times New Roman" w:eastAsia="仿宋" w:cs="仿宋"/>
          <w:sz w:val="32"/>
          <w:szCs w:val="32"/>
        </w:rPr>
        <w:t>（</w:t>
      </w:r>
      <w:r>
        <w:rPr>
          <w:rFonts w:hint="eastAsia" w:ascii="Times New Roman" w:hAnsi="Times New Roman" w:eastAsia="仿宋" w:cs="仿宋"/>
          <w:sz w:val="32"/>
          <w:szCs w:val="32"/>
          <w:lang w:val="en-US" w:eastAsia="zh-CN"/>
        </w:rPr>
        <w:t>5</w:t>
      </w:r>
      <w:r>
        <w:rPr>
          <w:rFonts w:hint="eastAsia" w:ascii="Times New Roman" w:hAnsi="Times New Roman" w:eastAsia="仿宋" w:cs="仿宋"/>
          <w:sz w:val="32"/>
          <w:szCs w:val="32"/>
        </w:rPr>
        <w:t>）受理党员的控告和申诉，受理被调查人及其亲属的申诉，受理单位或个人对党员和公职人员违纪违法犯罪行为的检举、控告；保障党员和公职人员的正当权利和合法权益。</w:t>
      </w:r>
    </w:p>
    <w:p>
      <w:pPr>
        <w:spacing w:line="560" w:lineRule="exact"/>
        <w:ind w:firstLine="640" w:firstLineChars="200"/>
        <w:rPr>
          <w:rFonts w:hint="eastAsia" w:ascii="Times New Roman" w:hAnsi="Times New Roman" w:eastAsia="仿宋" w:cs="仿宋"/>
          <w:sz w:val="32"/>
          <w:szCs w:val="32"/>
        </w:rPr>
      </w:pPr>
      <w:r>
        <w:rPr>
          <w:rFonts w:hint="eastAsia" w:ascii="Times New Roman" w:hAnsi="Times New Roman" w:eastAsia="仿宋" w:cs="仿宋"/>
          <w:sz w:val="32"/>
          <w:szCs w:val="32"/>
        </w:rPr>
        <w:t>（</w:t>
      </w:r>
      <w:r>
        <w:rPr>
          <w:rFonts w:hint="eastAsia" w:ascii="Times New Roman" w:hAnsi="Times New Roman" w:eastAsia="仿宋" w:cs="仿宋"/>
          <w:sz w:val="32"/>
          <w:szCs w:val="32"/>
          <w:lang w:val="en-US" w:eastAsia="zh-CN"/>
        </w:rPr>
        <w:t>6</w:t>
      </w:r>
      <w:r>
        <w:rPr>
          <w:rFonts w:hint="eastAsia" w:ascii="Times New Roman" w:hAnsi="Times New Roman" w:eastAsia="仿宋" w:cs="仿宋"/>
          <w:sz w:val="32"/>
          <w:szCs w:val="32"/>
        </w:rPr>
        <w:t>）制定党风廉政建设和反腐败斗争的规范性文件和政策。</w:t>
      </w:r>
    </w:p>
    <w:p>
      <w:pPr>
        <w:spacing w:line="560" w:lineRule="exact"/>
        <w:ind w:firstLine="640" w:firstLineChars="200"/>
        <w:rPr>
          <w:rFonts w:hint="eastAsia" w:ascii="Times New Roman" w:hAnsi="Times New Roman" w:eastAsia="仿宋" w:cs="仿宋"/>
          <w:sz w:val="32"/>
          <w:szCs w:val="32"/>
          <w:lang w:eastAsia="zh-CN"/>
        </w:rPr>
      </w:pPr>
      <w:r>
        <w:rPr>
          <w:rFonts w:hint="eastAsia" w:ascii="Times New Roman" w:hAnsi="Times New Roman" w:eastAsia="仿宋" w:cs="仿宋"/>
          <w:sz w:val="32"/>
          <w:szCs w:val="32"/>
          <w:lang w:eastAsia="zh-CN"/>
        </w:rPr>
        <w:t>（</w:t>
      </w:r>
      <w:r>
        <w:rPr>
          <w:rFonts w:hint="eastAsia" w:ascii="Times New Roman" w:hAnsi="Times New Roman" w:eastAsia="仿宋" w:cs="仿宋"/>
          <w:sz w:val="32"/>
          <w:szCs w:val="32"/>
          <w:lang w:val="en-US" w:eastAsia="zh-CN"/>
        </w:rPr>
        <w:t>7</w:t>
      </w:r>
      <w:r>
        <w:rPr>
          <w:rFonts w:hint="eastAsia" w:ascii="Times New Roman" w:hAnsi="Times New Roman" w:eastAsia="仿宋" w:cs="仿宋"/>
          <w:sz w:val="32"/>
          <w:szCs w:val="32"/>
          <w:lang w:eastAsia="zh-CN"/>
        </w:rPr>
        <w:t>）</w:t>
      </w:r>
      <w:r>
        <w:rPr>
          <w:rFonts w:hint="eastAsia" w:ascii="Times New Roman" w:hAnsi="Times New Roman" w:eastAsia="仿宋" w:cs="仿宋"/>
          <w:sz w:val="32"/>
          <w:szCs w:val="32"/>
        </w:rPr>
        <w:t>负责制定党风廉政建设和党纪政纪教育计划；做好党的纪律检查工作和国家监察工作的方针、政策、法律、法规的宣传工作；教育党员和公职人员遵纪守法、为政清廉。</w:t>
      </w:r>
    </w:p>
    <w:p>
      <w:pPr>
        <w:spacing w:line="560" w:lineRule="exact"/>
        <w:ind w:firstLine="640" w:firstLineChars="200"/>
        <w:rPr>
          <w:rStyle w:val="12"/>
          <w:rFonts w:ascii="Times New Roman" w:hAnsi="Times New Roman" w:eastAsia="仿宋_GB2312"/>
          <w:b w:val="0"/>
          <w:spacing w:val="-4"/>
          <w:sz w:val="32"/>
          <w:szCs w:val="32"/>
        </w:rPr>
      </w:pPr>
      <w:r>
        <w:rPr>
          <w:rFonts w:hint="eastAsia" w:ascii="Times New Roman" w:hAnsi="Times New Roman" w:eastAsia="仿宋" w:cs="仿宋"/>
          <w:sz w:val="32"/>
          <w:szCs w:val="32"/>
        </w:rPr>
        <w:t>（</w:t>
      </w:r>
      <w:r>
        <w:rPr>
          <w:rFonts w:hint="eastAsia" w:ascii="Times New Roman" w:hAnsi="Times New Roman" w:eastAsia="仿宋" w:cs="仿宋"/>
          <w:sz w:val="32"/>
          <w:szCs w:val="32"/>
          <w:lang w:val="en-US" w:eastAsia="zh-CN"/>
        </w:rPr>
        <w:t>8</w:t>
      </w:r>
      <w:r>
        <w:rPr>
          <w:rFonts w:hint="eastAsia" w:ascii="Times New Roman" w:hAnsi="Times New Roman" w:eastAsia="仿宋" w:cs="仿宋"/>
          <w:sz w:val="32"/>
          <w:szCs w:val="32"/>
        </w:rPr>
        <w:t>）负责对党的纪律检查和国家监察工作的理论研究；对党风廉政建设和反腐败工作中带苗头性、倾向性的问题进行调查研究。</w:t>
      </w:r>
    </w:p>
    <w:p>
      <w:pPr>
        <w:keepNext w:val="0"/>
        <w:keepLines w:val="0"/>
        <w:pageBreakBefore w:val="0"/>
        <w:widowControl w:val="0"/>
        <w:numPr>
          <w:ilvl w:val="0"/>
          <w:numId w:val="0"/>
        </w:numPr>
        <w:tabs>
          <w:tab w:val="left" w:pos="489"/>
        </w:tabs>
        <w:kinsoku/>
        <w:wordWrap/>
        <w:overflowPunct/>
        <w:topLinePunct w:val="0"/>
        <w:autoSpaceDE/>
        <w:autoSpaceDN/>
        <w:bidi w:val="0"/>
        <w:adjustRightInd/>
        <w:snapToGrid w:val="0"/>
        <w:spacing w:line="560" w:lineRule="exact"/>
        <w:ind w:left="638" w:leftChars="304" w:firstLine="0" w:firstLineChars="0"/>
        <w:textAlignment w:val="auto"/>
        <w:rPr>
          <w:rFonts w:hint="eastAsia" w:ascii="Times New Roman" w:hAnsi="Times New Roman" w:eastAsia="仿宋_GB2312" w:cs="仿宋_GB2312"/>
          <w:b/>
          <w:sz w:val="32"/>
          <w:szCs w:val="32"/>
        </w:rPr>
      </w:pPr>
      <w:r>
        <w:rPr>
          <w:rStyle w:val="12"/>
          <w:rFonts w:hint="eastAsia" w:ascii="Times New Roman" w:hAnsi="Times New Roman" w:eastAsia="仿宋_GB2312" w:cs="仿宋_GB2312"/>
          <w:b/>
          <w:bCs w:val="0"/>
          <w:color w:val="000000"/>
          <w:spacing w:val="-4"/>
          <w:sz w:val="32"/>
          <w:szCs w:val="32"/>
          <w:lang w:val="en-US" w:eastAsia="zh-CN"/>
        </w:rPr>
        <w:t>2.</w:t>
      </w:r>
      <w:r>
        <w:rPr>
          <w:rFonts w:hint="eastAsia" w:ascii="Times New Roman" w:hAnsi="Times New Roman" w:eastAsia="仿宋_GB2312" w:cs="仿宋_GB2312"/>
          <w:b/>
          <w:sz w:val="32"/>
          <w:szCs w:val="32"/>
        </w:rPr>
        <w:t>机构设置及人员情况</w:t>
      </w:r>
    </w:p>
    <w:p>
      <w:pPr>
        <w:pStyle w:val="20"/>
        <w:spacing w:line="560" w:lineRule="exact"/>
        <w:ind w:firstLine="560"/>
        <w:rPr>
          <w:rFonts w:hint="eastAsia" w:ascii="Times New Roman" w:hAnsi="Times New Roman" w:eastAsia="仿宋" w:cs="仿宋"/>
          <w:color w:val="000000"/>
          <w:kern w:val="0"/>
          <w:sz w:val="32"/>
          <w:szCs w:val="32"/>
          <w:highlight w:val="none"/>
          <w:lang w:val="en-US" w:eastAsia="zh-CN" w:bidi="ar-SA"/>
        </w:rPr>
      </w:pPr>
      <w:bookmarkStart w:id="2" w:name="_Toc801"/>
      <w:r>
        <w:rPr>
          <w:rFonts w:hint="eastAsia" w:ascii="Times New Roman" w:hAnsi="Times New Roman" w:eastAsia="仿宋" w:cs="仿宋"/>
          <w:color w:val="000000"/>
          <w:kern w:val="0"/>
          <w:sz w:val="32"/>
          <w:szCs w:val="32"/>
          <w:highlight w:val="none"/>
          <w:lang w:val="en-US" w:eastAsia="zh-CN" w:bidi="ar-SA"/>
        </w:rPr>
        <w:t>中国共产党霍尔果斯市纪律检查委员会无下属预算单位，下设8个处室，分别是：办公室、组宣部、信访室、党风政风监督室、第一纪检监察室、第二纪检监察室、第三纪检监察室、案件审理室。</w:t>
      </w:r>
    </w:p>
    <w:p>
      <w:pPr>
        <w:pStyle w:val="20"/>
        <w:spacing w:line="560" w:lineRule="exact"/>
        <w:ind w:firstLine="560"/>
        <w:rPr>
          <w:rFonts w:hint="eastAsia" w:ascii="Times New Roman" w:hAnsi="Times New Roman" w:eastAsia="仿宋" w:cs="仿宋"/>
          <w:color w:val="000000"/>
          <w:kern w:val="0"/>
          <w:sz w:val="32"/>
          <w:szCs w:val="32"/>
          <w:highlight w:val="none"/>
          <w:lang w:val="en-US" w:eastAsia="zh-CN" w:bidi="ar-SA"/>
        </w:rPr>
      </w:pPr>
      <w:r>
        <w:rPr>
          <w:rFonts w:hint="eastAsia" w:ascii="Times New Roman" w:hAnsi="Times New Roman" w:eastAsia="仿宋" w:cs="仿宋"/>
          <w:color w:val="000000"/>
          <w:kern w:val="0"/>
          <w:sz w:val="32"/>
          <w:szCs w:val="32"/>
          <w:highlight w:val="none"/>
          <w:lang w:val="en-US" w:eastAsia="zh-CN" w:bidi="ar-SA"/>
        </w:rPr>
        <w:t>中国共产党霍尔果斯市纪律检查委员会编制数24，实有人数66人，其中：在职65人，减少7人；退休1人，增加0人；离休0人，增加0人。</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638" w:leftChars="304" w:firstLine="0" w:firstLineChars="0"/>
        <w:textAlignment w:val="auto"/>
        <w:outlineLvl w:val="1"/>
        <w:rPr>
          <w:rFonts w:hint="eastAsia" w:ascii="Times New Roman" w:hAnsi="Times New Roman" w:eastAsia="楷体" w:cs="楷体"/>
          <w:b/>
          <w:sz w:val="32"/>
          <w:szCs w:val="32"/>
          <w:lang w:val="en-US" w:eastAsia="zh-CN"/>
        </w:rPr>
      </w:pPr>
      <w:r>
        <w:rPr>
          <w:rFonts w:hint="eastAsia" w:ascii="Times New Roman" w:hAnsi="Times New Roman" w:eastAsia="楷体" w:cs="楷体"/>
          <w:b/>
          <w:sz w:val="32"/>
          <w:szCs w:val="32"/>
          <w:lang w:val="en-US" w:eastAsia="zh-CN"/>
        </w:rPr>
        <w:t>（二）部门单位年度重点工作</w:t>
      </w:r>
      <w:bookmarkEnd w:id="2"/>
    </w:p>
    <w:p>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firstLine="627" w:firstLineChars="200"/>
        <w:textAlignment w:val="auto"/>
        <w:outlineLvl w:val="2"/>
        <w:rPr>
          <w:rFonts w:hint="eastAsia" w:ascii="Times New Roman" w:hAnsi="Times New Roman" w:eastAsia="仿宋_GB2312"/>
          <w:b/>
          <w:bCs w:val="0"/>
          <w:spacing w:val="-4"/>
          <w:sz w:val="32"/>
          <w:szCs w:val="32"/>
          <w:lang w:val="en-US" w:eastAsia="zh-CN"/>
        </w:rPr>
      </w:pPr>
      <w:bookmarkStart w:id="3" w:name="_Toc8260"/>
      <w:r>
        <w:rPr>
          <w:rFonts w:hint="eastAsia" w:ascii="Times New Roman" w:hAnsi="Times New Roman" w:eastAsia="仿宋_GB2312"/>
          <w:b/>
          <w:bCs w:val="0"/>
          <w:spacing w:val="-4"/>
          <w:sz w:val="32"/>
          <w:szCs w:val="32"/>
          <w:lang w:val="en-US" w:eastAsia="zh-CN"/>
        </w:rPr>
        <w:t>1.年度总体目标</w:t>
      </w:r>
      <w:bookmarkEnd w:id="3"/>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24" w:firstLineChars="200"/>
        <w:textAlignment w:val="auto"/>
        <w:outlineLvl w:val="9"/>
        <w:rPr>
          <w:rStyle w:val="12"/>
          <w:rFonts w:hint="eastAsia" w:ascii="Times New Roman" w:hAnsi="Times New Roman" w:eastAsia="仿宋" w:cs="仿宋"/>
          <w:b w:val="0"/>
          <w:bCs w:val="0"/>
          <w:spacing w:val="-4"/>
          <w:sz w:val="32"/>
          <w:szCs w:val="32"/>
          <w:lang w:val="en-US" w:eastAsia="zh-CN"/>
        </w:rPr>
      </w:pPr>
      <w:bookmarkStart w:id="4" w:name="_Toc7397"/>
      <w:r>
        <w:rPr>
          <w:rStyle w:val="12"/>
          <w:rFonts w:hint="eastAsia" w:ascii="Times New Roman" w:hAnsi="Times New Roman" w:eastAsia="仿宋" w:cs="仿宋"/>
          <w:b w:val="0"/>
          <w:bCs w:val="0"/>
          <w:spacing w:val="-4"/>
          <w:sz w:val="32"/>
          <w:szCs w:val="32"/>
          <w:lang w:val="en-US" w:eastAsia="zh-CN"/>
        </w:rPr>
        <w:t>贯彻习近平总书记关于党的自我革命的重要思想，全面贯彻党的二十大和二十届二中全会精神，深入贯彻落实二十届中央纪委三次全会、自治区纪委十届四次全会精神和自治州党风廉政建设和反腐败会议精神及市委二届九次会议部署，坚决落实全面从严治党战略方针，深刻领悟“两个确立”的决定性意义，自觉增强“四个意识”、坚定“四个自信”、做到“两个维护”，坚持稳中求进工作总基调，巩固拓展主题教育和教育整顿成果，纵深推进新征程纪检监察工作高质量发展，为全面推进中国式现代化进程中加快打造中西部高质量发展的示范样板提供坚强纪律保障。</w:t>
      </w:r>
      <w:r>
        <w:rPr>
          <w:rStyle w:val="12"/>
          <w:rFonts w:hint="eastAsia" w:ascii="Times New Roman" w:hAnsi="Times New Roman" w:eastAsia="仿宋" w:cs="仿宋"/>
          <w:b/>
          <w:bCs/>
          <w:spacing w:val="-4"/>
          <w:sz w:val="32"/>
          <w:szCs w:val="32"/>
          <w:lang w:val="en-US" w:eastAsia="zh-CN"/>
        </w:rPr>
        <w:t>一是</w:t>
      </w:r>
      <w:r>
        <w:rPr>
          <w:rStyle w:val="12"/>
          <w:rFonts w:hint="eastAsia" w:ascii="Times New Roman" w:hAnsi="Times New Roman" w:eastAsia="仿宋" w:cs="仿宋"/>
          <w:b w:val="0"/>
          <w:bCs w:val="0"/>
          <w:spacing w:val="-4"/>
          <w:sz w:val="32"/>
          <w:szCs w:val="32"/>
          <w:lang w:val="en-US" w:eastAsia="zh-CN"/>
        </w:rPr>
        <w:t>持续开展营商环境专项治理工作，有效查处影响惠企纾困政策落实、制约企业健康发展、侵害市场主体利益和群众合法权益等腐败和不正之风，推动解决涉商涉企合理诉求。</w:t>
      </w:r>
      <w:r>
        <w:rPr>
          <w:rStyle w:val="12"/>
          <w:rFonts w:hint="eastAsia" w:ascii="Times New Roman" w:hAnsi="Times New Roman" w:eastAsia="仿宋" w:cs="仿宋"/>
          <w:b/>
          <w:bCs/>
          <w:spacing w:val="-4"/>
          <w:sz w:val="32"/>
          <w:szCs w:val="32"/>
          <w:lang w:val="en-US" w:eastAsia="zh-CN"/>
        </w:rPr>
        <w:t>二是</w:t>
      </w:r>
      <w:r>
        <w:rPr>
          <w:rStyle w:val="12"/>
          <w:rFonts w:hint="eastAsia" w:ascii="Times New Roman" w:hAnsi="Times New Roman" w:eastAsia="仿宋" w:cs="仿宋"/>
          <w:b w:val="0"/>
          <w:bCs w:val="0"/>
          <w:spacing w:val="-4"/>
          <w:sz w:val="32"/>
          <w:szCs w:val="32"/>
          <w:lang w:val="en-US" w:eastAsia="zh-CN"/>
        </w:rPr>
        <w:t>健全党统一领导、全面覆盖、权威高效的监督体系，有效消除对公权利运行的空白和盲区；</w:t>
      </w:r>
      <w:r>
        <w:rPr>
          <w:rStyle w:val="12"/>
          <w:rFonts w:hint="eastAsia" w:ascii="Times New Roman" w:hAnsi="Times New Roman" w:eastAsia="仿宋" w:cs="仿宋"/>
          <w:b/>
          <w:bCs/>
          <w:spacing w:val="-4"/>
          <w:sz w:val="32"/>
          <w:szCs w:val="32"/>
          <w:lang w:val="en-US" w:eastAsia="zh-CN"/>
        </w:rPr>
        <w:t>三是</w:t>
      </w:r>
      <w:r>
        <w:rPr>
          <w:rStyle w:val="12"/>
          <w:rFonts w:hint="eastAsia" w:ascii="Times New Roman" w:hAnsi="Times New Roman" w:eastAsia="仿宋" w:cs="仿宋"/>
          <w:b w:val="0"/>
          <w:bCs w:val="0"/>
          <w:spacing w:val="-4"/>
          <w:sz w:val="32"/>
          <w:szCs w:val="32"/>
          <w:lang w:val="en-US" w:eastAsia="zh-CN"/>
        </w:rPr>
        <w:t>坚决查处政治问题和经济问题交织的腐败，有效防止领导干部成为利益集团和权势团体的代言人、代理人，坚决治理政商勾连破坏政治生态和经济发展问题；</w:t>
      </w:r>
      <w:r>
        <w:rPr>
          <w:rStyle w:val="12"/>
          <w:rFonts w:hint="eastAsia" w:ascii="Times New Roman" w:hAnsi="Times New Roman" w:eastAsia="仿宋" w:cs="仿宋"/>
          <w:b/>
          <w:bCs/>
          <w:spacing w:val="-4"/>
          <w:sz w:val="32"/>
          <w:szCs w:val="32"/>
          <w:lang w:val="en-US" w:eastAsia="zh-CN"/>
        </w:rPr>
        <w:t>四是</w:t>
      </w:r>
      <w:r>
        <w:rPr>
          <w:rStyle w:val="12"/>
          <w:rFonts w:hint="eastAsia" w:ascii="Times New Roman" w:hAnsi="Times New Roman" w:eastAsia="仿宋" w:cs="仿宋"/>
          <w:b w:val="0"/>
          <w:bCs w:val="0"/>
          <w:spacing w:val="-4"/>
          <w:sz w:val="32"/>
          <w:szCs w:val="32"/>
          <w:lang w:val="en-US" w:eastAsia="zh-CN"/>
        </w:rPr>
        <w:t>把新时代廉洁文化建设融入党的宣传思想文化工作，营造和弘扬崇尚廉洁、抵制腐败的良好风尚。</w:t>
      </w:r>
    </w:p>
    <w:p>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firstLine="627" w:firstLineChars="200"/>
        <w:textAlignment w:val="auto"/>
        <w:outlineLvl w:val="2"/>
        <w:rPr>
          <w:rFonts w:hint="eastAsia" w:ascii="Times New Roman" w:hAnsi="Times New Roman" w:eastAsia="仿宋_GB2312"/>
          <w:b/>
          <w:bCs w:val="0"/>
          <w:spacing w:val="-4"/>
          <w:sz w:val="32"/>
          <w:szCs w:val="32"/>
          <w:lang w:val="en-US" w:eastAsia="zh-CN"/>
        </w:rPr>
      </w:pPr>
      <w:r>
        <w:rPr>
          <w:rFonts w:hint="eastAsia" w:ascii="Times New Roman" w:hAnsi="Times New Roman" w:eastAsia="仿宋_GB2312"/>
          <w:b/>
          <w:bCs w:val="0"/>
          <w:spacing w:val="-4"/>
          <w:sz w:val="32"/>
          <w:szCs w:val="32"/>
          <w:lang w:val="en-US" w:eastAsia="zh-CN"/>
        </w:rPr>
        <w:t>2.重点工作计划</w:t>
      </w:r>
      <w:bookmarkEnd w:id="4"/>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27" w:firstLineChars="200"/>
        <w:textAlignment w:val="auto"/>
        <w:rPr>
          <w:rFonts w:hint="eastAsia" w:ascii="Times New Roman" w:hAnsi="Times New Roman" w:eastAsia="仿宋" w:cs="仿宋"/>
          <w:b w:val="0"/>
          <w:bCs/>
          <w:color w:val="auto"/>
          <w:spacing w:val="-4"/>
          <w:sz w:val="32"/>
          <w:szCs w:val="32"/>
          <w:lang w:val="en-US" w:eastAsia="zh-CN"/>
        </w:rPr>
      </w:pPr>
      <w:r>
        <w:rPr>
          <w:rFonts w:hint="eastAsia" w:ascii="Times New Roman" w:hAnsi="Times New Roman" w:eastAsia="仿宋" w:cs="仿宋"/>
          <w:b/>
          <w:bCs w:val="0"/>
          <w:color w:val="000000"/>
          <w:spacing w:val="-4"/>
          <w:sz w:val="32"/>
          <w:szCs w:val="32"/>
          <w:lang w:val="en-US" w:eastAsia="zh-CN"/>
        </w:rPr>
        <w:t>一是</w:t>
      </w:r>
      <w:r>
        <w:rPr>
          <w:rStyle w:val="12"/>
          <w:rFonts w:hint="eastAsia" w:ascii="Times New Roman" w:hAnsi="Times New Roman" w:eastAsia="仿宋" w:cs="仿宋"/>
          <w:b w:val="0"/>
          <w:bCs w:val="0"/>
          <w:spacing w:val="-4"/>
          <w:kern w:val="2"/>
          <w:sz w:val="32"/>
          <w:szCs w:val="32"/>
          <w:lang w:val="en-US" w:eastAsia="zh-CN" w:bidi="ar-SA"/>
        </w:rPr>
        <w:t>切实把集中整治工作作为当前和今后的重要政治任务</w:t>
      </w:r>
      <w:r>
        <w:rPr>
          <w:rFonts w:hint="eastAsia" w:ascii="Times New Roman" w:hAnsi="Times New Roman" w:eastAsia="仿宋" w:cs="仿宋"/>
          <w:b w:val="0"/>
          <w:bCs/>
          <w:color w:val="000000"/>
          <w:spacing w:val="-4"/>
          <w:sz w:val="32"/>
          <w:szCs w:val="32"/>
          <w:lang w:val="en-US" w:eastAsia="zh-CN"/>
        </w:rPr>
        <w:t>，</w:t>
      </w:r>
      <w:r>
        <w:rPr>
          <w:rStyle w:val="12"/>
          <w:rFonts w:hint="eastAsia" w:ascii="Times New Roman" w:hAnsi="Times New Roman" w:eastAsia="仿宋" w:cs="仿宋"/>
          <w:b w:val="0"/>
          <w:bCs w:val="0"/>
          <w:spacing w:val="-4"/>
          <w:kern w:val="2"/>
          <w:sz w:val="32"/>
          <w:szCs w:val="32"/>
          <w:lang w:val="en-US" w:eastAsia="zh-CN" w:bidi="ar-SA"/>
        </w:rPr>
        <w:t>摆在突出位置，全力抓好整治整改，坚持深挖问题、线索，做到举一反三，扎实开展好实事好事，解决群众急难愁盼问题</w:t>
      </w:r>
      <w:r>
        <w:rPr>
          <w:rFonts w:hint="eastAsia" w:ascii="Times New Roman" w:hAnsi="Times New Roman" w:eastAsia="仿宋" w:cs="仿宋"/>
          <w:b/>
          <w:bCs w:val="0"/>
          <w:color w:val="000000"/>
          <w:spacing w:val="-4"/>
          <w:sz w:val="32"/>
          <w:szCs w:val="32"/>
          <w:lang w:val="en-US" w:eastAsia="zh-CN"/>
        </w:rPr>
        <w:t>二是</w:t>
      </w:r>
      <w:r>
        <w:rPr>
          <w:rStyle w:val="12"/>
          <w:rFonts w:hint="eastAsia" w:ascii="Times New Roman" w:hAnsi="Times New Roman" w:eastAsia="仿宋" w:cs="仿宋"/>
          <w:b w:val="0"/>
          <w:bCs w:val="0"/>
          <w:spacing w:val="-4"/>
          <w:sz w:val="32"/>
          <w:szCs w:val="32"/>
          <w:lang w:val="en-US" w:eastAsia="zh-CN"/>
        </w:rPr>
        <w:t>对本市政治生态开展综合分析研判，强化政治责任，加强政治生态日常研判，开展政治生态建设成效考核，推动全市政治生态正气充盈、海晏河清。</w:t>
      </w:r>
      <w:r>
        <w:rPr>
          <w:rFonts w:hint="eastAsia" w:ascii="Times New Roman" w:hAnsi="Times New Roman" w:eastAsia="仿宋" w:cs="仿宋"/>
          <w:b/>
          <w:bCs w:val="0"/>
          <w:color w:val="000000"/>
          <w:spacing w:val="-4"/>
          <w:sz w:val="32"/>
          <w:szCs w:val="32"/>
          <w:lang w:val="en-US" w:eastAsia="zh-CN"/>
        </w:rPr>
        <w:t>三是</w:t>
      </w:r>
      <w:r>
        <w:rPr>
          <w:rStyle w:val="12"/>
          <w:rFonts w:hint="eastAsia" w:ascii="Times New Roman" w:hAnsi="Times New Roman" w:eastAsia="仿宋" w:cs="仿宋"/>
          <w:b w:val="0"/>
          <w:bCs w:val="0"/>
          <w:spacing w:val="-4"/>
          <w:kern w:val="2"/>
          <w:sz w:val="32"/>
          <w:szCs w:val="32"/>
          <w:lang w:val="en-US" w:eastAsia="zh-CN" w:bidi="ar-SA"/>
        </w:rPr>
        <w:t>坚持把严的主基调长期坚持下去，不断增强自我净化、自我完善、自我革新、自我提高能力。</w:t>
      </w:r>
      <w:r>
        <w:rPr>
          <w:rStyle w:val="12"/>
          <w:rFonts w:hint="eastAsia" w:ascii="Times New Roman" w:hAnsi="Times New Roman" w:eastAsia="仿宋" w:cs="仿宋"/>
          <w:b/>
          <w:bCs/>
          <w:spacing w:val="-4"/>
          <w:kern w:val="2"/>
          <w:sz w:val="32"/>
          <w:szCs w:val="32"/>
          <w:lang w:val="en-US" w:eastAsia="zh-CN" w:bidi="ar-SA"/>
        </w:rPr>
        <w:t>四是</w:t>
      </w:r>
      <w:r>
        <w:rPr>
          <w:rStyle w:val="12"/>
          <w:rFonts w:hint="eastAsia" w:ascii="Times New Roman" w:hAnsi="Times New Roman" w:eastAsia="仿宋" w:cs="仿宋"/>
          <w:b w:val="0"/>
          <w:bCs w:val="0"/>
          <w:spacing w:val="-4"/>
          <w:sz w:val="32"/>
          <w:szCs w:val="32"/>
          <w:lang w:val="en-US" w:eastAsia="zh-CN"/>
        </w:rPr>
        <w:t>举办党风廉政活动，深入开展党风廉政建设和反腐败斗争，永葆自我革命精神，忠诚履行党章和宪法赋予的职责，一体推进不敢腐、不能腐、不想腐，加强纪检监察机关规范化法治化正规化建</w:t>
      </w:r>
      <w:r>
        <w:rPr>
          <w:rStyle w:val="12"/>
          <w:rFonts w:hint="eastAsia" w:ascii="Times New Roman" w:hAnsi="Times New Roman" w:eastAsia="仿宋" w:cs="仿宋"/>
          <w:b w:val="0"/>
          <w:bCs w:val="0"/>
          <w:color w:val="auto"/>
          <w:spacing w:val="-4"/>
          <w:sz w:val="32"/>
          <w:szCs w:val="32"/>
          <w:lang w:val="en-US" w:eastAsia="zh-CN"/>
        </w:rPr>
        <w:t>设</w:t>
      </w:r>
      <w:r>
        <w:rPr>
          <w:rFonts w:hint="eastAsia" w:ascii="Times New Roman" w:hAnsi="Times New Roman" w:eastAsia="仿宋" w:cs="仿宋"/>
          <w:b w:val="0"/>
          <w:bCs/>
          <w:color w:val="auto"/>
          <w:spacing w:val="-4"/>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638" w:leftChars="304" w:firstLine="0" w:firstLineChars="0"/>
        <w:textAlignment w:val="auto"/>
        <w:outlineLvl w:val="1"/>
        <w:rPr>
          <w:rFonts w:hint="eastAsia" w:ascii="Times New Roman" w:hAnsi="Times New Roman" w:eastAsia="楷体" w:cs="楷体"/>
          <w:b/>
          <w:sz w:val="32"/>
          <w:szCs w:val="32"/>
          <w:lang w:val="en-US" w:eastAsia="zh-CN"/>
        </w:rPr>
      </w:pPr>
      <w:bookmarkStart w:id="5" w:name="_Toc9872"/>
      <w:r>
        <w:rPr>
          <w:rFonts w:hint="eastAsia" w:ascii="Times New Roman" w:hAnsi="Times New Roman" w:eastAsia="楷体" w:cs="楷体"/>
          <w:b/>
          <w:sz w:val="32"/>
          <w:szCs w:val="32"/>
          <w:lang w:val="en-US" w:eastAsia="zh-CN"/>
        </w:rPr>
        <w:t>（三）部门单位整体预算规模及安排情况</w:t>
      </w:r>
      <w:bookmarkEnd w:id="5"/>
    </w:p>
    <w:p>
      <w:pPr>
        <w:spacing w:line="560" w:lineRule="exact"/>
        <w:ind w:firstLine="624" w:firstLineChars="200"/>
        <w:rPr>
          <w:rFonts w:hint="eastAsia" w:ascii="Times New Roman" w:hAnsi="Times New Roman" w:eastAsia="仿宋" w:cs="仿宋"/>
          <w:b w:val="0"/>
          <w:bCs/>
          <w:color w:val="000000"/>
          <w:spacing w:val="-4"/>
          <w:sz w:val="32"/>
          <w:szCs w:val="32"/>
          <w:lang w:val="en-US" w:eastAsia="zh-CN"/>
        </w:rPr>
      </w:pPr>
      <w:r>
        <w:rPr>
          <w:rFonts w:hint="eastAsia" w:ascii="Times New Roman" w:hAnsi="Times New Roman" w:eastAsia="仿宋" w:cs="仿宋"/>
          <w:b w:val="0"/>
          <w:bCs/>
          <w:color w:val="000000"/>
          <w:spacing w:val="-4"/>
          <w:sz w:val="32"/>
          <w:szCs w:val="32"/>
          <w:lang w:val="en-US" w:eastAsia="zh-CN"/>
        </w:rPr>
        <w:t>2024年中国共产党霍尔果斯市纪律检查委员会年初预算安排1,067.32万元，其中财政拨款1,067.32万元，其他资金0万元，主要用于</w:t>
      </w:r>
      <w:r>
        <w:rPr>
          <w:rStyle w:val="12"/>
          <w:rFonts w:hint="eastAsia" w:ascii="Times New Roman" w:hAnsi="Times New Roman" w:eastAsia="仿宋" w:cs="仿宋"/>
          <w:b w:val="0"/>
          <w:color w:val="auto"/>
          <w:spacing w:val="-4"/>
          <w:sz w:val="32"/>
          <w:szCs w:val="32"/>
          <w:highlight w:val="none"/>
          <w:lang w:val="en-US" w:eastAsia="zh-CN"/>
        </w:rPr>
        <w:t>基本支出、项目支出。资金支出涉及范围为人员工资福利、商品和服务、对个人和家庭的补助、监察信息员、村居务监督委员及“三员”开展工作相关设备资料、全市各乡场街道“走读式”谈话室维修及正常运转费用、霍尔果斯经济开发区（市）廉政文件警示教育基地项目、市委巡察办巡察业务、霍尔果斯市纪委新阵地廉政文化建设及办公用品采购项目</w:t>
      </w:r>
      <w:r>
        <w:rPr>
          <w:rFonts w:hint="eastAsia" w:ascii="Times New Roman" w:hAnsi="Times New Roman" w:eastAsia="仿宋" w:cs="仿宋"/>
          <w:b w:val="0"/>
          <w:bCs/>
          <w:color w:val="000000"/>
          <w:spacing w:val="-4"/>
          <w:sz w:val="32"/>
          <w:szCs w:val="32"/>
          <w:lang w:val="en-US" w:eastAsia="zh-CN"/>
        </w:rPr>
        <w:t>。年中调整115</w:t>
      </w:r>
      <w:r>
        <w:rPr>
          <w:rFonts w:hint="eastAsia" w:ascii="Times New Roman" w:hAnsi="Times New Roman" w:eastAsia="仿宋" w:cs="仿宋"/>
          <w:b w:val="0"/>
          <w:bCs/>
          <w:color w:val="000000" w:themeColor="text1"/>
          <w:spacing w:val="-4"/>
          <w:sz w:val="32"/>
          <w:szCs w:val="32"/>
          <w:highlight w:val="none"/>
          <w:lang w:val="en-US" w:eastAsia="zh-CN"/>
          <w14:textFill>
            <w14:solidFill>
              <w14:schemeClr w14:val="tx1"/>
            </w14:solidFill>
          </w14:textFill>
        </w:rPr>
        <w:t>.91</w:t>
      </w:r>
      <w:r>
        <w:rPr>
          <w:rFonts w:hint="eastAsia" w:eastAsia="仿宋" w:cs="仿宋"/>
          <w:b w:val="0"/>
          <w:bCs/>
          <w:color w:val="000000" w:themeColor="text1"/>
          <w:spacing w:val="-4"/>
          <w:sz w:val="32"/>
          <w:szCs w:val="32"/>
          <w:highlight w:val="none"/>
          <w:lang w:val="en-US" w:eastAsia="zh-CN"/>
          <w14:textFill>
            <w14:solidFill>
              <w14:schemeClr w14:val="tx1"/>
            </w14:solidFill>
          </w14:textFill>
        </w:rPr>
        <w:t>万元</w:t>
      </w:r>
      <w:r>
        <w:rPr>
          <w:rFonts w:hint="eastAsia" w:ascii="Times New Roman" w:hAnsi="Times New Roman" w:eastAsia="仿宋" w:cs="仿宋"/>
          <w:b w:val="0"/>
          <w:bCs/>
          <w:color w:val="000000"/>
          <w:spacing w:val="-4"/>
          <w:sz w:val="32"/>
          <w:szCs w:val="32"/>
          <w:lang w:val="en-US" w:eastAsia="zh-CN"/>
        </w:rPr>
        <w:t>，调整后全年预算1183.23万元，预算调整率10.86%，调整预算的主要原因</w:t>
      </w:r>
      <w:r>
        <w:rPr>
          <w:rStyle w:val="12"/>
          <w:rFonts w:hint="eastAsia" w:ascii="Times New Roman" w:hAnsi="Times New Roman" w:eastAsia="仿宋" w:cs="仿宋"/>
          <w:b w:val="0"/>
          <w:spacing w:val="-4"/>
          <w:sz w:val="32"/>
          <w:szCs w:val="32"/>
          <w:highlight w:val="none"/>
          <w:lang w:val="en-US" w:eastAsia="zh-CN"/>
        </w:rPr>
        <w:t>在职</w:t>
      </w:r>
      <w:r>
        <w:rPr>
          <w:rStyle w:val="12"/>
          <w:rFonts w:hint="eastAsia" w:ascii="Times New Roman" w:hAnsi="Times New Roman" w:eastAsia="仿宋" w:cs="仿宋"/>
          <w:b w:val="0"/>
          <w:spacing w:val="-4"/>
          <w:sz w:val="32"/>
          <w:szCs w:val="32"/>
          <w:highlight w:val="none"/>
          <w:lang w:eastAsia="zh-CN"/>
        </w:rPr>
        <w:t>人员增加，</w:t>
      </w:r>
      <w:r>
        <w:rPr>
          <w:rStyle w:val="12"/>
          <w:rFonts w:hint="eastAsia" w:ascii="Times New Roman" w:hAnsi="Times New Roman" w:eastAsia="仿宋" w:cs="仿宋"/>
          <w:b w:val="0"/>
          <w:spacing w:val="-4"/>
          <w:sz w:val="32"/>
          <w:szCs w:val="32"/>
          <w:highlight w:val="none"/>
          <w:lang w:val="en-US" w:eastAsia="zh-CN"/>
        </w:rPr>
        <w:t>人员的工资、社保、公积金等相关人员经费增加</w:t>
      </w:r>
      <w:r>
        <w:rPr>
          <w:rFonts w:hint="eastAsia" w:ascii="Times New Roman" w:hAnsi="Times New Roman" w:eastAsia="仿宋" w:cs="仿宋"/>
          <w:b w:val="0"/>
          <w:bCs/>
          <w:color w:val="000000"/>
          <w:spacing w:val="-4"/>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napToGrid w:val="0"/>
        <w:spacing w:line="560" w:lineRule="exact"/>
        <w:ind w:left="1368" w:leftChars="0" w:hanging="720" w:firstLineChars="0"/>
        <w:textAlignment w:val="auto"/>
        <w:outlineLvl w:val="0"/>
        <w:rPr>
          <w:rFonts w:hint="eastAsia" w:ascii="Times New Roman" w:hAnsi="Times New Roman" w:eastAsia="黑体" w:cs="宋体"/>
          <w:b w:val="0"/>
          <w:bCs/>
          <w:color w:val="333333"/>
          <w:sz w:val="32"/>
          <w:szCs w:val="32"/>
          <w:lang w:bidi="ar"/>
        </w:rPr>
      </w:pPr>
      <w:bookmarkStart w:id="6" w:name="_Toc22484"/>
      <w:r>
        <w:rPr>
          <w:rFonts w:hint="eastAsia" w:ascii="Times New Roman" w:hAnsi="Times New Roman" w:eastAsia="黑体" w:cs="宋体"/>
          <w:b w:val="0"/>
          <w:bCs/>
          <w:color w:val="333333"/>
          <w:kern w:val="2"/>
          <w:sz w:val="32"/>
          <w:szCs w:val="32"/>
          <w:lang w:val="en-US" w:eastAsia="zh-CN" w:bidi="ar"/>
        </w:rPr>
        <w:t>二、</w:t>
      </w:r>
      <w:r>
        <w:rPr>
          <w:rFonts w:hint="eastAsia" w:ascii="Times New Roman" w:hAnsi="Times New Roman" w:eastAsia="黑体" w:cs="宋体"/>
          <w:b w:val="0"/>
          <w:bCs/>
          <w:color w:val="333333"/>
          <w:sz w:val="32"/>
          <w:szCs w:val="32"/>
          <w:lang w:bidi="ar"/>
        </w:rPr>
        <w:t>部门单位整体支出管理及使用情况</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1"/>
        <w:rPr>
          <w:rFonts w:hint="default" w:ascii="Times New Roman" w:hAnsi="Times New Roman" w:eastAsia="楷体" w:cs="楷体"/>
          <w:b/>
          <w:sz w:val="32"/>
          <w:szCs w:val="32"/>
          <w:lang w:val="en-US" w:eastAsia="zh-CN"/>
        </w:rPr>
      </w:pPr>
      <w:bookmarkStart w:id="7" w:name="_Toc12906"/>
      <w:r>
        <w:rPr>
          <w:rFonts w:hint="eastAsia" w:ascii="Times New Roman" w:hAnsi="Times New Roman" w:eastAsia="楷体" w:cs="楷体"/>
          <w:b/>
          <w:sz w:val="32"/>
          <w:szCs w:val="32"/>
          <w:lang w:val="en-US" w:eastAsia="zh-CN"/>
        </w:rPr>
        <w:t>（一）部门单位整体支出管理情况</w:t>
      </w:r>
      <w:bookmarkEnd w:id="7"/>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2"/>
        <w:rPr>
          <w:rFonts w:hint="eastAsia" w:ascii="Times New Roman" w:hAnsi="Times New Roman" w:eastAsia="仿宋_GB2312" w:cs="仿宋_GB2312"/>
          <w:b/>
          <w:sz w:val="32"/>
          <w:szCs w:val="32"/>
          <w:lang w:val="en-US" w:eastAsia="zh-CN"/>
        </w:rPr>
      </w:pPr>
      <w:bookmarkStart w:id="8" w:name="_Toc3057"/>
      <w:r>
        <w:rPr>
          <w:rFonts w:hint="eastAsia" w:ascii="Times New Roman" w:hAnsi="Times New Roman" w:eastAsia="仿宋_GB2312" w:cs="仿宋_GB2312"/>
          <w:b/>
          <w:sz w:val="32"/>
          <w:szCs w:val="32"/>
          <w:lang w:val="en-US" w:eastAsia="zh-CN"/>
        </w:rPr>
        <w:t>1.预算编制</w:t>
      </w:r>
      <w:bookmarkEnd w:id="8"/>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both"/>
        <w:textAlignment w:val="auto"/>
        <w:rPr>
          <w:rFonts w:hint="eastAsia" w:ascii="Times New Roman" w:hAnsi="Times New Roman" w:eastAsia="仿宋" w:cs="仿宋"/>
          <w:b/>
          <w:color w:val="auto"/>
          <w:sz w:val="32"/>
          <w:szCs w:val="32"/>
          <w:lang w:val="en-US" w:eastAsia="zh-CN"/>
        </w:rPr>
      </w:pPr>
      <w:r>
        <w:rPr>
          <w:rFonts w:hint="eastAsia" w:ascii="Times New Roman" w:hAnsi="Times New Roman" w:eastAsia="仿宋" w:cs="仿宋"/>
          <w:color w:val="auto"/>
          <w:kern w:val="0"/>
          <w:sz w:val="32"/>
          <w:szCs w:val="32"/>
          <w:lang w:val="en-US" w:eastAsia="zh-CN" w:bidi="ar"/>
        </w:rPr>
        <w:t>2024年我部门坚持围绕中心工作，科学谋划预算资金安排，依据规定程序和要求，及时完成部门预算编制申报，同时合理设定入库项目绩效指标、年度目标值，科学构建部门整体支出核心绩效指标体系和编报部门整体预算申请绩效报告，推动提高财政资金配置效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2"/>
        <w:rPr>
          <w:rFonts w:hint="eastAsia" w:ascii="Times New Roman" w:hAnsi="Times New Roman" w:eastAsia="仿宋_GB2312" w:cs="仿宋_GB2312"/>
          <w:b/>
          <w:sz w:val="32"/>
          <w:szCs w:val="32"/>
          <w:lang w:val="en-US" w:eastAsia="zh-CN"/>
        </w:rPr>
      </w:pPr>
      <w:bookmarkStart w:id="9" w:name="_Toc26162"/>
      <w:r>
        <w:rPr>
          <w:rFonts w:hint="eastAsia" w:ascii="Times New Roman" w:hAnsi="Times New Roman" w:eastAsia="仿宋_GB2312" w:cs="仿宋_GB2312"/>
          <w:b/>
          <w:sz w:val="32"/>
          <w:szCs w:val="32"/>
          <w:lang w:val="en-US" w:eastAsia="zh-CN"/>
        </w:rPr>
        <w:t>2.预算执行</w:t>
      </w:r>
      <w:bookmarkEnd w:id="9"/>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both"/>
        <w:textAlignment w:val="auto"/>
        <w:rPr>
          <w:rFonts w:hint="eastAsia" w:ascii="Times New Roman" w:hAnsi="Times New Roman" w:eastAsia="仿宋" w:cs="仿宋"/>
          <w:color w:val="auto"/>
          <w:sz w:val="32"/>
          <w:szCs w:val="32"/>
          <w:lang w:val="en-US" w:eastAsia="zh-CN"/>
        </w:rPr>
      </w:pPr>
      <w:r>
        <w:rPr>
          <w:rFonts w:hint="eastAsia" w:ascii="Times New Roman" w:hAnsi="Times New Roman" w:eastAsia="仿宋" w:cs="仿宋"/>
          <w:color w:val="auto"/>
          <w:kern w:val="0"/>
          <w:sz w:val="32"/>
          <w:szCs w:val="32"/>
          <w:lang w:val="en-US" w:eastAsia="zh-CN" w:bidi="ar"/>
        </w:rPr>
        <w:t>霍尔果斯市财政批复预算后，我单位按要求及时制定并报批部门预算支出计划，严格落实预算执行定期分析机制，靠前抓好支出执行，坚持严肃财经纪律，硬化预算约束，持续树牢厉行节约理念，严控一般性支出，努力降低</w:t>
      </w:r>
      <w:r>
        <w:rPr>
          <w:rFonts w:hint="eastAsia" w:ascii="Times New Roman" w:hAnsi="Times New Roman" w:eastAsia="仿宋" w:cs="仿宋"/>
          <w:color w:val="auto"/>
          <w:kern w:val="0"/>
          <w:sz w:val="32"/>
          <w:szCs w:val="32"/>
          <w:highlight w:val="none"/>
          <w:lang w:val="en-US" w:eastAsia="zh-CN" w:bidi="ar"/>
        </w:rPr>
        <w:t>行政运行成</w:t>
      </w:r>
      <w:r>
        <w:rPr>
          <w:rFonts w:hint="eastAsia" w:ascii="Times New Roman" w:hAnsi="Times New Roman" w:eastAsia="仿宋" w:cs="仿宋"/>
          <w:color w:val="auto"/>
          <w:kern w:val="0"/>
          <w:sz w:val="32"/>
          <w:szCs w:val="32"/>
          <w:lang w:val="en-US" w:eastAsia="zh-CN" w:bidi="ar"/>
        </w:rPr>
        <w:t>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2"/>
        <w:rPr>
          <w:rFonts w:hint="eastAsia" w:ascii="Times New Roman" w:hAnsi="Times New Roman" w:eastAsia="仿宋_GB2312" w:cs="仿宋_GB2312"/>
          <w:b/>
          <w:sz w:val="32"/>
          <w:szCs w:val="32"/>
          <w:lang w:val="en-US" w:eastAsia="zh-CN"/>
        </w:rPr>
      </w:pPr>
      <w:bookmarkStart w:id="10" w:name="_Toc31456"/>
      <w:r>
        <w:rPr>
          <w:rFonts w:hint="eastAsia" w:ascii="Times New Roman" w:hAnsi="Times New Roman" w:eastAsia="仿宋_GB2312" w:cs="仿宋_GB2312"/>
          <w:b/>
          <w:sz w:val="32"/>
          <w:szCs w:val="32"/>
          <w:lang w:val="en-US" w:eastAsia="zh-CN"/>
        </w:rPr>
        <w:t>3.绩效管理</w:t>
      </w:r>
      <w:bookmarkEnd w:id="10"/>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both"/>
        <w:textAlignment w:val="auto"/>
        <w:rPr>
          <w:rFonts w:hint="eastAsia" w:ascii="Times New Roman" w:hAnsi="Times New Roman" w:eastAsia="仿宋" w:cs="仿宋"/>
          <w:color w:val="auto"/>
          <w:kern w:val="0"/>
          <w:sz w:val="32"/>
          <w:szCs w:val="32"/>
          <w:lang w:val="en-US" w:eastAsia="zh-CN" w:bidi="ar"/>
        </w:rPr>
      </w:pPr>
      <w:r>
        <w:rPr>
          <w:rFonts w:hint="eastAsia" w:ascii="Times New Roman" w:hAnsi="Times New Roman" w:eastAsia="仿宋" w:cs="仿宋"/>
          <w:color w:val="auto"/>
          <w:kern w:val="0"/>
          <w:sz w:val="32"/>
          <w:szCs w:val="32"/>
          <w:lang w:val="en-US" w:eastAsia="zh-CN" w:bidi="ar"/>
        </w:rPr>
        <w:t>2024年，我单位严格按照财政要求，落实预算绩效管理全过程，包括①注重绩效目标编制，预算编制环节注重编细编实预算需求，科学选择绩效指标，合理设置绩效目标值，并严格按照财政统一要求，规范编制事前绩效报告，为财政资金发挥效益夯实基础。②落实绩效“双监控”，预算执行过程中，以年度支出计划为基础，定期分析预算执行和绩效目标落实情况，并依托财政预算绩效管理平台分5月、8月对预算执行动态进行实时监控，发现问题及时纠偏，确保绩效目标落地落实。③扎实开展自评工作，年度终了，扎实开展预算绩效目标完成情况部门审核和自评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2"/>
        <w:rPr>
          <w:rFonts w:hint="eastAsia" w:ascii="Times New Roman" w:hAnsi="Times New Roman" w:eastAsia="仿宋_GB2312" w:cs="仿宋_GB2312"/>
          <w:b/>
          <w:sz w:val="32"/>
          <w:szCs w:val="32"/>
          <w:lang w:val="en-US" w:eastAsia="zh-CN"/>
        </w:rPr>
      </w:pPr>
      <w:bookmarkStart w:id="11" w:name="_Toc2740"/>
      <w:r>
        <w:rPr>
          <w:rFonts w:hint="eastAsia" w:ascii="Times New Roman" w:hAnsi="Times New Roman" w:eastAsia="仿宋_GB2312" w:cs="仿宋_GB2312"/>
          <w:b/>
          <w:sz w:val="32"/>
          <w:szCs w:val="32"/>
          <w:lang w:val="en-US" w:eastAsia="zh-CN"/>
        </w:rPr>
        <w:t>4.信息公开</w:t>
      </w:r>
      <w:bookmarkEnd w:id="11"/>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both"/>
        <w:textAlignment w:val="auto"/>
        <w:rPr>
          <w:rFonts w:hint="eastAsia" w:ascii="Times New Roman" w:hAnsi="Times New Roman" w:eastAsia="仿宋" w:cs="仿宋"/>
          <w:color w:val="auto"/>
          <w:kern w:val="0"/>
          <w:sz w:val="32"/>
          <w:szCs w:val="32"/>
          <w:lang w:val="en-US" w:eastAsia="zh-CN" w:bidi="ar"/>
        </w:rPr>
      </w:pPr>
      <w:r>
        <w:rPr>
          <w:rFonts w:hint="eastAsia" w:ascii="Times New Roman" w:hAnsi="Times New Roman" w:eastAsia="仿宋" w:cs="仿宋"/>
          <w:color w:val="auto"/>
          <w:kern w:val="0"/>
          <w:sz w:val="32"/>
          <w:szCs w:val="32"/>
          <w:lang w:val="en-US" w:eastAsia="zh-CN" w:bidi="ar"/>
        </w:rPr>
        <w:t>我单位已按要求在霍尔果斯市人民政府门户网站公开部门预算信息，同步公开绩效目标表；在霍尔果斯市人民政府门户网站公开部门决算信息，同步公开自评表及自评报告。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1"/>
        <w:rPr>
          <w:rFonts w:hint="eastAsia" w:ascii="Times New Roman" w:hAnsi="Times New Roman" w:eastAsia="楷体" w:cs="楷体"/>
          <w:b/>
          <w:sz w:val="32"/>
          <w:szCs w:val="32"/>
          <w:lang w:val="en-US" w:eastAsia="zh-CN"/>
        </w:rPr>
      </w:pPr>
      <w:bookmarkStart w:id="12" w:name="_Toc2315"/>
      <w:r>
        <w:rPr>
          <w:rFonts w:hint="eastAsia" w:ascii="Times New Roman" w:hAnsi="Times New Roman" w:eastAsia="楷体" w:cs="楷体"/>
          <w:b/>
          <w:sz w:val="32"/>
          <w:szCs w:val="32"/>
          <w:lang w:val="en-US" w:eastAsia="zh-CN"/>
        </w:rPr>
        <w:t>（二）部门单位整体支出使用情况</w:t>
      </w:r>
      <w:bookmarkEnd w:id="1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2"/>
        <w:rPr>
          <w:rFonts w:hint="default" w:ascii="Times New Roman" w:hAnsi="Times New Roman" w:eastAsia="仿宋_GB2312"/>
          <w:b/>
          <w:sz w:val="32"/>
          <w:szCs w:val="32"/>
          <w:lang w:val="en-US" w:eastAsia="zh-CN"/>
        </w:rPr>
      </w:pPr>
      <w:bookmarkStart w:id="13" w:name="_Toc32320"/>
      <w:r>
        <w:rPr>
          <w:rFonts w:hint="eastAsia" w:ascii="Times New Roman" w:hAnsi="Times New Roman" w:eastAsia="仿宋_GB2312"/>
          <w:b/>
          <w:sz w:val="32"/>
          <w:szCs w:val="32"/>
          <w:lang w:val="en-US" w:eastAsia="zh-CN"/>
        </w:rPr>
        <w:t>1.基本支出</w:t>
      </w:r>
      <w:bookmarkEnd w:id="13"/>
      <w:r>
        <w:rPr>
          <w:rFonts w:hint="eastAsia" w:ascii="Times New Roman" w:hAnsi="Times New Roman" w:eastAsia="仿宋_GB2312"/>
          <w:b/>
          <w:sz w:val="32"/>
          <w:szCs w:val="32"/>
          <w:lang w:val="en-US" w:eastAsia="zh-CN"/>
        </w:rPr>
        <w:t>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 w:cs="仿宋"/>
          <w:b/>
          <w:color w:val="000000"/>
          <w:sz w:val="32"/>
          <w:szCs w:val="32"/>
          <w:lang w:val="en-US" w:eastAsia="zh-CN"/>
        </w:rPr>
      </w:pPr>
      <w:r>
        <w:rPr>
          <w:rFonts w:hint="eastAsia" w:ascii="Times New Roman" w:hAnsi="Times New Roman" w:eastAsia="仿宋" w:cs="仿宋"/>
          <w:b w:val="0"/>
          <w:bCs/>
          <w:color w:val="000000"/>
          <w:sz w:val="32"/>
          <w:szCs w:val="32"/>
          <w:lang w:val="en-US" w:eastAsia="zh-CN"/>
        </w:rPr>
        <w:t>2024年基本支出</w:t>
      </w:r>
      <w:r>
        <w:rPr>
          <w:rStyle w:val="12"/>
          <w:rFonts w:hint="eastAsia" w:ascii="Times New Roman" w:hAnsi="Times New Roman" w:eastAsia="仿宋" w:cs="仿宋"/>
          <w:b w:val="0"/>
          <w:color w:val="000000"/>
          <w:spacing w:val="-4"/>
          <w:sz w:val="32"/>
          <w:szCs w:val="32"/>
          <w:lang w:val="en-US" w:eastAsia="zh-CN"/>
        </w:rPr>
        <w:t>1082.73万元，</w:t>
      </w:r>
      <w:r>
        <w:rPr>
          <w:rFonts w:hint="eastAsia" w:ascii="Times New Roman" w:hAnsi="Times New Roman" w:eastAsia="仿宋" w:cs="仿宋"/>
          <w:b w:val="0"/>
          <w:bCs/>
          <w:color w:val="000000"/>
          <w:sz w:val="32"/>
          <w:szCs w:val="32"/>
          <w:lang w:val="en-US" w:eastAsia="zh-CN"/>
        </w:rPr>
        <w:t>包括工资福利支出917.21万元，商品和服务支出164.69万元，对个人和家庭的补助0.83万元，资本性支出0万元。</w:t>
      </w:r>
      <w:r>
        <w:rPr>
          <w:rFonts w:hint="eastAsia" w:ascii="Times New Roman" w:hAnsi="Times New Roman" w:eastAsia="仿宋" w:cs="仿宋"/>
          <w:b w:val="0"/>
          <w:bCs/>
          <w:sz w:val="32"/>
          <w:szCs w:val="32"/>
          <w:lang w:val="en-US" w:eastAsia="zh-CN"/>
        </w:rPr>
        <w:t>其中</w:t>
      </w:r>
      <w:r>
        <w:rPr>
          <w:rStyle w:val="12"/>
          <w:rFonts w:hint="eastAsia" w:ascii="Times New Roman" w:hAnsi="Times New Roman" w:eastAsia="仿宋" w:cs="仿宋"/>
          <w:b w:val="0"/>
          <w:color w:val="000000"/>
          <w:spacing w:val="-4"/>
          <w:sz w:val="32"/>
          <w:szCs w:val="32"/>
          <w:lang w:val="en-US" w:eastAsia="zh-CN"/>
        </w:rPr>
        <w:t>：</w:t>
      </w:r>
      <w:r>
        <w:rPr>
          <w:rFonts w:hint="eastAsia" w:ascii="Times New Roman" w:hAnsi="Times New Roman" w:eastAsia="仿宋" w:cs="仿宋"/>
          <w:b w:val="0"/>
          <w:bCs/>
          <w:color w:val="000000"/>
          <w:spacing w:val="-4"/>
          <w:sz w:val="32"/>
          <w:szCs w:val="32"/>
          <w:lang w:val="en-US" w:eastAsia="zh-CN"/>
        </w:rPr>
        <w:t>“三公”经费支出0万元；会议费支出1万元，比上年增加1万元，主要原因是2024年开展会议，产生会议费；培训费支出0万元，</w:t>
      </w:r>
      <w:r>
        <w:rPr>
          <w:rFonts w:hint="eastAsia" w:ascii="Times New Roman" w:hAnsi="Times New Roman" w:eastAsia="仿宋" w:cs="仿宋"/>
          <w:bCs/>
          <w:color w:val="000000"/>
          <w:spacing w:val="-4"/>
          <w:sz w:val="32"/>
          <w:szCs w:val="32"/>
          <w:lang w:val="en-US" w:eastAsia="zh-CN"/>
        </w:rPr>
        <w:t>无培训费支出</w:t>
      </w:r>
      <w:r>
        <w:rPr>
          <w:rFonts w:hint="eastAsia" w:ascii="Times New Roman" w:hAnsi="Times New Roman" w:eastAsia="仿宋" w:cs="仿宋"/>
          <w:b w:val="0"/>
          <w:bCs/>
          <w:color w:val="000000"/>
          <w:spacing w:val="-4"/>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2"/>
        <w:rPr>
          <w:rFonts w:hint="eastAsia" w:ascii="Times New Roman" w:hAnsi="Times New Roman" w:eastAsia="仿宋_GB2312" w:cs="Times New Roman"/>
          <w:b/>
          <w:sz w:val="32"/>
          <w:szCs w:val="32"/>
          <w:lang w:val="en-US" w:eastAsia="zh-CN"/>
        </w:rPr>
      </w:pPr>
      <w:bookmarkStart w:id="14" w:name="_Toc8425"/>
      <w:r>
        <w:rPr>
          <w:rFonts w:hint="eastAsia" w:ascii="Times New Roman" w:hAnsi="Times New Roman" w:eastAsia="仿宋_GB2312" w:cs="Times New Roman"/>
          <w:b/>
          <w:sz w:val="32"/>
          <w:szCs w:val="32"/>
          <w:lang w:val="en-US" w:eastAsia="zh-CN"/>
        </w:rPr>
        <w:t>2.专项资金支出情况</w:t>
      </w:r>
      <w:bookmarkEnd w:id="14"/>
    </w:p>
    <w:p>
      <w:pPr>
        <w:keepNext w:val="0"/>
        <w:keepLines w:val="0"/>
        <w:pageBreakBefore w:val="0"/>
        <w:numPr>
          <w:ilvl w:val="0"/>
          <w:numId w:val="0"/>
        </w:numPr>
        <w:kinsoku/>
        <w:wordWrap/>
        <w:overflowPunct/>
        <w:topLinePunct w:val="0"/>
        <w:autoSpaceDE/>
        <w:autoSpaceDN/>
        <w:bidi w:val="0"/>
        <w:adjustRightInd/>
        <w:spacing w:line="560" w:lineRule="exact"/>
        <w:ind w:firstLine="624" w:firstLineChars="200"/>
        <w:textAlignment w:val="auto"/>
        <w:rPr>
          <w:rFonts w:hint="eastAsia" w:ascii="Times New Roman" w:hAnsi="Times New Roman" w:eastAsia="仿宋" w:cs="仿宋"/>
          <w:b/>
          <w:bCs w:val="0"/>
          <w:color w:val="000000"/>
          <w:spacing w:val="-4"/>
          <w:sz w:val="32"/>
          <w:szCs w:val="32"/>
          <w:lang w:val="en-US" w:eastAsia="zh-CN"/>
        </w:rPr>
      </w:pPr>
      <w:r>
        <w:rPr>
          <w:rStyle w:val="12"/>
          <w:rFonts w:hint="eastAsia" w:ascii="Times New Roman" w:hAnsi="Times New Roman" w:eastAsia="仿宋" w:cs="仿宋"/>
          <w:b w:val="0"/>
          <w:color w:val="000000"/>
          <w:spacing w:val="-4"/>
          <w:sz w:val="32"/>
          <w:szCs w:val="32"/>
          <w:lang w:val="en-US" w:eastAsia="zh-CN"/>
        </w:rPr>
        <w:t>2024年专项项目支出96.02万元，占总支出的8.15％，主要用于1.市委巡察办巡察业务项目，2.霍尔果斯市纪委新阵地廉政文化建设及办公用品采购项目，3.霍尔果斯市警示教育基地维护及更新项目,4.全市“走读式”谈话室维修及正常运转费用,5.监察信息员、村居务监督委员补贴及“三员”工作开展项目、6.保障纪委新阵地运转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2"/>
        <w:rPr>
          <w:rFonts w:hint="eastAsia" w:ascii="Times New Roman" w:hAnsi="Times New Roman" w:eastAsia="仿宋_GB2312" w:cs="Times New Roman"/>
          <w:b/>
          <w:sz w:val="32"/>
          <w:szCs w:val="32"/>
          <w:lang w:val="en-US" w:eastAsia="zh-CN"/>
        </w:rPr>
      </w:pPr>
      <w:bookmarkStart w:id="15" w:name="_Toc31045"/>
      <w:r>
        <w:rPr>
          <w:rFonts w:hint="eastAsia" w:ascii="Times New Roman" w:hAnsi="Times New Roman" w:eastAsia="仿宋_GB2312" w:cs="Times New Roman"/>
          <w:b/>
          <w:sz w:val="32"/>
          <w:szCs w:val="32"/>
          <w:lang w:val="en-US" w:eastAsia="zh-CN"/>
        </w:rPr>
        <w:t>3.部门单位专项组织实施情况</w:t>
      </w:r>
      <w:bookmarkEnd w:id="15"/>
    </w:p>
    <w:p>
      <w:pPr>
        <w:keepNext w:val="0"/>
        <w:keepLines w:val="0"/>
        <w:pageBreakBefore w:val="0"/>
        <w:numPr>
          <w:ilvl w:val="0"/>
          <w:numId w:val="0"/>
        </w:numPr>
        <w:kinsoku/>
        <w:wordWrap/>
        <w:overflowPunct/>
        <w:topLinePunct w:val="0"/>
        <w:autoSpaceDE/>
        <w:autoSpaceDN/>
        <w:bidi w:val="0"/>
        <w:adjustRightInd/>
        <w:spacing w:line="560" w:lineRule="exact"/>
        <w:ind w:firstLine="624" w:firstLineChars="200"/>
        <w:textAlignment w:val="auto"/>
        <w:rPr>
          <w:rStyle w:val="12"/>
          <w:rFonts w:hint="eastAsia" w:ascii="Times New Roman" w:hAnsi="Times New Roman" w:eastAsia="仿宋" w:cs="仿宋"/>
          <w:b w:val="0"/>
          <w:color w:val="000000"/>
          <w:spacing w:val="-4"/>
          <w:sz w:val="32"/>
          <w:szCs w:val="32"/>
          <w:lang w:val="en-US" w:eastAsia="zh-CN"/>
        </w:rPr>
      </w:pPr>
      <w:r>
        <w:rPr>
          <w:rStyle w:val="12"/>
          <w:rFonts w:hint="eastAsia" w:ascii="Times New Roman" w:hAnsi="Times New Roman" w:eastAsia="仿宋" w:cs="仿宋"/>
          <w:b w:val="0"/>
          <w:spacing w:val="-4"/>
          <w:sz w:val="32"/>
          <w:szCs w:val="32"/>
          <w:lang w:val="en-US" w:eastAsia="zh-CN"/>
        </w:rPr>
        <w:t>年初我单位下发的</w:t>
      </w:r>
      <w:r>
        <w:rPr>
          <w:rStyle w:val="12"/>
          <w:rFonts w:hint="eastAsia" w:ascii="Times New Roman" w:hAnsi="Times New Roman" w:eastAsia="仿宋" w:cs="仿宋"/>
          <w:b w:val="0"/>
          <w:color w:val="000000"/>
          <w:spacing w:val="-4"/>
          <w:sz w:val="32"/>
          <w:szCs w:val="32"/>
          <w:lang w:val="en-US" w:eastAsia="zh-CN"/>
        </w:rPr>
        <w:t>市委巡察办巡察业务项目</w:t>
      </w:r>
      <w:r>
        <w:rPr>
          <w:rStyle w:val="12"/>
          <w:rFonts w:hint="eastAsia" w:ascii="Times New Roman" w:hAnsi="Times New Roman" w:eastAsia="仿宋" w:cs="仿宋"/>
          <w:b w:val="0"/>
          <w:spacing w:val="-4"/>
          <w:sz w:val="32"/>
          <w:szCs w:val="32"/>
          <w:lang w:val="en-US" w:eastAsia="zh-CN"/>
        </w:rPr>
        <w:t>专项、</w:t>
      </w:r>
      <w:r>
        <w:rPr>
          <w:rStyle w:val="12"/>
          <w:rFonts w:hint="eastAsia" w:ascii="Times New Roman" w:hAnsi="Times New Roman" w:eastAsia="仿宋" w:cs="仿宋"/>
          <w:b w:val="0"/>
          <w:color w:val="000000"/>
          <w:spacing w:val="-4"/>
          <w:sz w:val="32"/>
          <w:szCs w:val="32"/>
          <w:lang w:val="en-US" w:eastAsia="zh-CN"/>
        </w:rPr>
        <w:t>霍尔果斯市纪委新阵地廉政文化建设及办公用品采购项目</w:t>
      </w:r>
      <w:r>
        <w:rPr>
          <w:rStyle w:val="12"/>
          <w:rFonts w:hint="eastAsia" w:ascii="Times New Roman" w:hAnsi="Times New Roman" w:eastAsia="仿宋" w:cs="仿宋"/>
          <w:b w:val="0"/>
          <w:spacing w:val="-4"/>
          <w:sz w:val="32"/>
          <w:szCs w:val="32"/>
          <w:lang w:val="en-US" w:eastAsia="zh-CN"/>
        </w:rPr>
        <w:t>专项、</w:t>
      </w:r>
      <w:r>
        <w:rPr>
          <w:rStyle w:val="12"/>
          <w:rFonts w:hint="eastAsia" w:ascii="Times New Roman" w:hAnsi="Times New Roman" w:eastAsia="仿宋" w:cs="仿宋"/>
          <w:b w:val="0"/>
          <w:color w:val="000000"/>
          <w:spacing w:val="-4"/>
          <w:sz w:val="32"/>
          <w:szCs w:val="32"/>
          <w:lang w:val="en-US" w:eastAsia="zh-CN"/>
        </w:rPr>
        <w:t>霍尔果斯市警示教育基地维护及更新项目</w:t>
      </w:r>
      <w:r>
        <w:rPr>
          <w:rStyle w:val="12"/>
          <w:rFonts w:hint="eastAsia" w:ascii="Times New Roman" w:hAnsi="Times New Roman" w:eastAsia="仿宋" w:cs="仿宋"/>
          <w:b w:val="0"/>
          <w:spacing w:val="-4"/>
          <w:sz w:val="32"/>
          <w:szCs w:val="32"/>
          <w:lang w:val="en-US" w:eastAsia="zh-CN"/>
        </w:rPr>
        <w:t>专项</w:t>
      </w:r>
      <w:r>
        <w:rPr>
          <w:rStyle w:val="12"/>
          <w:rFonts w:hint="eastAsia" w:ascii="Times New Roman" w:hAnsi="Times New Roman" w:eastAsia="仿宋" w:cs="仿宋"/>
          <w:b w:val="0"/>
          <w:color w:val="000000"/>
          <w:spacing w:val="-4"/>
          <w:sz w:val="32"/>
          <w:szCs w:val="32"/>
          <w:lang w:val="en-US" w:eastAsia="zh-CN"/>
        </w:rPr>
        <w:t>、全市“走读式”谈话室维修及正常运转费用</w:t>
      </w:r>
      <w:r>
        <w:rPr>
          <w:rStyle w:val="12"/>
          <w:rFonts w:hint="eastAsia" w:ascii="Times New Roman" w:hAnsi="Times New Roman" w:eastAsia="仿宋" w:cs="仿宋"/>
          <w:b w:val="0"/>
          <w:spacing w:val="-4"/>
          <w:sz w:val="32"/>
          <w:szCs w:val="32"/>
          <w:lang w:val="en-US" w:eastAsia="zh-CN"/>
        </w:rPr>
        <w:t>专项</w:t>
      </w:r>
      <w:r>
        <w:rPr>
          <w:rStyle w:val="12"/>
          <w:rFonts w:hint="eastAsia" w:ascii="Times New Roman" w:hAnsi="Times New Roman" w:eastAsia="仿宋" w:cs="仿宋"/>
          <w:b w:val="0"/>
          <w:color w:val="000000"/>
          <w:spacing w:val="-4"/>
          <w:sz w:val="32"/>
          <w:szCs w:val="32"/>
          <w:lang w:val="en-US" w:eastAsia="zh-CN"/>
        </w:rPr>
        <w:t>、监察信息员、村居务监督委员补贴及“三员”工作开展项目</w:t>
      </w:r>
      <w:r>
        <w:rPr>
          <w:rStyle w:val="12"/>
          <w:rFonts w:hint="eastAsia" w:ascii="Times New Roman" w:hAnsi="Times New Roman" w:eastAsia="仿宋" w:cs="仿宋"/>
          <w:b w:val="0"/>
          <w:spacing w:val="-4"/>
          <w:sz w:val="32"/>
          <w:szCs w:val="32"/>
          <w:lang w:val="en-US" w:eastAsia="zh-CN"/>
        </w:rPr>
        <w:t>专项工作计划，对项目的工作分工、任务分配、资金落实、完成时限等提出了明确、具体的要求，以确保项目保质、保量、按时完成。</w:t>
      </w:r>
      <w:r>
        <w:rPr>
          <w:rStyle w:val="12"/>
          <w:rFonts w:hint="eastAsia" w:ascii="Times New Roman" w:hAnsi="Times New Roman" w:eastAsia="仿宋" w:cs="仿宋"/>
          <w:b w:val="0"/>
          <w:color w:val="000000"/>
          <w:spacing w:val="-4"/>
          <w:sz w:val="32"/>
          <w:szCs w:val="32"/>
          <w:lang w:val="en-US" w:eastAsia="zh-CN"/>
        </w:rPr>
        <w:t>截至12月31日，完成专项6个，未完成专项0个。</w:t>
      </w:r>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both"/>
        <w:textAlignment w:val="auto"/>
        <w:rPr>
          <w:rFonts w:hint="eastAsia" w:ascii="Times New Roman" w:hAnsi="Times New Roman" w:eastAsia="仿宋" w:cs="仿宋"/>
          <w:color w:val="auto"/>
          <w:kern w:val="0"/>
          <w:sz w:val="32"/>
          <w:szCs w:val="32"/>
          <w:lang w:val="en-US" w:eastAsia="zh-CN" w:bidi="ar"/>
        </w:rPr>
      </w:pPr>
      <w:r>
        <w:rPr>
          <w:rFonts w:hint="eastAsia" w:ascii="Times New Roman" w:hAnsi="Times New Roman" w:eastAsia="仿宋" w:cs="仿宋"/>
          <w:color w:val="auto"/>
          <w:kern w:val="0"/>
          <w:sz w:val="32"/>
          <w:szCs w:val="32"/>
          <w:lang w:val="en-US" w:eastAsia="zh-CN" w:bidi="ar"/>
        </w:rPr>
        <w:t>为规范专项资金使用，提高专项资金使用效益，我单位主要采取四项措施。一是制订专项资金管理制度；二是各专项资金建立了专账；三是认真组织项目验收。切实保证专项资金都做到了专款专用。</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 w:cs="仿宋"/>
          <w:color w:val="auto"/>
          <w:kern w:val="0"/>
          <w:sz w:val="32"/>
          <w:szCs w:val="32"/>
          <w:lang w:val="en-US" w:eastAsia="zh-CN" w:bidi="ar"/>
        </w:rPr>
      </w:pPr>
      <w:r>
        <w:rPr>
          <w:rFonts w:hint="eastAsia" w:ascii="Times New Roman" w:hAnsi="Times New Roman" w:eastAsia="仿宋" w:cs="仿宋"/>
          <w:color w:val="auto"/>
          <w:kern w:val="0"/>
          <w:sz w:val="32"/>
          <w:szCs w:val="32"/>
          <w:lang w:val="en-US" w:eastAsia="zh-CN" w:bidi="ar"/>
        </w:rPr>
        <w:t>（1）制定了《项目专项资金管理制度》、《财务管理制度》专项资金管理办法，各项资金使用审批流程均按规定办理。涉及“三重一大”内容，严格按照规定提请局党组会审议决定，包括项目资金分配、重大项目确定、大额资金支付等。</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 w:cs="仿宋"/>
          <w:color w:val="auto"/>
          <w:kern w:val="0"/>
          <w:sz w:val="32"/>
          <w:szCs w:val="32"/>
          <w:lang w:val="en-US" w:eastAsia="zh-CN" w:bidi="ar"/>
        </w:rPr>
      </w:pPr>
      <w:r>
        <w:rPr>
          <w:rFonts w:hint="eastAsia" w:ascii="Times New Roman" w:hAnsi="Times New Roman" w:eastAsia="仿宋" w:cs="仿宋"/>
          <w:color w:val="auto"/>
          <w:kern w:val="0"/>
          <w:sz w:val="32"/>
          <w:szCs w:val="32"/>
          <w:lang w:val="en-US" w:eastAsia="zh-CN" w:bidi="ar"/>
        </w:rPr>
        <w:t>（2）建立专项资金专账，做到有据可依，有据可查。</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 w:cs="仿宋"/>
          <w:color w:val="auto"/>
          <w:kern w:val="0"/>
          <w:sz w:val="32"/>
          <w:szCs w:val="32"/>
          <w:lang w:val="en-US" w:eastAsia="zh-CN" w:bidi="ar"/>
        </w:rPr>
      </w:pPr>
      <w:r>
        <w:rPr>
          <w:rFonts w:hint="eastAsia" w:ascii="Times New Roman" w:hAnsi="Times New Roman" w:eastAsia="仿宋" w:cs="仿宋"/>
          <w:color w:val="auto"/>
          <w:kern w:val="0"/>
          <w:sz w:val="32"/>
          <w:szCs w:val="32"/>
          <w:lang w:val="en-US" w:eastAsia="zh-CN" w:bidi="ar"/>
        </w:rPr>
        <w:t>（3）认真组织项目验收，确保专项资金都做到了专款专用。</w:t>
      </w:r>
    </w:p>
    <w:p>
      <w:pPr>
        <w:keepNext w:val="0"/>
        <w:keepLines w:val="0"/>
        <w:pageBreakBefore w:val="0"/>
        <w:numPr>
          <w:ilvl w:val="0"/>
          <w:numId w:val="0"/>
        </w:numPr>
        <w:kinsoku/>
        <w:wordWrap/>
        <w:overflowPunct/>
        <w:topLinePunct w:val="0"/>
        <w:autoSpaceDE/>
        <w:autoSpaceDN/>
        <w:bidi w:val="0"/>
        <w:adjustRightInd/>
        <w:snapToGrid w:val="0"/>
        <w:spacing w:line="560" w:lineRule="exact"/>
        <w:ind w:left="1368" w:leftChars="0" w:hanging="720" w:firstLineChars="0"/>
        <w:textAlignment w:val="auto"/>
        <w:outlineLvl w:val="0"/>
        <w:rPr>
          <w:rFonts w:hint="eastAsia" w:ascii="Times New Roman" w:hAnsi="Times New Roman" w:eastAsia="黑体" w:cs="宋体"/>
          <w:bCs/>
          <w:color w:val="333333"/>
          <w:sz w:val="32"/>
          <w:szCs w:val="32"/>
          <w:lang w:bidi="ar"/>
        </w:rPr>
      </w:pPr>
      <w:bookmarkStart w:id="16" w:name="_Toc6552"/>
      <w:r>
        <w:rPr>
          <w:rFonts w:hint="eastAsia" w:ascii="Times New Roman" w:hAnsi="Times New Roman" w:eastAsia="黑体" w:cs="宋体"/>
          <w:bCs/>
          <w:color w:val="333333"/>
          <w:kern w:val="2"/>
          <w:sz w:val="32"/>
          <w:szCs w:val="32"/>
          <w:lang w:val="en-US" w:eastAsia="zh-CN" w:bidi="ar"/>
        </w:rPr>
        <w:t>三</w:t>
      </w:r>
      <w:r>
        <w:rPr>
          <w:rFonts w:hint="default" w:ascii="Times New Roman" w:hAnsi="Times New Roman" w:eastAsia="黑体" w:cs="宋体"/>
          <w:bCs/>
          <w:color w:val="333333"/>
          <w:kern w:val="2"/>
          <w:sz w:val="32"/>
          <w:szCs w:val="32"/>
          <w:lang w:val="en-US" w:eastAsia="zh-CN" w:bidi="ar"/>
        </w:rPr>
        <w:t>、</w:t>
      </w:r>
      <w:r>
        <w:rPr>
          <w:rFonts w:hint="eastAsia" w:ascii="Times New Roman" w:hAnsi="Times New Roman" w:eastAsia="黑体" w:cs="宋体"/>
          <w:bCs/>
          <w:color w:val="333333"/>
          <w:sz w:val="32"/>
          <w:szCs w:val="32"/>
          <w:lang w:bidi="ar"/>
        </w:rPr>
        <w:t>部门单位整体支出绩效情况</w:t>
      </w:r>
      <w:bookmarkEnd w:id="1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1"/>
        <w:rPr>
          <w:rFonts w:hint="default" w:ascii="Times New Roman" w:hAnsi="Times New Roman" w:eastAsia="楷体" w:cs="楷体"/>
          <w:b/>
          <w:sz w:val="32"/>
          <w:szCs w:val="32"/>
          <w:lang w:val="en-US" w:eastAsia="zh-CN"/>
        </w:rPr>
      </w:pPr>
      <w:bookmarkStart w:id="17" w:name="_Toc15638"/>
      <w:r>
        <w:rPr>
          <w:rFonts w:hint="eastAsia" w:ascii="Times New Roman" w:hAnsi="Times New Roman" w:eastAsia="楷体" w:cs="楷体"/>
          <w:b/>
          <w:sz w:val="32"/>
          <w:szCs w:val="32"/>
          <w:lang w:val="en-US" w:eastAsia="zh-CN"/>
        </w:rPr>
        <w:t>（一）预算执行情况</w:t>
      </w:r>
      <w:bookmarkEnd w:id="17"/>
      <w:r>
        <w:rPr>
          <w:rFonts w:hint="eastAsia" w:ascii="Times New Roman" w:hAnsi="Times New Roman" w:eastAsia="楷体" w:cs="楷体"/>
          <w:b/>
          <w:sz w:val="32"/>
          <w:szCs w:val="32"/>
          <w:lang w:val="en-US" w:eastAsia="zh-CN"/>
        </w:rPr>
        <w:t>分析</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24" w:firstLineChars="200"/>
        <w:textAlignment w:val="auto"/>
        <w:rPr>
          <w:rFonts w:hint="eastAsia" w:ascii="Times New Roman" w:hAnsi="Times New Roman" w:eastAsia="仿宋" w:cs="仿宋"/>
          <w:b w:val="0"/>
          <w:bCs/>
          <w:color w:val="000000"/>
          <w:spacing w:val="-4"/>
          <w:sz w:val="32"/>
          <w:szCs w:val="32"/>
          <w:lang w:val="en-US" w:eastAsia="zh-CN"/>
        </w:rPr>
      </w:pPr>
      <w:r>
        <w:rPr>
          <w:rFonts w:hint="eastAsia" w:ascii="Times New Roman" w:hAnsi="Times New Roman" w:eastAsia="仿宋" w:cs="仿宋"/>
          <w:b w:val="0"/>
          <w:bCs/>
          <w:color w:val="000000"/>
          <w:spacing w:val="-4"/>
          <w:sz w:val="32"/>
          <w:szCs w:val="32"/>
          <w:lang w:val="en-US" w:eastAsia="zh-CN"/>
        </w:rPr>
        <w:t>2024年中国共产党霍尔果斯市纪律检查委员会单位总支出1178.76万元，预算执行率99.62%，其中一般公共服务支出</w:t>
      </w:r>
      <w:r>
        <w:rPr>
          <w:rFonts w:hint="eastAsia" w:ascii="Times New Roman" w:hAnsi="Times New Roman" w:eastAsia="仿宋" w:cs="仿宋"/>
          <w:b w:val="0"/>
          <w:bCs/>
          <w:color w:val="000000" w:themeColor="text1"/>
          <w:spacing w:val="-4"/>
          <w:sz w:val="32"/>
          <w:szCs w:val="32"/>
          <w:highlight w:val="none"/>
          <w:lang w:val="en-US" w:eastAsia="zh-CN"/>
          <w14:textFill>
            <w14:solidFill>
              <w14:schemeClr w14:val="tx1"/>
            </w14:solidFill>
          </w14:textFill>
        </w:rPr>
        <w:t>支出</w:t>
      </w:r>
      <w:r>
        <w:rPr>
          <w:rFonts w:hint="eastAsia" w:ascii="Times New Roman" w:hAnsi="Times New Roman" w:eastAsia="仿宋" w:cs="仿宋"/>
          <w:b w:val="0"/>
          <w:bCs/>
          <w:color w:val="000000"/>
          <w:spacing w:val="-4"/>
          <w:sz w:val="32"/>
          <w:szCs w:val="32"/>
          <w:lang w:val="en-US" w:eastAsia="zh-CN"/>
        </w:rPr>
        <w:t>981.87万元、社会保障和就业支出122.38万元、住房保障支出74.51万元。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2"/>
        <w:rPr>
          <w:rFonts w:hint="eastAsia" w:ascii="Times New Roman" w:hAnsi="Times New Roman" w:eastAsia="仿宋_GB2312"/>
          <w:b/>
          <w:sz w:val="32"/>
          <w:szCs w:val="32"/>
          <w:lang w:val="en-US" w:eastAsia="zh-CN"/>
        </w:rPr>
      </w:pPr>
      <w:bookmarkStart w:id="18" w:name="_Toc808"/>
      <w:r>
        <w:rPr>
          <w:rFonts w:hint="eastAsia" w:ascii="Times New Roman" w:hAnsi="Times New Roman" w:eastAsia="仿宋_GB2312"/>
          <w:b/>
          <w:sz w:val="32"/>
          <w:szCs w:val="32"/>
          <w:lang w:val="en-US" w:eastAsia="zh-CN"/>
        </w:rPr>
        <w:t>1.基本支出使用情况</w:t>
      </w:r>
      <w:bookmarkEnd w:id="18"/>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24" w:firstLineChars="200"/>
        <w:textAlignment w:val="auto"/>
        <w:rPr>
          <w:rFonts w:hint="eastAsia" w:ascii="Times New Roman" w:hAnsi="Times New Roman" w:eastAsia="仿宋" w:cs="仿宋"/>
          <w:b w:val="0"/>
          <w:bCs/>
          <w:color w:val="000000"/>
          <w:spacing w:val="-4"/>
          <w:sz w:val="32"/>
          <w:szCs w:val="32"/>
          <w:highlight w:val="none"/>
          <w:lang w:val="en-US" w:eastAsia="zh-CN"/>
        </w:rPr>
      </w:pPr>
      <w:r>
        <w:rPr>
          <w:rFonts w:hint="eastAsia" w:ascii="Times New Roman" w:hAnsi="Times New Roman" w:eastAsia="仿宋" w:cs="仿宋"/>
          <w:b w:val="0"/>
          <w:bCs/>
          <w:color w:val="000000"/>
          <w:spacing w:val="-4"/>
          <w:sz w:val="32"/>
          <w:szCs w:val="32"/>
          <w:lang w:val="en-US" w:eastAsia="zh-CN"/>
        </w:rPr>
        <w:t>2024年，中国共产</w:t>
      </w:r>
      <w:r>
        <w:rPr>
          <w:rFonts w:hint="eastAsia" w:ascii="Times New Roman" w:hAnsi="Times New Roman" w:eastAsia="仿宋" w:cs="仿宋"/>
          <w:b w:val="0"/>
          <w:bCs/>
          <w:color w:val="000000"/>
          <w:spacing w:val="-4"/>
          <w:sz w:val="32"/>
          <w:szCs w:val="32"/>
          <w:highlight w:val="none"/>
          <w:lang w:val="en-US" w:eastAsia="zh-CN"/>
        </w:rPr>
        <w:t>党霍尔果斯市纪律检查委员会基本支出1082.73万元，占总支出的91.85％，其中：一般公共服务支出</w:t>
      </w:r>
      <w:r>
        <w:rPr>
          <w:rFonts w:hint="eastAsia" w:ascii="Times New Roman" w:hAnsi="Times New Roman" w:eastAsia="仿宋" w:cs="仿宋"/>
          <w:b w:val="0"/>
          <w:bCs/>
          <w:color w:val="000000" w:themeColor="text1"/>
          <w:spacing w:val="-4"/>
          <w:sz w:val="32"/>
          <w:szCs w:val="32"/>
          <w:highlight w:val="none"/>
          <w:lang w:val="en-US" w:eastAsia="zh-CN"/>
          <w14:textFill>
            <w14:solidFill>
              <w14:schemeClr w14:val="tx1"/>
            </w14:solidFill>
          </w14:textFill>
        </w:rPr>
        <w:t>支出</w:t>
      </w:r>
      <w:r>
        <w:rPr>
          <w:rFonts w:hint="eastAsia" w:ascii="Times New Roman" w:hAnsi="Times New Roman" w:eastAsia="仿宋" w:cs="仿宋"/>
          <w:b w:val="0"/>
          <w:bCs/>
          <w:color w:val="000000"/>
          <w:spacing w:val="-4"/>
          <w:sz w:val="32"/>
          <w:szCs w:val="32"/>
          <w:highlight w:val="none"/>
          <w:lang w:val="en-US" w:eastAsia="zh-CN"/>
        </w:rPr>
        <w:t>885.85万元，社会保障和就业支出122.37万元，住房保障支出74.51万元。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2"/>
        <w:rPr>
          <w:rFonts w:hint="eastAsia" w:ascii="Times New Roman" w:hAnsi="Times New Roman" w:eastAsia="仿宋_GB2312"/>
          <w:b/>
          <w:sz w:val="32"/>
          <w:szCs w:val="32"/>
          <w:highlight w:val="none"/>
          <w:lang w:val="en-US" w:eastAsia="zh-CN"/>
        </w:rPr>
      </w:pPr>
      <w:bookmarkStart w:id="19" w:name="_Toc9601"/>
      <w:r>
        <w:rPr>
          <w:rFonts w:hint="eastAsia" w:ascii="Times New Roman" w:hAnsi="Times New Roman" w:eastAsia="仿宋_GB2312"/>
          <w:b/>
          <w:sz w:val="32"/>
          <w:szCs w:val="32"/>
          <w:highlight w:val="none"/>
          <w:lang w:val="en-US" w:eastAsia="zh-CN"/>
        </w:rPr>
        <w:t>2.项目支出使用情况</w:t>
      </w:r>
      <w:bookmarkEnd w:id="19"/>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624" w:firstLineChars="200"/>
        <w:textAlignment w:val="auto"/>
        <w:rPr>
          <w:rFonts w:hint="eastAsia" w:ascii="Times New Roman" w:hAnsi="Times New Roman" w:eastAsia="仿宋" w:cs="仿宋"/>
          <w:b w:val="0"/>
          <w:bCs/>
          <w:color w:val="000000"/>
          <w:spacing w:val="-4"/>
          <w:sz w:val="32"/>
          <w:szCs w:val="32"/>
          <w:highlight w:val="none"/>
          <w:lang w:val="en-US" w:eastAsia="zh-CN"/>
        </w:rPr>
      </w:pPr>
      <w:r>
        <w:rPr>
          <w:rFonts w:hint="eastAsia" w:ascii="Times New Roman" w:hAnsi="Times New Roman" w:eastAsia="仿宋" w:cs="仿宋"/>
          <w:b w:val="0"/>
          <w:bCs/>
          <w:color w:val="000000"/>
          <w:spacing w:val="-4"/>
          <w:sz w:val="32"/>
          <w:szCs w:val="32"/>
          <w:highlight w:val="none"/>
          <w:lang w:val="en-US" w:eastAsia="zh-CN"/>
        </w:rPr>
        <w:t>2024年，中国共产党霍尔果斯市纪律检查委员会项目支出96.02万元，占总支出的8.15％。其中：一般公共服务支出支出96.02万元。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outlineLvl w:val="1"/>
        <w:rPr>
          <w:rFonts w:hint="eastAsia" w:ascii="Times New Roman" w:hAnsi="Times New Roman" w:eastAsia="楷体" w:cs="楷体"/>
          <w:b/>
          <w:sz w:val="32"/>
          <w:szCs w:val="32"/>
          <w:highlight w:val="none"/>
          <w:lang w:val="en-US" w:eastAsia="zh-CN"/>
        </w:rPr>
      </w:pPr>
      <w:bookmarkStart w:id="20" w:name="_Toc3647"/>
      <w:r>
        <w:rPr>
          <w:rFonts w:hint="eastAsia" w:ascii="Times New Roman" w:hAnsi="Times New Roman" w:eastAsia="楷体" w:cs="楷体"/>
          <w:b/>
          <w:sz w:val="32"/>
          <w:szCs w:val="32"/>
          <w:highlight w:val="none"/>
          <w:lang w:val="en-US" w:eastAsia="zh-CN"/>
        </w:rPr>
        <w:t>（二）部门单位整体支出绩效指标完成情况分析</w:t>
      </w:r>
      <w:bookmarkEnd w:id="20"/>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_GB2312" w:cs="仿宋_GB2312"/>
          <w:bCs/>
          <w:color w:val="000000"/>
          <w:sz w:val="32"/>
          <w:szCs w:val="32"/>
          <w:lang w:val="en-US" w:eastAsia="zh-CN" w:bidi="ar"/>
        </w:rPr>
      </w:pPr>
      <w:r>
        <w:rPr>
          <w:rFonts w:hint="eastAsia" w:ascii="Times New Roman" w:hAnsi="Times New Roman" w:eastAsia="仿宋" w:cs="仿宋"/>
          <w:bCs/>
          <w:color w:val="000000"/>
          <w:sz w:val="32"/>
          <w:szCs w:val="32"/>
          <w:lang w:val="en-US" w:eastAsia="zh-CN" w:bidi="ar"/>
        </w:rPr>
        <w:t>年初我单位设置部门整体绩效目标中包括一级指标1</w:t>
      </w:r>
      <w:r>
        <w:rPr>
          <w:rFonts w:hint="eastAsia" w:ascii="Times New Roman" w:hAnsi="Times New Roman" w:eastAsia="仿宋" w:cs="仿宋"/>
          <w:bCs/>
          <w:color w:val="000000"/>
          <w:sz w:val="32"/>
          <w:szCs w:val="32"/>
          <w:lang w:val="en-US" w:eastAsia="zh-CN" w:bidi="ar"/>
        </w:rPr>
        <w:tab/>
      </w:r>
      <w:r>
        <w:rPr>
          <w:rFonts w:hint="eastAsia" w:ascii="Times New Roman" w:hAnsi="Times New Roman" w:eastAsia="仿宋" w:cs="仿宋"/>
          <w:bCs/>
          <w:color w:val="000000"/>
          <w:sz w:val="32"/>
          <w:szCs w:val="32"/>
          <w:lang w:val="en-US" w:eastAsia="zh-CN" w:bidi="ar"/>
        </w:rPr>
        <w:t>个</w:t>
      </w:r>
      <w:r>
        <w:rPr>
          <w:rFonts w:hint="eastAsia" w:ascii="Times New Roman" w:hAnsi="Times New Roman" w:eastAsia="仿宋" w:cs="仿宋"/>
          <w:bCs/>
          <w:color w:val="auto"/>
          <w:sz w:val="32"/>
          <w:szCs w:val="32"/>
          <w:highlight w:val="none"/>
          <w:lang w:val="en-US" w:eastAsia="zh-CN" w:bidi="ar"/>
        </w:rPr>
        <w:t>履职效能，</w:t>
      </w:r>
      <w:r>
        <w:rPr>
          <w:rFonts w:hint="eastAsia" w:ascii="Times New Roman" w:hAnsi="Times New Roman" w:eastAsia="仿宋" w:cs="仿宋"/>
          <w:bCs/>
          <w:color w:val="000000"/>
          <w:sz w:val="32"/>
          <w:szCs w:val="32"/>
          <w:lang w:val="en-US" w:eastAsia="zh-CN" w:bidi="ar"/>
        </w:rPr>
        <w:t>二级指标2个，三级指标4个，指标完成情况分析如下：</w:t>
      </w:r>
    </w:p>
    <w:p>
      <w:pPr>
        <w:keepNext w:val="0"/>
        <w:keepLines w:val="0"/>
        <w:pageBreakBefore w:val="0"/>
        <w:numPr>
          <w:ilvl w:val="0"/>
          <w:numId w:val="0"/>
        </w:numPr>
        <w:kinsoku/>
        <w:wordWrap/>
        <w:overflowPunct/>
        <w:topLinePunct w:val="0"/>
        <w:autoSpaceDE/>
        <w:autoSpaceDN/>
        <w:bidi w:val="0"/>
        <w:adjustRightInd/>
        <w:snapToGrid w:val="0"/>
        <w:spacing w:line="560" w:lineRule="exact"/>
        <w:ind w:left="1273" w:leftChars="389" w:hanging="456" w:hangingChars="142"/>
        <w:textAlignment w:val="auto"/>
        <w:rPr>
          <w:rFonts w:hint="default" w:ascii="Times New Roman" w:hAnsi="Times New Roman" w:eastAsia="楷体" w:cs="楷体"/>
          <w:b/>
          <w:bCs w:val="0"/>
          <w:color w:val="auto"/>
          <w:sz w:val="32"/>
          <w:szCs w:val="32"/>
          <w:lang w:val="en-US" w:eastAsia="zh-CN" w:bidi="ar"/>
        </w:rPr>
      </w:pPr>
      <w:r>
        <w:rPr>
          <w:rFonts w:hint="eastAsia" w:ascii="Times New Roman" w:hAnsi="Times New Roman" w:eastAsia="楷体" w:cs="楷体"/>
          <w:b/>
          <w:bCs w:val="0"/>
          <w:color w:val="auto"/>
          <w:sz w:val="32"/>
          <w:szCs w:val="32"/>
          <w:lang w:val="en-US" w:eastAsia="zh-CN" w:bidi="ar"/>
        </w:rPr>
        <w:t>1.</w:t>
      </w:r>
      <w:r>
        <w:rPr>
          <w:rFonts w:hint="default" w:ascii="Times New Roman" w:hAnsi="Times New Roman" w:eastAsia="楷体" w:cs="楷体"/>
          <w:b/>
          <w:bCs w:val="0"/>
          <w:color w:val="auto"/>
          <w:sz w:val="32"/>
          <w:szCs w:val="32"/>
          <w:lang w:val="en-US" w:eastAsia="zh-CN" w:bidi="ar"/>
        </w:rPr>
        <w:t>履职效能</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 w:cs="仿宋"/>
          <w:bCs/>
          <w:color w:val="auto"/>
          <w:sz w:val="32"/>
          <w:szCs w:val="32"/>
          <w:lang w:val="en-US" w:eastAsia="zh-CN" w:bidi="ar"/>
        </w:rPr>
      </w:pPr>
      <w:r>
        <w:rPr>
          <w:rFonts w:hint="eastAsia" w:ascii="Times New Roman" w:hAnsi="Times New Roman" w:eastAsia="仿宋" w:cs="仿宋"/>
          <w:color w:val="000000"/>
          <w:kern w:val="0"/>
          <w:sz w:val="32"/>
          <w:szCs w:val="32"/>
          <w:lang w:val="en-US" w:eastAsia="zh-CN" w:bidi="ar"/>
        </w:rPr>
        <w:t>（1）</w:t>
      </w:r>
      <w:r>
        <w:rPr>
          <w:rFonts w:hint="eastAsia" w:ascii="Times New Roman" w:hAnsi="Times New Roman" w:eastAsia="仿宋" w:cs="仿宋"/>
          <w:bCs/>
          <w:color w:val="auto"/>
          <w:sz w:val="32"/>
          <w:szCs w:val="32"/>
          <w:lang w:val="en-US" w:eastAsia="zh-CN" w:bidi="ar"/>
        </w:rPr>
        <w:t>数量指标</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bCs/>
          <w:color w:val="000000"/>
          <w:sz w:val="32"/>
          <w:szCs w:val="32"/>
          <w:lang w:val="en-US" w:eastAsia="zh-CN" w:bidi="ar"/>
        </w:rPr>
        <w:t>指标1：营商环境监督检查次数，指标值：&gt;=2次，年中监控完成值：1次，自评完成值：2次，指标完成率100%，偏差0%，偏差原因及改进措施：无，指标成效分析：通过完成营商环境监督检查进一步提升了政务服务效能，高效推动自贸试验区霍尔果斯片区建设和经济社会高质量发展。进一步提升了监督执纪力度，提升执法监督水平，主动消除各类隐性障碍和“潜规则”，有效保护市场主体的合法权益。进一步提升了法治服务水平，助力经济社会高质量发展，最大限度维护经营主体合法权益，强化护商、扶商、安商。</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 w:cs="仿宋"/>
          <w:bCs/>
          <w:color w:val="000000"/>
          <w:sz w:val="32"/>
          <w:szCs w:val="32"/>
          <w:lang w:val="en-US" w:eastAsia="zh-CN" w:bidi="ar"/>
        </w:rPr>
      </w:pPr>
      <w:r>
        <w:rPr>
          <w:rFonts w:hint="eastAsia" w:ascii="Times New Roman" w:hAnsi="Times New Roman" w:eastAsia="仿宋" w:cs="仿宋"/>
          <w:bCs/>
          <w:color w:val="000000"/>
          <w:sz w:val="32"/>
          <w:szCs w:val="32"/>
          <w:lang w:val="en-US" w:eastAsia="zh-CN" w:bidi="ar"/>
        </w:rPr>
        <w:t>指标2：对本市政治生态开展综合分析研判次数，指标值：&gt;=2次，年中监控完成值：1次，自评完成值2次，指标完成率100%，偏差0%，偏差原因及改进措施：无，指标成效分析：通过完成对本市政治生态开展综合分析研判工作，推动区（市）党风廉政建设和反腐败斗争向纵深发展，进一步增强党内政治生活的政治性、时代性、原则性、战斗性，加强干部队伍建设。</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 w:cs="仿宋"/>
          <w:bCs/>
          <w:color w:val="000000"/>
          <w:sz w:val="32"/>
          <w:szCs w:val="32"/>
          <w:lang w:val="en-US" w:eastAsia="zh-CN" w:bidi="ar"/>
        </w:rPr>
      </w:pPr>
      <w:r>
        <w:rPr>
          <w:rFonts w:hint="eastAsia" w:ascii="Times New Roman" w:hAnsi="Times New Roman" w:eastAsia="仿宋" w:cs="仿宋"/>
          <w:color w:val="000000"/>
          <w:kern w:val="0"/>
          <w:sz w:val="32"/>
          <w:szCs w:val="32"/>
          <w:lang w:val="en-US" w:eastAsia="zh-CN" w:bidi="ar"/>
        </w:rPr>
        <w:t>（2）</w:t>
      </w:r>
      <w:r>
        <w:rPr>
          <w:rFonts w:hint="eastAsia" w:ascii="Times New Roman" w:hAnsi="Times New Roman" w:eastAsia="仿宋" w:cs="仿宋"/>
          <w:bCs/>
          <w:color w:val="000000"/>
          <w:sz w:val="32"/>
          <w:szCs w:val="32"/>
          <w:lang w:val="en-US" w:eastAsia="zh-CN" w:bidi="ar"/>
        </w:rPr>
        <w:t>质量指标</w:t>
      </w:r>
    </w:p>
    <w:p>
      <w:pPr>
        <w:pStyle w:val="9"/>
        <w:ind w:left="0" w:leftChars="0" w:firstLine="640" w:firstLineChars="200"/>
        <w:rPr>
          <w:rFonts w:hint="eastAsia" w:ascii="Times New Roman" w:hAnsi="Times New Roman" w:eastAsia="仿宋" w:cs="仿宋"/>
          <w:sz w:val="32"/>
          <w:szCs w:val="32"/>
          <w:lang w:val="en-US" w:eastAsia="zh-CN"/>
        </w:rPr>
      </w:pPr>
      <w:r>
        <w:rPr>
          <w:rFonts w:hint="eastAsia" w:ascii="Times New Roman" w:hAnsi="Times New Roman" w:eastAsia="仿宋" w:cs="仿宋"/>
          <w:bCs/>
          <w:color w:val="000000"/>
          <w:sz w:val="32"/>
          <w:szCs w:val="32"/>
          <w:lang w:val="en-US" w:eastAsia="zh-CN" w:bidi="ar"/>
        </w:rPr>
        <w:t>指标1：纪律监督、监察监督、巡察监督覆盖率，指标值：&gt;=95%，年中监控完成值：95%，自评完成值：100%，指标完</w:t>
      </w:r>
      <w:r>
        <w:rPr>
          <w:rFonts w:hint="eastAsia" w:ascii="Times New Roman" w:hAnsi="Times New Roman" w:eastAsia="仿宋" w:cs="仿宋"/>
          <w:bCs/>
          <w:color w:val="auto"/>
          <w:sz w:val="32"/>
          <w:szCs w:val="32"/>
          <w:lang w:val="en-US" w:eastAsia="zh-CN" w:bidi="ar"/>
        </w:rPr>
        <w:t>成率105.26%，偏差5.26%，偏差原因及改进措施：纪律监督、监察监督、巡察监督实际覆盖率为100%，加强预算管理，进一步细化指标设置。指标成效分析：通过完成纪律监督、监察监督、巡察监督工作，</w:t>
      </w:r>
      <w:bookmarkStart w:id="31" w:name="_GoBack"/>
      <w:bookmarkEnd w:id="31"/>
      <w:r>
        <w:rPr>
          <w:rStyle w:val="12"/>
          <w:rFonts w:hint="eastAsia" w:ascii="Times New Roman" w:hAnsi="Times New Roman" w:eastAsia="仿宋" w:cs="仿宋"/>
          <w:b w:val="0"/>
          <w:bCs w:val="0"/>
          <w:color w:val="auto"/>
          <w:spacing w:val="-4"/>
          <w:kern w:val="2"/>
          <w:sz w:val="32"/>
          <w:szCs w:val="32"/>
          <w:lang w:val="en-US" w:eastAsia="zh-CN" w:bidi="ar-SA"/>
        </w:rPr>
        <w:t>着力消除对公权力的空白和盲区。巩固发展维护反分裂斗争纪律重要阶段性成果和反腐败斗争压倒性胜</w:t>
      </w:r>
      <w:r>
        <w:rPr>
          <w:rStyle w:val="12"/>
          <w:rFonts w:hint="eastAsia" w:ascii="Times New Roman" w:hAnsi="Times New Roman" w:eastAsia="仿宋" w:cs="仿宋"/>
          <w:b w:val="0"/>
          <w:bCs w:val="0"/>
          <w:spacing w:val="-4"/>
          <w:kern w:val="2"/>
          <w:sz w:val="32"/>
          <w:szCs w:val="32"/>
          <w:lang w:val="en-US" w:eastAsia="zh-CN" w:bidi="ar-SA"/>
        </w:rPr>
        <w:t>利，营造风清气正的良好政治生态。</w:t>
      </w:r>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 w:cs="仿宋"/>
          <w:bCs/>
          <w:color w:val="auto"/>
          <w:sz w:val="32"/>
          <w:szCs w:val="32"/>
          <w:lang w:val="en-US" w:eastAsia="zh-CN" w:bidi="ar"/>
        </w:rPr>
      </w:pPr>
      <w:r>
        <w:rPr>
          <w:rFonts w:hint="eastAsia" w:ascii="Times New Roman" w:hAnsi="Times New Roman" w:eastAsia="仿宋" w:cs="仿宋"/>
          <w:bCs/>
          <w:color w:val="000000"/>
          <w:sz w:val="32"/>
          <w:szCs w:val="32"/>
          <w:lang w:val="en-US" w:eastAsia="zh-CN" w:bidi="ar"/>
        </w:rPr>
        <w:t>指标2：举办党风廉政活动完成率 ，指标值：&gt;=95%，年中监控完成值：0%，自评完成值：100%，指标完成率</w:t>
      </w:r>
      <w:r>
        <w:rPr>
          <w:rFonts w:hint="eastAsia" w:ascii="Times New Roman" w:hAnsi="Times New Roman" w:eastAsia="仿宋" w:cs="仿宋"/>
          <w:bCs/>
          <w:color w:val="auto"/>
          <w:sz w:val="32"/>
          <w:szCs w:val="32"/>
          <w:lang w:val="en-US" w:eastAsia="zh-CN" w:bidi="ar"/>
        </w:rPr>
        <w:t>105.26%，偏差5.26%</w:t>
      </w:r>
      <w:r>
        <w:rPr>
          <w:rFonts w:hint="eastAsia" w:ascii="Times New Roman" w:hAnsi="Times New Roman" w:eastAsia="仿宋" w:cs="仿宋"/>
          <w:bCs/>
          <w:color w:val="000000"/>
          <w:sz w:val="32"/>
          <w:szCs w:val="32"/>
          <w:lang w:val="en-US" w:eastAsia="zh-CN" w:bidi="ar"/>
        </w:rPr>
        <w:t>，偏差</w:t>
      </w:r>
      <w:r>
        <w:rPr>
          <w:rFonts w:hint="eastAsia" w:ascii="Times New Roman" w:hAnsi="Times New Roman" w:eastAsia="仿宋" w:cs="仿宋"/>
          <w:bCs/>
          <w:color w:val="auto"/>
          <w:sz w:val="32"/>
          <w:szCs w:val="32"/>
          <w:lang w:val="en-US" w:eastAsia="zh-CN" w:bidi="ar"/>
        </w:rPr>
        <w:t>原因及改进措施：举办党风廉政活动实际完成率100%，加强预算管理，进一步细化指标设置。指标成效分析：通过举办党风廉政活动工作，营造和弘扬了崇尚廉洁、抵制腐败的良好风尚。</w:t>
      </w:r>
    </w:p>
    <w:p>
      <w:pPr>
        <w:keepNext w:val="0"/>
        <w:keepLines w:val="0"/>
        <w:pageBreakBefore w:val="0"/>
        <w:numPr>
          <w:ilvl w:val="0"/>
          <w:numId w:val="0"/>
        </w:numPr>
        <w:kinsoku/>
        <w:wordWrap/>
        <w:overflowPunct/>
        <w:topLinePunct w:val="0"/>
        <w:autoSpaceDE/>
        <w:autoSpaceDN/>
        <w:bidi w:val="0"/>
        <w:adjustRightInd/>
        <w:snapToGrid w:val="0"/>
        <w:spacing w:line="560" w:lineRule="exact"/>
        <w:ind w:left="1368" w:leftChars="0" w:hanging="720" w:firstLineChars="0"/>
        <w:textAlignment w:val="auto"/>
        <w:outlineLvl w:val="0"/>
        <w:rPr>
          <w:rFonts w:hint="eastAsia" w:ascii="Times New Roman" w:hAnsi="Times New Roman" w:eastAsia="黑体" w:cs="宋体"/>
          <w:bCs/>
          <w:color w:val="333333"/>
          <w:kern w:val="2"/>
          <w:sz w:val="32"/>
          <w:szCs w:val="32"/>
          <w:lang w:val="en-US" w:eastAsia="zh-CN" w:bidi="ar"/>
        </w:rPr>
      </w:pPr>
      <w:bookmarkStart w:id="21" w:name="_Toc7253"/>
      <w:r>
        <w:rPr>
          <w:rFonts w:hint="eastAsia" w:ascii="Times New Roman" w:hAnsi="Times New Roman" w:eastAsia="黑体" w:cs="宋体"/>
          <w:bCs/>
          <w:color w:val="333333"/>
          <w:kern w:val="2"/>
          <w:sz w:val="32"/>
          <w:szCs w:val="32"/>
          <w:lang w:val="en-US" w:eastAsia="zh-CN" w:bidi="ar"/>
        </w:rPr>
        <w:t>四、评价结论</w:t>
      </w:r>
      <w:bookmarkEnd w:id="21"/>
    </w:p>
    <w:p>
      <w:pPr>
        <w:keepNext w:val="0"/>
        <w:keepLines w:val="0"/>
        <w:pageBreakBefore w:val="0"/>
        <w:kinsoku/>
        <w:wordWrap/>
        <w:overflowPunct/>
        <w:topLinePunct w:val="0"/>
        <w:autoSpaceDE/>
        <w:autoSpaceDN/>
        <w:bidi w:val="0"/>
        <w:adjustRightInd/>
        <w:spacing w:line="560" w:lineRule="exact"/>
        <w:ind w:firstLine="564" w:firstLineChars="181"/>
        <w:textAlignment w:val="auto"/>
        <w:rPr>
          <w:rStyle w:val="12"/>
          <w:rFonts w:hint="eastAsia" w:ascii="Times New Roman" w:hAnsi="Times New Roman" w:eastAsia="仿宋" w:cs="仿宋"/>
          <w:b w:val="0"/>
          <w:spacing w:val="-4"/>
          <w:sz w:val="32"/>
          <w:szCs w:val="32"/>
          <w:lang w:eastAsia="zh-CN"/>
        </w:rPr>
      </w:pPr>
      <w:r>
        <w:rPr>
          <w:rStyle w:val="12"/>
          <w:rFonts w:hint="eastAsia" w:ascii="Times New Roman" w:hAnsi="Times New Roman" w:eastAsia="仿宋" w:cs="仿宋"/>
          <w:b w:val="0"/>
          <w:spacing w:val="-4"/>
          <w:sz w:val="32"/>
          <w:szCs w:val="32"/>
        </w:rPr>
        <w:t>20</w:t>
      </w:r>
      <w:r>
        <w:rPr>
          <w:rStyle w:val="12"/>
          <w:rFonts w:hint="eastAsia" w:ascii="Times New Roman" w:hAnsi="Times New Roman" w:eastAsia="仿宋" w:cs="仿宋"/>
          <w:b w:val="0"/>
          <w:spacing w:val="-4"/>
          <w:sz w:val="32"/>
          <w:szCs w:val="32"/>
          <w:lang w:val="en-US" w:eastAsia="zh-CN"/>
        </w:rPr>
        <w:t>24</w:t>
      </w:r>
      <w:r>
        <w:rPr>
          <w:rStyle w:val="12"/>
          <w:rFonts w:hint="eastAsia" w:ascii="Times New Roman" w:hAnsi="Times New Roman" w:eastAsia="仿宋" w:cs="仿宋"/>
          <w:b w:val="0"/>
          <w:spacing w:val="-4"/>
          <w:sz w:val="32"/>
          <w:szCs w:val="32"/>
        </w:rPr>
        <w:t>年度部门整体支出绩效</w:t>
      </w:r>
      <w:r>
        <w:rPr>
          <w:rStyle w:val="12"/>
          <w:rFonts w:hint="eastAsia" w:ascii="Times New Roman" w:hAnsi="Times New Roman" w:eastAsia="仿宋" w:cs="仿宋"/>
          <w:b w:val="0"/>
          <w:spacing w:val="-4"/>
          <w:sz w:val="32"/>
          <w:szCs w:val="32"/>
          <w:lang w:val="en-US" w:eastAsia="zh-CN"/>
        </w:rPr>
        <w:t>评价</w:t>
      </w:r>
      <w:r>
        <w:rPr>
          <w:rStyle w:val="12"/>
          <w:rFonts w:hint="eastAsia" w:ascii="Times New Roman" w:hAnsi="Times New Roman" w:eastAsia="仿宋" w:cs="仿宋"/>
          <w:b w:val="0"/>
          <w:spacing w:val="-4"/>
          <w:sz w:val="32"/>
          <w:szCs w:val="32"/>
        </w:rPr>
        <w:t>综合得分</w:t>
      </w:r>
      <w:r>
        <w:rPr>
          <w:rStyle w:val="12"/>
          <w:rFonts w:hint="eastAsia" w:ascii="Times New Roman" w:hAnsi="Times New Roman" w:eastAsia="仿宋" w:cs="仿宋"/>
          <w:b w:val="0"/>
          <w:spacing w:val="-4"/>
          <w:sz w:val="32"/>
          <w:szCs w:val="32"/>
          <w:lang w:val="en-US" w:eastAsia="zh-CN"/>
        </w:rPr>
        <w:t>99.96</w:t>
      </w:r>
      <w:r>
        <w:rPr>
          <w:rStyle w:val="12"/>
          <w:rFonts w:hint="eastAsia" w:ascii="Times New Roman" w:hAnsi="Times New Roman" w:eastAsia="仿宋" w:cs="仿宋"/>
          <w:b w:val="0"/>
          <w:spacing w:val="-4"/>
          <w:sz w:val="32"/>
          <w:szCs w:val="32"/>
        </w:rPr>
        <w:t>分，评价结果为“</w:t>
      </w:r>
      <w:r>
        <w:rPr>
          <w:rStyle w:val="12"/>
          <w:rFonts w:hint="eastAsia" w:ascii="Times New Roman" w:hAnsi="Times New Roman" w:eastAsia="仿宋" w:cs="仿宋"/>
          <w:b w:val="0"/>
          <w:spacing w:val="-4"/>
          <w:sz w:val="32"/>
          <w:szCs w:val="32"/>
          <w:lang w:val="en-US" w:eastAsia="zh-CN"/>
        </w:rPr>
        <w:t>优</w:t>
      </w:r>
      <w:r>
        <w:rPr>
          <w:rStyle w:val="12"/>
          <w:rFonts w:hint="eastAsia" w:ascii="Times New Roman" w:hAnsi="Times New Roman" w:eastAsia="仿宋" w:cs="仿宋"/>
          <w:b w:val="0"/>
          <w:spacing w:val="-4"/>
          <w:sz w:val="32"/>
          <w:szCs w:val="32"/>
        </w:rPr>
        <w:t>”。</w:t>
      </w:r>
    </w:p>
    <w:p>
      <w:pPr>
        <w:keepNext w:val="0"/>
        <w:keepLines w:val="0"/>
        <w:pageBreakBefore w:val="0"/>
        <w:numPr>
          <w:ilvl w:val="0"/>
          <w:numId w:val="0"/>
        </w:numPr>
        <w:kinsoku/>
        <w:wordWrap/>
        <w:overflowPunct/>
        <w:topLinePunct w:val="0"/>
        <w:autoSpaceDE/>
        <w:autoSpaceDN/>
        <w:bidi w:val="0"/>
        <w:adjustRightInd/>
        <w:snapToGrid w:val="0"/>
        <w:spacing w:line="560" w:lineRule="exact"/>
        <w:ind w:left="1368" w:leftChars="0" w:hanging="720" w:firstLineChars="0"/>
        <w:textAlignment w:val="auto"/>
        <w:outlineLvl w:val="0"/>
        <w:rPr>
          <w:rFonts w:hint="eastAsia" w:ascii="Times New Roman" w:hAnsi="Times New Roman" w:eastAsia="黑体" w:cs="宋体"/>
          <w:bCs/>
          <w:color w:val="333333"/>
          <w:sz w:val="32"/>
          <w:szCs w:val="32"/>
          <w:lang w:bidi="ar"/>
        </w:rPr>
      </w:pPr>
      <w:bookmarkStart w:id="22" w:name="_Toc12815"/>
      <w:r>
        <w:rPr>
          <w:rFonts w:hint="eastAsia" w:ascii="Times New Roman" w:hAnsi="Times New Roman" w:eastAsia="黑体" w:cs="宋体"/>
          <w:bCs/>
          <w:color w:val="333333"/>
          <w:kern w:val="2"/>
          <w:sz w:val="32"/>
          <w:szCs w:val="32"/>
          <w:lang w:val="en-US" w:eastAsia="zh-CN" w:bidi="ar"/>
        </w:rPr>
        <w:t>五</w:t>
      </w:r>
      <w:r>
        <w:rPr>
          <w:rFonts w:hint="default" w:ascii="Times New Roman" w:hAnsi="Times New Roman" w:eastAsia="黑体" w:cs="宋体"/>
          <w:bCs/>
          <w:color w:val="333333"/>
          <w:kern w:val="2"/>
          <w:sz w:val="32"/>
          <w:szCs w:val="32"/>
          <w:lang w:val="en-US" w:eastAsia="zh-CN" w:bidi="ar"/>
        </w:rPr>
        <w:t>、</w:t>
      </w:r>
      <w:r>
        <w:rPr>
          <w:rFonts w:hint="eastAsia" w:ascii="Times New Roman" w:hAnsi="Times New Roman" w:eastAsia="黑体" w:cs="宋体"/>
          <w:bCs/>
          <w:color w:val="333333"/>
          <w:sz w:val="32"/>
          <w:szCs w:val="32"/>
          <w:lang w:bidi="ar"/>
        </w:rPr>
        <w:t>存在的主要问题</w:t>
      </w:r>
      <w:bookmarkEnd w:id="22"/>
    </w:p>
    <w:p>
      <w:pPr>
        <w:keepNext w:val="0"/>
        <w:keepLines w:val="0"/>
        <w:pageBreakBefore w:val="0"/>
        <w:widowControl/>
        <w:suppressLineNumbers w:val="0"/>
        <w:kinsoku/>
        <w:wordWrap/>
        <w:overflowPunct/>
        <w:topLinePunct w:val="0"/>
        <w:autoSpaceDE/>
        <w:autoSpaceDN/>
        <w:bidi w:val="0"/>
        <w:adjustRightInd/>
        <w:spacing w:line="560" w:lineRule="exact"/>
        <w:ind w:firstLine="643" w:firstLineChars="200"/>
        <w:jc w:val="left"/>
        <w:textAlignment w:val="auto"/>
        <w:outlineLvl w:val="1"/>
        <w:rPr>
          <w:rFonts w:hint="eastAsia" w:ascii="Times New Roman" w:hAnsi="Times New Roman" w:eastAsia="楷体" w:cs="楷体"/>
          <w:b/>
          <w:bCs w:val="0"/>
          <w:color w:val="auto"/>
          <w:sz w:val="32"/>
          <w:szCs w:val="32"/>
          <w:highlight w:val="none"/>
          <w:lang w:val="en-US" w:eastAsia="zh-CN" w:bidi="ar"/>
        </w:rPr>
      </w:pPr>
      <w:bookmarkStart w:id="23" w:name="_Toc9758"/>
      <w:r>
        <w:rPr>
          <w:rFonts w:hint="eastAsia" w:ascii="Times New Roman" w:hAnsi="Times New Roman" w:eastAsia="楷体" w:cs="楷体"/>
          <w:b/>
          <w:bCs w:val="0"/>
          <w:color w:val="auto"/>
          <w:sz w:val="32"/>
          <w:szCs w:val="32"/>
          <w:highlight w:val="none"/>
          <w:lang w:val="en-US" w:eastAsia="zh-CN" w:bidi="ar"/>
        </w:rPr>
        <w:t>（一）绩效指标设置不够明确</w:t>
      </w:r>
      <w:bookmarkEnd w:id="23"/>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eastAsia" w:ascii="Times New Roman" w:hAnsi="Times New Roman" w:eastAsia="仿宋" w:cs="仿宋"/>
          <w:bCs/>
          <w:color w:val="auto"/>
          <w:sz w:val="32"/>
          <w:szCs w:val="32"/>
          <w:highlight w:val="none"/>
          <w:lang w:val="en-US" w:eastAsia="zh-CN" w:bidi="ar"/>
        </w:rPr>
      </w:pPr>
      <w:r>
        <w:rPr>
          <w:rFonts w:hint="eastAsia" w:ascii="Times New Roman" w:hAnsi="Times New Roman" w:eastAsia="仿宋" w:cs="仿宋"/>
          <w:bCs/>
          <w:color w:val="auto"/>
          <w:sz w:val="32"/>
          <w:szCs w:val="32"/>
          <w:highlight w:val="none"/>
          <w:lang w:val="en-US" w:eastAsia="zh-CN" w:bidi="ar"/>
        </w:rPr>
        <w:t>我单位部分绩效指标设置存在不够精简、指标数据无法统计和指标值设置过低等问题，指标设置的科学性、合理性有待进一步提高。</w:t>
      </w:r>
    </w:p>
    <w:p>
      <w:pPr>
        <w:keepNext w:val="0"/>
        <w:keepLines w:val="0"/>
        <w:pageBreakBefore w:val="0"/>
        <w:widowControl/>
        <w:suppressLineNumbers w:val="0"/>
        <w:kinsoku/>
        <w:wordWrap/>
        <w:overflowPunct/>
        <w:topLinePunct w:val="0"/>
        <w:autoSpaceDE/>
        <w:autoSpaceDN/>
        <w:bidi w:val="0"/>
        <w:adjustRightInd/>
        <w:spacing w:line="560" w:lineRule="exact"/>
        <w:ind w:firstLine="643" w:firstLineChars="200"/>
        <w:jc w:val="left"/>
        <w:textAlignment w:val="auto"/>
        <w:outlineLvl w:val="1"/>
        <w:rPr>
          <w:rFonts w:hint="eastAsia" w:ascii="Times New Roman" w:hAnsi="Times New Roman" w:eastAsia="楷体" w:cs="楷体"/>
          <w:b/>
          <w:bCs w:val="0"/>
          <w:color w:val="auto"/>
          <w:sz w:val="32"/>
          <w:szCs w:val="32"/>
          <w:highlight w:val="none"/>
          <w:lang w:val="en-US" w:eastAsia="zh-CN" w:bidi="ar"/>
        </w:rPr>
      </w:pPr>
      <w:bookmarkStart w:id="24" w:name="_Toc2729"/>
      <w:r>
        <w:rPr>
          <w:rFonts w:hint="eastAsia" w:ascii="Times New Roman" w:hAnsi="Times New Roman" w:eastAsia="楷体" w:cs="楷体"/>
          <w:b/>
          <w:bCs w:val="0"/>
          <w:color w:val="auto"/>
          <w:sz w:val="32"/>
          <w:szCs w:val="32"/>
          <w:highlight w:val="none"/>
          <w:lang w:val="en-US" w:eastAsia="zh-CN" w:bidi="ar"/>
        </w:rPr>
        <w:t>（二）固定资产账务管理不够细致、严谨</w:t>
      </w:r>
      <w:bookmarkEnd w:id="24"/>
    </w:p>
    <w:p>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eastAsia" w:ascii="Times New Roman" w:hAnsi="Times New Roman" w:eastAsia="仿宋" w:cs="仿宋"/>
          <w:bCs/>
          <w:color w:val="auto"/>
          <w:sz w:val="32"/>
          <w:szCs w:val="32"/>
          <w:highlight w:val="none"/>
          <w:lang w:val="en-US" w:eastAsia="zh-CN" w:bidi="ar"/>
        </w:rPr>
      </w:pPr>
      <w:r>
        <w:rPr>
          <w:rFonts w:hint="eastAsia" w:ascii="Times New Roman" w:hAnsi="Times New Roman" w:eastAsia="仿宋" w:cs="仿宋"/>
          <w:bCs/>
          <w:color w:val="auto"/>
          <w:sz w:val="32"/>
          <w:szCs w:val="32"/>
          <w:highlight w:val="none"/>
          <w:lang w:val="en-US" w:eastAsia="zh-CN" w:bidi="ar"/>
        </w:rPr>
        <w:t>抽查发现，固定资产账务管理普遍存在入账不及时、漏入、入账信息、金额不准确或资产台账未登记到具体使用人等问题。</w:t>
      </w:r>
    </w:p>
    <w:p>
      <w:pPr>
        <w:keepNext w:val="0"/>
        <w:keepLines w:val="0"/>
        <w:pageBreakBefore w:val="0"/>
        <w:widowControl/>
        <w:suppressLineNumbers w:val="0"/>
        <w:kinsoku/>
        <w:wordWrap/>
        <w:overflowPunct/>
        <w:topLinePunct w:val="0"/>
        <w:autoSpaceDE/>
        <w:autoSpaceDN/>
        <w:bidi w:val="0"/>
        <w:adjustRightInd/>
        <w:spacing w:line="560" w:lineRule="exact"/>
        <w:ind w:firstLine="643" w:firstLineChars="200"/>
        <w:jc w:val="left"/>
        <w:textAlignment w:val="auto"/>
        <w:outlineLvl w:val="1"/>
        <w:rPr>
          <w:rFonts w:hint="default" w:ascii="Times New Roman" w:hAnsi="Times New Roman" w:eastAsia="楷体" w:cs="楷体"/>
          <w:b/>
          <w:bCs w:val="0"/>
          <w:color w:val="auto"/>
          <w:sz w:val="32"/>
          <w:szCs w:val="32"/>
          <w:highlight w:val="none"/>
          <w:lang w:val="en-US" w:eastAsia="zh-CN" w:bidi="ar"/>
        </w:rPr>
      </w:pPr>
      <w:bookmarkStart w:id="25" w:name="_Toc14737"/>
      <w:r>
        <w:rPr>
          <w:rFonts w:hint="eastAsia" w:ascii="Times New Roman" w:hAnsi="Times New Roman" w:eastAsia="楷体" w:cs="楷体"/>
          <w:b/>
          <w:bCs w:val="0"/>
          <w:color w:val="auto"/>
          <w:sz w:val="32"/>
          <w:szCs w:val="32"/>
          <w:highlight w:val="none"/>
          <w:lang w:val="en-US" w:eastAsia="zh-CN" w:bidi="ar"/>
        </w:rPr>
        <w:t>（三）</w:t>
      </w:r>
      <w:r>
        <w:rPr>
          <w:rFonts w:hint="default" w:ascii="Times New Roman" w:hAnsi="Times New Roman" w:eastAsia="楷体" w:cs="楷体"/>
          <w:b/>
          <w:bCs w:val="0"/>
          <w:color w:val="auto"/>
          <w:sz w:val="32"/>
          <w:szCs w:val="32"/>
          <w:highlight w:val="none"/>
          <w:lang w:val="en-US" w:eastAsia="zh-CN" w:bidi="ar"/>
        </w:rPr>
        <w:t>项目监督工作存在薄弱环节</w:t>
      </w:r>
      <w:bookmarkEnd w:id="25"/>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eastAsia" w:ascii="Times New Roman" w:hAnsi="Times New Roman" w:eastAsia="仿宋" w:cs="仿宋"/>
          <w:bCs/>
          <w:color w:val="auto"/>
          <w:sz w:val="32"/>
          <w:szCs w:val="32"/>
          <w:highlight w:val="none"/>
          <w:lang w:val="en-US" w:eastAsia="zh-CN" w:bidi="ar"/>
        </w:rPr>
      </w:pPr>
      <w:r>
        <w:rPr>
          <w:rFonts w:hint="eastAsia" w:ascii="Times New Roman" w:hAnsi="Times New Roman" w:eastAsia="仿宋" w:cs="仿宋"/>
          <w:bCs/>
          <w:color w:val="auto"/>
          <w:sz w:val="32"/>
          <w:szCs w:val="32"/>
          <w:highlight w:val="none"/>
          <w:lang w:val="en-US" w:eastAsia="zh-CN" w:bidi="ar"/>
        </w:rPr>
        <w:t>项目实施过程中的上报、跟踪、反馈机制尚未真正形成，对项目资金的使用、实施等监管措施仍然存在改进的空间。</w:t>
      </w:r>
    </w:p>
    <w:p>
      <w:pPr>
        <w:keepNext w:val="0"/>
        <w:keepLines w:val="0"/>
        <w:pageBreakBefore w:val="0"/>
        <w:numPr>
          <w:ilvl w:val="0"/>
          <w:numId w:val="0"/>
        </w:numPr>
        <w:kinsoku/>
        <w:wordWrap/>
        <w:overflowPunct/>
        <w:topLinePunct w:val="0"/>
        <w:autoSpaceDE/>
        <w:autoSpaceDN/>
        <w:bidi w:val="0"/>
        <w:adjustRightInd/>
        <w:snapToGrid w:val="0"/>
        <w:spacing w:line="560" w:lineRule="exact"/>
        <w:ind w:left="1368" w:leftChars="0" w:hanging="720" w:firstLineChars="0"/>
        <w:textAlignment w:val="auto"/>
        <w:outlineLvl w:val="0"/>
        <w:rPr>
          <w:rFonts w:hint="eastAsia" w:ascii="Times New Roman" w:hAnsi="Times New Roman" w:eastAsia="黑体" w:cs="宋体"/>
          <w:bCs/>
          <w:color w:val="auto"/>
          <w:sz w:val="32"/>
          <w:szCs w:val="32"/>
          <w:lang w:bidi="ar"/>
        </w:rPr>
      </w:pPr>
      <w:bookmarkStart w:id="26" w:name="_Toc31536"/>
      <w:r>
        <w:rPr>
          <w:rFonts w:hint="eastAsia" w:ascii="Times New Roman" w:hAnsi="Times New Roman" w:eastAsia="黑体" w:cs="宋体"/>
          <w:bCs/>
          <w:color w:val="auto"/>
          <w:kern w:val="2"/>
          <w:sz w:val="32"/>
          <w:szCs w:val="32"/>
          <w:lang w:val="en-US" w:eastAsia="zh-CN" w:bidi="ar"/>
        </w:rPr>
        <w:t>六</w:t>
      </w:r>
      <w:r>
        <w:rPr>
          <w:rFonts w:hint="default" w:ascii="Times New Roman" w:hAnsi="Times New Roman" w:eastAsia="黑体" w:cs="宋体"/>
          <w:bCs/>
          <w:color w:val="auto"/>
          <w:kern w:val="2"/>
          <w:sz w:val="32"/>
          <w:szCs w:val="32"/>
          <w:lang w:val="en-US" w:eastAsia="zh-CN" w:bidi="ar"/>
        </w:rPr>
        <w:t>、</w:t>
      </w:r>
      <w:r>
        <w:rPr>
          <w:rFonts w:hint="eastAsia" w:ascii="Times New Roman" w:hAnsi="Times New Roman" w:eastAsia="黑体" w:cs="宋体"/>
          <w:bCs/>
          <w:color w:val="auto"/>
          <w:sz w:val="32"/>
          <w:szCs w:val="32"/>
          <w:lang w:bidi="ar"/>
        </w:rPr>
        <w:t>改进措施和建议</w:t>
      </w:r>
      <w:bookmarkEnd w:id="26"/>
    </w:p>
    <w:p>
      <w:pPr>
        <w:keepNext w:val="0"/>
        <w:keepLines w:val="0"/>
        <w:pageBreakBefore w:val="0"/>
        <w:widowControl/>
        <w:suppressLineNumbers w:val="0"/>
        <w:kinsoku/>
        <w:wordWrap/>
        <w:overflowPunct/>
        <w:topLinePunct w:val="0"/>
        <w:autoSpaceDE/>
        <w:autoSpaceDN/>
        <w:bidi w:val="0"/>
        <w:adjustRightInd/>
        <w:spacing w:line="560" w:lineRule="exact"/>
        <w:ind w:firstLine="643" w:firstLineChars="200"/>
        <w:jc w:val="left"/>
        <w:textAlignment w:val="auto"/>
        <w:outlineLvl w:val="1"/>
        <w:rPr>
          <w:rFonts w:hint="eastAsia" w:ascii="Times New Roman" w:hAnsi="Times New Roman" w:eastAsia="楷体" w:cs="楷体"/>
          <w:b/>
          <w:bCs w:val="0"/>
          <w:color w:val="auto"/>
          <w:sz w:val="32"/>
          <w:szCs w:val="32"/>
          <w:lang w:val="en-US" w:eastAsia="zh-CN" w:bidi="ar"/>
        </w:rPr>
      </w:pPr>
      <w:bookmarkStart w:id="27" w:name="_Toc24446"/>
      <w:r>
        <w:rPr>
          <w:rFonts w:hint="eastAsia" w:ascii="Times New Roman" w:hAnsi="Times New Roman" w:eastAsia="楷体" w:cs="楷体"/>
          <w:b/>
          <w:bCs w:val="0"/>
          <w:color w:val="auto"/>
          <w:sz w:val="32"/>
          <w:szCs w:val="32"/>
          <w:lang w:val="en-US" w:eastAsia="zh-CN" w:bidi="ar"/>
        </w:rPr>
        <w:t>（一）强化部门绩效管理体系建设</w:t>
      </w:r>
      <w:bookmarkEnd w:id="27"/>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both"/>
        <w:textAlignment w:val="auto"/>
        <w:rPr>
          <w:rFonts w:hint="eastAsia" w:ascii="Times New Roman" w:hAnsi="Times New Roman" w:eastAsia="仿宋" w:cs="仿宋"/>
          <w:bCs/>
          <w:color w:val="auto"/>
          <w:sz w:val="32"/>
          <w:szCs w:val="32"/>
          <w:lang w:val="en-US" w:eastAsia="zh-CN" w:bidi="ar"/>
        </w:rPr>
      </w:pPr>
      <w:r>
        <w:rPr>
          <w:rFonts w:hint="eastAsia" w:ascii="Times New Roman" w:hAnsi="Times New Roman" w:eastAsia="仿宋" w:cs="仿宋"/>
          <w:bCs/>
          <w:color w:val="auto"/>
          <w:sz w:val="32"/>
          <w:szCs w:val="32"/>
          <w:lang w:val="en-US" w:eastAsia="zh-CN" w:bidi="ar"/>
        </w:rPr>
        <w:t>一是建议以规章规则的形式，出台绩效管理制度，对绩效管理的目的、意义、性质和特点，以及组织实施绩效管理的程序、步骤、方法、原则和要求进行统一的规定。二是合理设置年度任务。提高各处室对部门中长期规划的重视程度，增强相关规划的落地性、导向性。三是探索符合部门工作特点的评价指标体系。在设定绩效目标时选取相关性强的量化指标，并注重选取符合实际工作情况的指标值。</w:t>
      </w:r>
    </w:p>
    <w:p>
      <w:pPr>
        <w:keepNext w:val="0"/>
        <w:keepLines w:val="0"/>
        <w:pageBreakBefore w:val="0"/>
        <w:widowControl/>
        <w:suppressLineNumbers w:val="0"/>
        <w:kinsoku/>
        <w:wordWrap/>
        <w:overflowPunct/>
        <w:topLinePunct w:val="0"/>
        <w:autoSpaceDE/>
        <w:autoSpaceDN/>
        <w:bidi w:val="0"/>
        <w:adjustRightInd/>
        <w:spacing w:line="560" w:lineRule="exact"/>
        <w:ind w:firstLine="643" w:firstLineChars="200"/>
        <w:jc w:val="left"/>
        <w:textAlignment w:val="auto"/>
        <w:outlineLvl w:val="1"/>
        <w:rPr>
          <w:rFonts w:hint="eastAsia" w:ascii="Times New Roman" w:hAnsi="Times New Roman" w:eastAsia="楷体" w:cs="楷体"/>
          <w:b/>
          <w:bCs w:val="0"/>
          <w:color w:val="auto"/>
          <w:sz w:val="32"/>
          <w:szCs w:val="32"/>
          <w:lang w:val="en-US" w:eastAsia="zh-CN" w:bidi="ar"/>
        </w:rPr>
      </w:pPr>
      <w:bookmarkStart w:id="28" w:name="_Toc14981"/>
      <w:r>
        <w:rPr>
          <w:rFonts w:hint="eastAsia" w:ascii="Times New Roman" w:hAnsi="Times New Roman" w:eastAsia="楷体" w:cs="楷体"/>
          <w:b/>
          <w:bCs w:val="0"/>
          <w:color w:val="auto"/>
          <w:sz w:val="32"/>
          <w:szCs w:val="32"/>
          <w:lang w:val="en-US" w:eastAsia="zh-CN" w:bidi="ar"/>
        </w:rPr>
        <w:t>（二）加强固定资产账务管理，确保账实相符</w:t>
      </w:r>
      <w:bookmarkEnd w:id="28"/>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eastAsia" w:ascii="Times New Roman" w:hAnsi="Times New Roman" w:eastAsia="仿宋" w:cs="仿宋"/>
          <w:bCs/>
          <w:color w:val="auto"/>
          <w:sz w:val="32"/>
          <w:szCs w:val="32"/>
          <w:lang w:val="en-US" w:eastAsia="zh-CN" w:bidi="ar"/>
        </w:rPr>
      </w:pPr>
      <w:r>
        <w:rPr>
          <w:rFonts w:hint="eastAsia" w:ascii="Times New Roman" w:hAnsi="Times New Roman" w:eastAsia="仿宋" w:cs="仿宋"/>
          <w:bCs/>
          <w:color w:val="auto"/>
          <w:sz w:val="32"/>
          <w:szCs w:val="32"/>
          <w:lang w:val="en-US" w:eastAsia="zh-CN" w:bidi="ar"/>
        </w:rPr>
        <w:t>针对抽查发现的问题，查找根源并改进，建议：一是加强年度政府采购台账和固定资产台账信息的比对，避免资产漏入、少入或录入不及时，二是资产领用应尽可能明确到具体使用人。三是资产入账时相关人员应再次确认发票、合同信息，避免基础信息录入错误。</w:t>
      </w:r>
    </w:p>
    <w:p>
      <w:pPr>
        <w:keepNext w:val="0"/>
        <w:keepLines w:val="0"/>
        <w:pageBreakBefore w:val="0"/>
        <w:widowControl/>
        <w:suppressLineNumbers w:val="0"/>
        <w:kinsoku/>
        <w:wordWrap/>
        <w:overflowPunct/>
        <w:topLinePunct w:val="0"/>
        <w:autoSpaceDE/>
        <w:autoSpaceDN/>
        <w:bidi w:val="0"/>
        <w:adjustRightInd/>
        <w:spacing w:line="560" w:lineRule="exact"/>
        <w:ind w:firstLine="643" w:firstLineChars="200"/>
        <w:jc w:val="both"/>
        <w:textAlignment w:val="auto"/>
        <w:outlineLvl w:val="1"/>
        <w:rPr>
          <w:rFonts w:hint="eastAsia" w:ascii="Times New Roman" w:hAnsi="Times New Roman" w:eastAsia="楷体" w:cs="楷体"/>
          <w:b/>
          <w:bCs w:val="0"/>
          <w:color w:val="auto"/>
          <w:sz w:val="32"/>
          <w:szCs w:val="32"/>
          <w:lang w:val="en-US" w:eastAsia="zh-CN" w:bidi="ar"/>
        </w:rPr>
      </w:pPr>
      <w:bookmarkStart w:id="29" w:name="_Toc18250"/>
      <w:r>
        <w:rPr>
          <w:rFonts w:hint="eastAsia" w:ascii="Times New Roman" w:hAnsi="Times New Roman" w:eastAsia="楷体" w:cs="楷体"/>
          <w:b/>
          <w:bCs w:val="0"/>
          <w:color w:val="auto"/>
          <w:sz w:val="32"/>
          <w:szCs w:val="32"/>
          <w:lang w:val="en-US" w:eastAsia="zh-CN" w:bidi="ar"/>
        </w:rPr>
        <w:t>（三）建立动态分析管理机制，提高项目监管主动性</w:t>
      </w:r>
      <w:bookmarkEnd w:id="29"/>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both"/>
        <w:textAlignment w:val="auto"/>
        <w:rPr>
          <w:rFonts w:hint="eastAsia" w:ascii="Times New Roman" w:hAnsi="Times New Roman" w:eastAsia="仿宋_GB2312" w:cs="仿宋_GB2312"/>
          <w:bCs/>
          <w:color w:val="auto"/>
          <w:sz w:val="32"/>
          <w:szCs w:val="32"/>
          <w:lang w:val="en-US" w:eastAsia="zh-CN" w:bidi="ar"/>
        </w:rPr>
      </w:pPr>
      <w:r>
        <w:rPr>
          <w:rFonts w:hint="eastAsia" w:ascii="Times New Roman" w:hAnsi="Times New Roman" w:eastAsia="仿宋" w:cs="仿宋"/>
          <w:bCs/>
          <w:color w:val="auto"/>
          <w:sz w:val="32"/>
          <w:szCs w:val="32"/>
          <w:lang w:val="en-US" w:eastAsia="zh-CN" w:bidi="ar"/>
        </w:rPr>
        <w:t>业务部门进行指导、监督和检查时进一步加强主动性，积极探索更有效和积极主动的监管方式。一方面要建立重点项目实施过程的反馈机制，依托相关信息平台，加大对重点部门、重点项目的监控力度，并建立对重点项目实施情况按月度上报机制，及时督促相关地区对政策的落地执行，提高对项目的整体把控能力。另一方面积极主动下基层进行抽查和检查，强化对基层单位和“微权力”的管理监督。同时进一步扩大抽查覆盖面，或聘请专业第三方机构对项目运行情况进行事中、事后监控。</w:t>
      </w:r>
    </w:p>
    <w:p>
      <w:pPr>
        <w:pStyle w:val="20"/>
        <w:keepNext w:val="0"/>
        <w:keepLines w:val="0"/>
        <w:pageBreakBefore w:val="0"/>
        <w:numPr>
          <w:ilvl w:val="0"/>
          <w:numId w:val="0"/>
        </w:numPr>
        <w:kinsoku/>
        <w:wordWrap/>
        <w:overflowPunct/>
        <w:topLinePunct w:val="0"/>
        <w:autoSpaceDE/>
        <w:autoSpaceDN/>
        <w:bidi w:val="0"/>
        <w:adjustRightInd/>
        <w:snapToGrid w:val="0"/>
        <w:spacing w:line="560" w:lineRule="exact"/>
        <w:ind w:left="1360" w:leftChars="0" w:hanging="720" w:firstLineChars="0"/>
        <w:textAlignment w:val="auto"/>
        <w:outlineLvl w:val="0"/>
        <w:rPr>
          <w:rStyle w:val="12"/>
          <w:rFonts w:ascii="Times New Roman" w:hAnsi="Times New Roman" w:eastAsia="仿宋_GB2312"/>
          <w:b w:val="0"/>
          <w:spacing w:val="-4"/>
          <w:sz w:val="32"/>
          <w:szCs w:val="32"/>
        </w:rPr>
      </w:pPr>
      <w:bookmarkStart w:id="30" w:name="_Toc26203"/>
      <w:r>
        <w:rPr>
          <w:rFonts w:hint="eastAsia" w:ascii="Times New Roman" w:hAnsi="Times New Roman" w:eastAsia="黑体" w:cs="Times New Roman"/>
          <w:b w:val="0"/>
          <w:bCs/>
          <w:color w:val="auto"/>
          <w:spacing w:val="-4"/>
          <w:kern w:val="2"/>
          <w:sz w:val="32"/>
          <w:szCs w:val="32"/>
          <w:lang w:val="en-US" w:eastAsia="zh-CN" w:bidi="ar-SA"/>
        </w:rPr>
        <w:t>七</w:t>
      </w:r>
      <w:r>
        <w:rPr>
          <w:rFonts w:hint="default" w:ascii="Times New Roman" w:hAnsi="Times New Roman" w:eastAsia="黑体" w:cs="Times New Roman"/>
          <w:b w:val="0"/>
          <w:bCs/>
          <w:color w:val="auto"/>
          <w:spacing w:val="-4"/>
          <w:kern w:val="2"/>
          <w:sz w:val="32"/>
          <w:szCs w:val="32"/>
          <w:lang w:val="en-US" w:eastAsia="zh-CN" w:bidi="ar-SA"/>
        </w:rPr>
        <w:t>、</w:t>
      </w:r>
      <w:r>
        <w:rPr>
          <w:rStyle w:val="12"/>
          <w:rFonts w:hint="eastAsia" w:ascii="Times New Roman" w:hAnsi="Times New Roman" w:eastAsia="黑体"/>
          <w:b w:val="0"/>
          <w:bCs w:val="0"/>
          <w:color w:val="auto"/>
          <w:spacing w:val="-4"/>
          <w:sz w:val="32"/>
          <w:szCs w:val="32"/>
        </w:rPr>
        <w:t>附表：</w:t>
      </w:r>
      <w:r>
        <w:rPr>
          <w:rStyle w:val="12"/>
          <w:rFonts w:hint="eastAsia" w:ascii="Times New Roman" w:hAnsi="Times New Roman" w:eastAsia="仿宋_GB2312"/>
          <w:b w:val="0"/>
          <w:color w:val="auto"/>
          <w:spacing w:val="-4"/>
          <w:sz w:val="32"/>
          <w:szCs w:val="32"/>
        </w:rPr>
        <w:t>《</w:t>
      </w:r>
      <w:r>
        <w:rPr>
          <w:rStyle w:val="12"/>
          <w:rFonts w:hint="eastAsia" w:ascii="Times New Roman" w:hAnsi="Times New Roman" w:eastAsia="仿宋_GB2312"/>
          <w:b w:val="0"/>
          <w:bCs w:val="0"/>
          <w:color w:val="auto"/>
          <w:spacing w:val="-4"/>
          <w:sz w:val="32"/>
          <w:szCs w:val="32"/>
        </w:rPr>
        <w:t>部门整体支出</w:t>
      </w:r>
      <w:r>
        <w:rPr>
          <w:rStyle w:val="12"/>
          <w:rFonts w:hint="eastAsia" w:ascii="Times New Roman" w:hAnsi="Times New Roman" w:eastAsia="仿宋_GB2312"/>
          <w:b w:val="0"/>
          <w:bCs w:val="0"/>
          <w:spacing w:val="-4"/>
          <w:sz w:val="32"/>
          <w:szCs w:val="32"/>
        </w:rPr>
        <w:t>绩效目标自评表</w:t>
      </w:r>
      <w:r>
        <w:rPr>
          <w:rStyle w:val="12"/>
          <w:rFonts w:hint="eastAsia" w:ascii="Times New Roman" w:hAnsi="Times New Roman" w:eastAsia="仿宋_GB2312"/>
          <w:b w:val="0"/>
          <w:spacing w:val="-4"/>
          <w:sz w:val="32"/>
          <w:szCs w:val="32"/>
        </w:rPr>
        <w:t>》</w:t>
      </w:r>
      <w:bookmarkEnd w:id="30"/>
    </w:p>
    <w:p>
      <w:pPr>
        <w:numPr>
          <w:ilvl w:val="0"/>
          <w:numId w:val="0"/>
        </w:numPr>
        <w:spacing w:line="540" w:lineRule="exact"/>
        <w:rPr>
          <w:rFonts w:hint="default" w:ascii="Times New Roman" w:hAnsi="Times New Roman" w:eastAsia="仿宋_GB2312"/>
          <w:b/>
          <w:bCs w:val="0"/>
          <w:spacing w:val="-4"/>
          <w:sz w:val="32"/>
          <w:szCs w:val="32"/>
          <w:lang w:val="en-US" w:eastAsia="zh-C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sectPr>
          <w:pgSz w:w="11906" w:h="16838"/>
          <w:pgMar w:top="1440" w:right="1800" w:bottom="1440" w:left="1800" w:header="851" w:footer="992" w:gutter="0"/>
          <w:cols w:space="720" w:num="1"/>
          <w:docGrid w:type="lines" w:linePitch="312" w:charSpace="0"/>
        </w:sectPr>
      </w:pPr>
    </w:p>
    <w:tbl>
      <w:tblPr>
        <w:tblStyle w:val="10"/>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65"/>
        <w:gridCol w:w="529"/>
        <w:gridCol w:w="1748"/>
        <w:gridCol w:w="532"/>
        <w:gridCol w:w="990"/>
        <w:gridCol w:w="2087"/>
        <w:gridCol w:w="695"/>
        <w:gridCol w:w="693"/>
        <w:gridCol w:w="5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8522" w:type="dxa"/>
            <w:gridSpan w:val="9"/>
            <w:tcBorders>
              <w:top w:val="nil"/>
              <w:left w:val="nil"/>
              <w:bottom w:val="nil"/>
              <w:right w:val="nil"/>
            </w:tcBorders>
            <w:noWrap w:val="0"/>
            <w:vAlign w:val="center"/>
          </w:tcPr>
          <w:p>
            <w:pPr>
              <w:keepNext w:val="0"/>
              <w:keepLines w:val="0"/>
              <w:widowControl/>
              <w:suppressLineNumbers w:val="0"/>
              <w:jc w:val="center"/>
              <w:textAlignment w:val="center"/>
              <w:rPr>
                <w:rFonts w:ascii="Times New Roman" w:hAnsi="Times New Roman" w:eastAsia="华文中宋" w:cs="华文中宋"/>
                <w:b/>
                <w:bCs/>
                <w:i w:val="0"/>
                <w:iCs w:val="0"/>
                <w:color w:val="000000"/>
                <w:sz w:val="40"/>
                <w:szCs w:val="40"/>
                <w:u w:val="none"/>
              </w:rPr>
            </w:pPr>
            <w:r>
              <w:rPr>
                <w:rFonts w:hint="default" w:ascii="Times New Roman" w:hAnsi="Times New Roman" w:eastAsia="华文中宋" w:cs="华文中宋"/>
                <w:b/>
                <w:bCs/>
                <w:i w:val="0"/>
                <w:iCs w:val="0"/>
                <w:color w:val="000000"/>
                <w:kern w:val="0"/>
                <w:sz w:val="40"/>
                <w:szCs w:val="40"/>
                <w:u w:val="none"/>
                <w:lang w:val="en-US" w:eastAsia="zh-CN" w:bidi="ar"/>
              </w:rPr>
              <w:t>部门（单位）整体支出绩效自评表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8522" w:type="dxa"/>
            <w:gridSpan w:val="9"/>
            <w:tcBorders>
              <w:top w:val="nil"/>
              <w:left w:val="nil"/>
              <w:bottom w:val="nil"/>
              <w:right w:val="nil"/>
            </w:tcBorders>
            <w:noWrap w:val="0"/>
            <w:vAlign w:val="center"/>
          </w:tcPr>
          <w:p>
            <w:pPr>
              <w:keepNext w:val="0"/>
              <w:keepLines w:val="0"/>
              <w:widowControl/>
              <w:suppressLineNumbers w:val="0"/>
              <w:jc w:val="center"/>
              <w:textAlignment w:val="center"/>
              <w:rPr>
                <w:rFonts w:hint="eastAsia" w:ascii="Times New Roman" w:hAnsi="Times New Roman" w:eastAsia="宋体" w:cs="宋体"/>
                <w:b/>
                <w:bCs/>
                <w:i w:val="0"/>
                <w:iCs w:val="0"/>
                <w:color w:val="000000"/>
                <w:sz w:val="24"/>
                <w:szCs w:val="24"/>
                <w:u w:val="none"/>
              </w:rPr>
            </w:pPr>
            <w:r>
              <w:rPr>
                <w:rFonts w:hint="eastAsia" w:ascii="Times New Roman" w:hAnsi="Times New Roman" w:eastAsia="宋体" w:cs="宋体"/>
                <w:b/>
                <w:bCs/>
                <w:i w:val="0"/>
                <w:iCs w:val="0"/>
                <w:color w:val="000000"/>
                <w:kern w:val="0"/>
                <w:sz w:val="24"/>
                <w:szCs w:val="24"/>
                <w:u w:val="none"/>
                <w:lang w:val="en-US" w:eastAsia="zh-CN" w:bidi="ar"/>
              </w:rPr>
              <w:t>（  2024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119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部门（单位）名称（盖章）</w:t>
            </w:r>
          </w:p>
        </w:tc>
        <w:tc>
          <w:tcPr>
            <w:tcW w:w="7328"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sz w:val="20"/>
                <w:szCs w:val="20"/>
                <w:u w:val="none"/>
              </w:rPr>
              <w:t>中国共产党霍尔果斯市纪律检查委员会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1194" w:type="dxa"/>
            <w:gridSpan w:val="2"/>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部门资金（万元）</w:t>
            </w:r>
          </w:p>
        </w:tc>
        <w:tc>
          <w:tcPr>
            <w:tcW w:w="1748"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资金来源</w:t>
            </w:r>
          </w:p>
        </w:tc>
        <w:tc>
          <w:tcPr>
            <w:tcW w:w="5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年初预算数</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全年预算数</w:t>
            </w:r>
          </w:p>
        </w:tc>
        <w:tc>
          <w:tcPr>
            <w:tcW w:w="20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全年执行数</w:t>
            </w:r>
          </w:p>
        </w:tc>
        <w:tc>
          <w:tcPr>
            <w:tcW w:w="6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分值权重</w:t>
            </w:r>
          </w:p>
        </w:tc>
        <w:tc>
          <w:tcPr>
            <w:tcW w:w="6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执行率</w:t>
            </w:r>
          </w:p>
        </w:tc>
        <w:tc>
          <w:tcPr>
            <w:tcW w:w="5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1194" w:type="dxa"/>
            <w:gridSpan w:val="2"/>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Times New Roman" w:hAnsi="Times New Roman" w:eastAsia="宋体" w:cs="宋体"/>
                <w:i w:val="0"/>
                <w:iCs w:val="0"/>
                <w:color w:val="000000"/>
                <w:sz w:val="20"/>
                <w:szCs w:val="20"/>
                <w:u w:val="none"/>
              </w:rPr>
            </w:pPr>
          </w:p>
        </w:tc>
        <w:tc>
          <w:tcPr>
            <w:tcW w:w="1748"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年度总资金</w:t>
            </w:r>
          </w:p>
        </w:tc>
        <w:tc>
          <w:tcPr>
            <w:tcW w:w="5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sz w:val="20"/>
                <w:szCs w:val="20"/>
                <w:u w:val="none"/>
              </w:rPr>
              <w:t>1,067.32</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宋体"/>
                <w:i w:val="0"/>
                <w:iCs w:val="0"/>
                <w:color w:val="000000"/>
                <w:sz w:val="20"/>
                <w:szCs w:val="20"/>
                <w:u w:val="none"/>
                <w:lang w:val="en-US" w:eastAsia="zh-CN"/>
              </w:rPr>
            </w:pPr>
            <w:r>
              <w:rPr>
                <w:rFonts w:hint="eastAsia" w:ascii="Times New Roman" w:hAnsi="Times New Roman" w:eastAsia="宋体" w:cs="宋体"/>
                <w:i w:val="0"/>
                <w:iCs w:val="0"/>
                <w:color w:val="000000"/>
                <w:sz w:val="20"/>
                <w:szCs w:val="20"/>
                <w:u w:val="none"/>
              </w:rPr>
              <w:t>118</w:t>
            </w:r>
            <w:r>
              <w:rPr>
                <w:rFonts w:hint="eastAsia" w:ascii="Times New Roman" w:hAnsi="Times New Roman" w:cs="宋体"/>
                <w:i w:val="0"/>
                <w:iCs w:val="0"/>
                <w:color w:val="000000"/>
                <w:sz w:val="20"/>
                <w:szCs w:val="20"/>
                <w:u w:val="none"/>
                <w:lang w:val="en-US" w:eastAsia="zh-CN"/>
              </w:rPr>
              <w:t>3.23</w:t>
            </w:r>
          </w:p>
        </w:tc>
        <w:tc>
          <w:tcPr>
            <w:tcW w:w="20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宋体"/>
                <w:i w:val="0"/>
                <w:iCs w:val="0"/>
                <w:color w:val="000000"/>
                <w:sz w:val="20"/>
                <w:szCs w:val="20"/>
                <w:u w:val="none"/>
                <w:lang w:val="en-US" w:eastAsia="zh-CN"/>
              </w:rPr>
            </w:pPr>
            <w:r>
              <w:rPr>
                <w:rFonts w:hint="eastAsia" w:ascii="Times New Roman" w:hAnsi="Times New Roman" w:cs="宋体"/>
                <w:i w:val="0"/>
                <w:iCs w:val="0"/>
                <w:color w:val="000000"/>
                <w:sz w:val="20"/>
                <w:szCs w:val="20"/>
                <w:u w:val="none"/>
                <w:lang w:val="en-US" w:eastAsia="zh-CN"/>
              </w:rPr>
              <w:t>1178.76</w:t>
            </w:r>
          </w:p>
        </w:tc>
        <w:tc>
          <w:tcPr>
            <w:tcW w:w="6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宋体"/>
                <w:i w:val="0"/>
                <w:iCs w:val="0"/>
                <w:color w:val="000000"/>
                <w:sz w:val="20"/>
                <w:szCs w:val="20"/>
                <w:u w:val="none"/>
                <w:lang w:val="en-US" w:eastAsia="zh-CN"/>
              </w:rPr>
            </w:pPr>
            <w:r>
              <w:rPr>
                <w:rFonts w:hint="eastAsia" w:ascii="Times New Roman" w:hAnsi="Times New Roman" w:cs="宋体"/>
                <w:i w:val="0"/>
                <w:iCs w:val="0"/>
                <w:color w:val="000000"/>
                <w:sz w:val="20"/>
                <w:szCs w:val="20"/>
                <w:u w:val="none"/>
                <w:lang w:val="en-US" w:eastAsia="zh-CN"/>
              </w:rPr>
              <w:t>10</w:t>
            </w:r>
          </w:p>
        </w:tc>
        <w:tc>
          <w:tcPr>
            <w:tcW w:w="6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宋体"/>
                <w:i w:val="0"/>
                <w:iCs w:val="0"/>
                <w:color w:val="000000"/>
                <w:sz w:val="20"/>
                <w:szCs w:val="20"/>
                <w:u w:val="none"/>
                <w:lang w:val="en-US" w:eastAsia="zh-CN"/>
              </w:rPr>
            </w:pPr>
            <w:r>
              <w:rPr>
                <w:rFonts w:hint="eastAsia" w:ascii="Times New Roman" w:hAnsi="Times New Roman" w:cs="宋体"/>
                <w:i w:val="0"/>
                <w:iCs w:val="0"/>
                <w:color w:val="000000"/>
                <w:sz w:val="20"/>
                <w:szCs w:val="20"/>
                <w:u w:val="none"/>
                <w:lang w:val="en-US" w:eastAsia="zh-CN"/>
              </w:rPr>
              <w:t>99.62%</w:t>
            </w:r>
          </w:p>
        </w:tc>
        <w:tc>
          <w:tcPr>
            <w:tcW w:w="5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宋体"/>
                <w:i w:val="0"/>
                <w:iCs w:val="0"/>
                <w:color w:val="000000"/>
                <w:sz w:val="20"/>
                <w:szCs w:val="20"/>
                <w:u w:val="none"/>
                <w:lang w:val="en-US" w:eastAsia="zh-CN"/>
              </w:rPr>
            </w:pPr>
            <w:r>
              <w:rPr>
                <w:rFonts w:hint="eastAsia" w:ascii="Times New Roman" w:hAnsi="Times New Roman" w:cs="宋体"/>
                <w:i w:val="0"/>
                <w:iCs w:val="0"/>
                <w:color w:val="000000"/>
                <w:sz w:val="20"/>
                <w:szCs w:val="20"/>
                <w:u w:val="none"/>
                <w:lang w:val="en-US" w:eastAsia="zh-CN"/>
              </w:rPr>
              <w:t>9.96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1194" w:type="dxa"/>
            <w:gridSpan w:val="2"/>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Times New Roman" w:hAnsi="Times New Roman" w:eastAsia="宋体" w:cs="宋体"/>
                <w:i w:val="0"/>
                <w:iCs w:val="0"/>
                <w:color w:val="000000"/>
                <w:sz w:val="20"/>
                <w:szCs w:val="20"/>
                <w:u w:val="none"/>
              </w:rPr>
            </w:pP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其中：上级安排（万元）</w:t>
            </w:r>
          </w:p>
        </w:tc>
        <w:tc>
          <w:tcPr>
            <w:tcW w:w="5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lang w:val="en-US" w:eastAsia="zh-CN"/>
              </w:rPr>
            </w:pPr>
            <w:r>
              <w:rPr>
                <w:rFonts w:hint="eastAsia" w:ascii="Times New Roman" w:hAnsi="Times New Roman" w:cs="宋体"/>
                <w:i w:val="0"/>
                <w:iCs w:val="0"/>
                <w:color w:val="000000"/>
                <w:sz w:val="20"/>
                <w:szCs w:val="20"/>
                <w:u w:val="none"/>
                <w:lang w:val="en-US" w:eastAsia="zh-CN"/>
              </w:rPr>
              <w:t>0</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lang w:val="en-US" w:eastAsia="zh-CN"/>
              </w:rPr>
            </w:pPr>
            <w:r>
              <w:rPr>
                <w:rFonts w:hint="eastAsia" w:ascii="Times New Roman" w:hAnsi="Times New Roman" w:cs="宋体"/>
                <w:i w:val="0"/>
                <w:iCs w:val="0"/>
                <w:color w:val="000000"/>
                <w:sz w:val="20"/>
                <w:szCs w:val="20"/>
                <w:u w:val="none"/>
                <w:lang w:val="en-US" w:eastAsia="zh-CN"/>
              </w:rPr>
              <w:t>0</w:t>
            </w:r>
          </w:p>
        </w:tc>
        <w:tc>
          <w:tcPr>
            <w:tcW w:w="20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lang w:val="en-US" w:eastAsia="zh-CN"/>
              </w:rPr>
            </w:pPr>
            <w:r>
              <w:rPr>
                <w:rFonts w:hint="eastAsia" w:ascii="Times New Roman" w:hAnsi="Times New Roman" w:cs="宋体"/>
                <w:i w:val="0"/>
                <w:iCs w:val="0"/>
                <w:color w:val="000000"/>
                <w:sz w:val="20"/>
                <w:szCs w:val="20"/>
                <w:u w:val="none"/>
                <w:lang w:val="en-US" w:eastAsia="zh-CN"/>
              </w:rPr>
              <w:t>0</w:t>
            </w:r>
          </w:p>
        </w:tc>
        <w:tc>
          <w:tcPr>
            <w:tcW w:w="6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4"/>
                <w:szCs w:val="24"/>
                <w:u w:val="none"/>
              </w:rPr>
            </w:pPr>
          </w:p>
        </w:tc>
        <w:tc>
          <w:tcPr>
            <w:tcW w:w="6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4"/>
                <w:szCs w:val="24"/>
                <w:u w:val="none"/>
              </w:rPr>
            </w:pPr>
          </w:p>
        </w:tc>
        <w:tc>
          <w:tcPr>
            <w:tcW w:w="5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1194" w:type="dxa"/>
            <w:gridSpan w:val="2"/>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Times New Roman" w:hAnsi="Times New Roman" w:eastAsia="宋体" w:cs="宋体"/>
                <w:i w:val="0"/>
                <w:iCs w:val="0"/>
                <w:color w:val="000000"/>
                <w:sz w:val="20"/>
                <w:szCs w:val="20"/>
                <w:u w:val="none"/>
              </w:rPr>
            </w:pP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本级安排（万元）</w:t>
            </w:r>
          </w:p>
        </w:tc>
        <w:tc>
          <w:tcPr>
            <w:tcW w:w="5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sz w:val="20"/>
                <w:szCs w:val="20"/>
                <w:u w:val="none"/>
              </w:rPr>
              <w:t>1,067.32</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sz w:val="20"/>
                <w:szCs w:val="20"/>
                <w:u w:val="none"/>
              </w:rPr>
              <w:t>118</w:t>
            </w:r>
            <w:r>
              <w:rPr>
                <w:rFonts w:hint="eastAsia" w:ascii="Times New Roman" w:hAnsi="Times New Roman" w:cs="宋体"/>
                <w:i w:val="0"/>
                <w:iCs w:val="0"/>
                <w:color w:val="000000"/>
                <w:sz w:val="20"/>
                <w:szCs w:val="20"/>
                <w:u w:val="none"/>
                <w:lang w:val="en-US" w:eastAsia="zh-CN"/>
              </w:rPr>
              <w:t>3.23</w:t>
            </w:r>
          </w:p>
        </w:tc>
        <w:tc>
          <w:tcPr>
            <w:tcW w:w="20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cs="宋体"/>
                <w:i w:val="0"/>
                <w:iCs w:val="0"/>
                <w:color w:val="000000"/>
                <w:sz w:val="20"/>
                <w:szCs w:val="20"/>
                <w:u w:val="none"/>
                <w:lang w:val="en-US" w:eastAsia="zh-CN"/>
              </w:rPr>
              <w:t>1178.76</w:t>
            </w:r>
          </w:p>
        </w:tc>
        <w:tc>
          <w:tcPr>
            <w:tcW w:w="6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4"/>
                <w:szCs w:val="24"/>
                <w:u w:val="none"/>
              </w:rPr>
            </w:pPr>
          </w:p>
        </w:tc>
        <w:tc>
          <w:tcPr>
            <w:tcW w:w="6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4"/>
                <w:szCs w:val="24"/>
                <w:u w:val="none"/>
              </w:rPr>
            </w:pPr>
          </w:p>
        </w:tc>
        <w:tc>
          <w:tcPr>
            <w:tcW w:w="5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1194" w:type="dxa"/>
            <w:gridSpan w:val="2"/>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Times New Roman" w:hAnsi="Times New Roman" w:eastAsia="宋体" w:cs="宋体"/>
                <w:i w:val="0"/>
                <w:iCs w:val="0"/>
                <w:color w:val="000000"/>
                <w:sz w:val="20"/>
                <w:szCs w:val="20"/>
                <w:u w:val="none"/>
              </w:rPr>
            </w:pPr>
          </w:p>
        </w:tc>
        <w:tc>
          <w:tcPr>
            <w:tcW w:w="1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其他资金（万元）</w:t>
            </w:r>
          </w:p>
        </w:tc>
        <w:tc>
          <w:tcPr>
            <w:tcW w:w="5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lang w:val="en-US" w:eastAsia="zh-CN"/>
              </w:rPr>
            </w:pPr>
            <w:r>
              <w:rPr>
                <w:rFonts w:hint="eastAsia" w:ascii="Times New Roman" w:hAnsi="Times New Roman" w:cs="宋体"/>
                <w:i w:val="0"/>
                <w:iCs w:val="0"/>
                <w:color w:val="000000"/>
                <w:sz w:val="20"/>
                <w:szCs w:val="20"/>
                <w:u w:val="none"/>
                <w:lang w:val="en-US" w:eastAsia="zh-CN"/>
              </w:rPr>
              <w:t>0</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lang w:val="en-US" w:eastAsia="zh-CN"/>
              </w:rPr>
            </w:pPr>
            <w:r>
              <w:rPr>
                <w:rFonts w:hint="eastAsia" w:ascii="Times New Roman" w:hAnsi="Times New Roman" w:cs="宋体"/>
                <w:i w:val="0"/>
                <w:iCs w:val="0"/>
                <w:color w:val="000000"/>
                <w:sz w:val="20"/>
                <w:szCs w:val="20"/>
                <w:u w:val="none"/>
                <w:lang w:val="en-US" w:eastAsia="zh-CN"/>
              </w:rPr>
              <w:t>0</w:t>
            </w:r>
          </w:p>
        </w:tc>
        <w:tc>
          <w:tcPr>
            <w:tcW w:w="20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lang w:val="en-US" w:eastAsia="zh-CN"/>
              </w:rPr>
            </w:pPr>
            <w:r>
              <w:rPr>
                <w:rFonts w:hint="eastAsia" w:ascii="Times New Roman" w:hAnsi="Times New Roman" w:cs="宋体"/>
                <w:i w:val="0"/>
                <w:iCs w:val="0"/>
                <w:color w:val="000000"/>
                <w:sz w:val="20"/>
                <w:szCs w:val="20"/>
                <w:u w:val="none"/>
                <w:lang w:val="en-US" w:eastAsia="zh-CN"/>
              </w:rPr>
              <w:t>0</w:t>
            </w:r>
          </w:p>
        </w:tc>
        <w:tc>
          <w:tcPr>
            <w:tcW w:w="6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4"/>
                <w:szCs w:val="24"/>
                <w:u w:val="none"/>
              </w:rPr>
            </w:pPr>
          </w:p>
        </w:tc>
        <w:tc>
          <w:tcPr>
            <w:tcW w:w="6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4"/>
                <w:szCs w:val="24"/>
                <w:u w:val="none"/>
              </w:rPr>
            </w:pPr>
          </w:p>
        </w:tc>
        <w:tc>
          <w:tcPr>
            <w:tcW w:w="5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1194"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年度总目标</w:t>
            </w:r>
          </w:p>
        </w:tc>
        <w:tc>
          <w:tcPr>
            <w:tcW w:w="32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预期目标</w:t>
            </w:r>
          </w:p>
        </w:tc>
        <w:tc>
          <w:tcPr>
            <w:tcW w:w="405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119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0"/>
                <w:szCs w:val="20"/>
                <w:u w:val="none"/>
              </w:rPr>
            </w:pPr>
          </w:p>
        </w:tc>
        <w:tc>
          <w:tcPr>
            <w:tcW w:w="32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sz w:val="20"/>
                <w:szCs w:val="20"/>
                <w:u w:val="none"/>
              </w:rPr>
              <w:t>贯彻习近平总书记关于党的自我革命的重要思想，全面贯彻党的二十大和二十届二中全会精神，深入贯彻落实二十届中央纪委三次全会、自治区纪委十届四次全会精神和自治州党风廉政建设和反腐败会议精神及市委二届九次会议部署，坚决落实全面从严治党战略方针，深刻领悟“两个确立”的决定性意义，自觉增强“四个意识”、坚定“四个自信”、做到“两个维护”，坚持稳中求进工作总基调，巩固拓展主题教育和教育整顿成果，纵深推进新征程纪检监察工作高质量发展，为全面推进中国式现代化进程中加快打造中西部高质量发展的示范样板提供坚强纪律保障。一是持续开展营商环境专项治理工作，有效查处影响惠企纾困政策落实、制约企业健康发展、侵害市场主体利益和群众合法权益等腐败和不正之风，推动解决涉商涉企合理诉求。二是健全党统一领导、全面覆盖、权威高效的监督体系，有效消除对公权利运行的空白和忙盲区；三是坚决查处政治问题和经济问题交织的腐败，有效防止领导干部成为利益集团和权势团体的代言人、代理人，坚决治理政商勾连破坏政治生态和经济发展问题；四是把新时代廉洁文化建设融入党的宣传思想文化工作，营造和弘扬崇尚廉洁、抵制腐败的良好风尚。</w:t>
            </w:r>
          </w:p>
        </w:tc>
        <w:tc>
          <w:tcPr>
            <w:tcW w:w="405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sz w:val="20"/>
                <w:szCs w:val="20"/>
                <w:u w:val="none"/>
              </w:rPr>
              <w:t>完成营商环境监督检查次数2次，对本市政治生态开展综合分析研判次数2次，举办党风廉政活动，深入推进群众身边不正之风和腐败问题的整治工作，为加快打造市场化、法治化、国际化营商环境提供坚强保障，扎实开展好实事好事，解决群众急难愁盼问题。进一步提升营商环境法治化水平，营造了更加稳定、公平、可预期的法治化营商环境，为霍尔果斯经济社会高质量发展提供了坚强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6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一级指标</w:t>
            </w:r>
          </w:p>
        </w:tc>
        <w:tc>
          <w:tcPr>
            <w:tcW w:w="5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二级指标</w:t>
            </w:r>
          </w:p>
        </w:tc>
        <w:tc>
          <w:tcPr>
            <w:tcW w:w="2280" w:type="dxa"/>
            <w:gridSpan w:val="2"/>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三级指标</w:t>
            </w:r>
          </w:p>
        </w:tc>
        <w:tc>
          <w:tcPr>
            <w:tcW w:w="990"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指标值</w:t>
            </w:r>
          </w:p>
        </w:tc>
        <w:tc>
          <w:tcPr>
            <w:tcW w:w="2087"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指标设定依据</w:t>
            </w:r>
          </w:p>
        </w:tc>
        <w:tc>
          <w:tcPr>
            <w:tcW w:w="695"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分值权重</w:t>
            </w:r>
          </w:p>
        </w:tc>
        <w:tc>
          <w:tcPr>
            <w:tcW w:w="693"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实际完成值</w:t>
            </w:r>
          </w:p>
        </w:tc>
        <w:tc>
          <w:tcPr>
            <w:tcW w:w="583"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66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履职效能</w:t>
            </w:r>
          </w:p>
        </w:tc>
        <w:tc>
          <w:tcPr>
            <w:tcW w:w="529"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imes New Roman" w:hAnsi="Times New Roman" w:eastAsia="宋体" w:cs="宋体"/>
                <w:i w:val="0"/>
                <w:iCs w:val="0"/>
                <w:color w:val="000000"/>
                <w:kern w:val="0"/>
                <w:sz w:val="20"/>
                <w:szCs w:val="20"/>
                <w:u w:val="none"/>
                <w:lang w:val="en-US" w:eastAsia="zh-CN" w:bidi="ar"/>
              </w:rPr>
            </w:pPr>
          </w:p>
          <w:p>
            <w:pPr>
              <w:keepNext w:val="0"/>
              <w:keepLines w:val="0"/>
              <w:widowControl/>
              <w:suppressLineNumbers w:val="0"/>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kern w:val="0"/>
                <w:sz w:val="20"/>
                <w:szCs w:val="20"/>
                <w:u w:val="none"/>
                <w:lang w:val="en-US" w:eastAsia="zh-CN" w:bidi="ar"/>
              </w:rPr>
              <w:t>数量指标</w:t>
            </w:r>
          </w:p>
        </w:tc>
        <w:tc>
          <w:tcPr>
            <w:tcW w:w="228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imes New Roman" w:hAnsi="Times New Roman" w:eastAsia="宋体" w:cs="宋体"/>
                <w:i w:val="0"/>
                <w:iCs w:val="0"/>
                <w:color w:val="000000"/>
                <w:sz w:val="24"/>
                <w:szCs w:val="24"/>
                <w:u w:val="none"/>
              </w:rPr>
            </w:pPr>
            <w:r>
              <w:rPr>
                <w:rFonts w:hint="eastAsia" w:ascii="Times New Roman" w:hAnsi="Times New Roman" w:eastAsia="宋体" w:cs="宋体"/>
                <w:i w:val="0"/>
                <w:iCs w:val="0"/>
                <w:color w:val="000000"/>
                <w:sz w:val="20"/>
                <w:szCs w:val="20"/>
                <w:u w:val="none"/>
              </w:rPr>
              <w:t>营商环境监督检查次数</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sz w:val="20"/>
                <w:szCs w:val="20"/>
                <w:u w:val="none"/>
              </w:rPr>
              <w:t>&gt;=2次</w:t>
            </w:r>
          </w:p>
        </w:tc>
        <w:tc>
          <w:tcPr>
            <w:tcW w:w="20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sz w:val="20"/>
                <w:szCs w:val="20"/>
                <w:u w:val="none"/>
              </w:rPr>
              <w:t>中国共产党霍尔果斯市第二届纪律检查委员会第四次全体会议暨霍尔果斯经济开发区党工委党风廉政建设和反腐败工作会议上的工作报告</w:t>
            </w:r>
          </w:p>
        </w:tc>
        <w:tc>
          <w:tcPr>
            <w:tcW w:w="6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default" w:ascii="Times New Roman" w:hAnsi="Times New Roman" w:eastAsia="宋体" w:cs="宋体"/>
                <w:i w:val="0"/>
                <w:iCs w:val="0"/>
                <w:color w:val="000000"/>
                <w:sz w:val="20"/>
                <w:szCs w:val="20"/>
                <w:u w:val="none"/>
                <w:lang w:val="en-US" w:eastAsia="zh-CN"/>
              </w:rPr>
            </w:pPr>
            <w:r>
              <w:rPr>
                <w:rFonts w:hint="eastAsia" w:ascii="Times New Roman" w:hAnsi="Times New Roman" w:eastAsia="宋体" w:cs="宋体"/>
                <w:i w:val="0"/>
                <w:iCs w:val="0"/>
                <w:color w:val="000000"/>
                <w:sz w:val="20"/>
                <w:szCs w:val="20"/>
                <w:u w:val="none"/>
                <w:lang w:val="en-US" w:eastAsia="zh-CN"/>
              </w:rPr>
              <w:t>25</w:t>
            </w:r>
          </w:p>
        </w:tc>
        <w:tc>
          <w:tcPr>
            <w:tcW w:w="6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default" w:ascii="Times New Roman" w:hAnsi="Times New Roman" w:eastAsia="宋体" w:cs="宋体"/>
                <w:i w:val="0"/>
                <w:iCs w:val="0"/>
                <w:color w:val="000000"/>
                <w:sz w:val="20"/>
                <w:szCs w:val="20"/>
                <w:u w:val="none"/>
                <w:lang w:val="en-US" w:eastAsia="zh-CN"/>
              </w:rPr>
            </w:pPr>
            <w:r>
              <w:rPr>
                <w:rFonts w:hint="eastAsia" w:ascii="Times New Roman" w:hAnsi="Times New Roman" w:eastAsia="宋体" w:cs="宋体"/>
                <w:i w:val="0"/>
                <w:iCs w:val="0"/>
                <w:color w:val="000000"/>
                <w:sz w:val="20"/>
                <w:szCs w:val="20"/>
                <w:u w:val="none"/>
              </w:rPr>
              <w:t>2次</w:t>
            </w:r>
          </w:p>
        </w:tc>
        <w:tc>
          <w:tcPr>
            <w:tcW w:w="5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Times New Roman" w:hAnsi="Times New Roman" w:eastAsia="宋体" w:cs="宋体"/>
                <w:i w:val="0"/>
                <w:iCs w:val="0"/>
                <w:color w:val="000000"/>
                <w:sz w:val="20"/>
                <w:szCs w:val="20"/>
                <w:u w:val="none"/>
                <w:lang w:val="en-US" w:eastAsia="zh-CN"/>
              </w:rPr>
            </w:pPr>
            <w:r>
              <w:rPr>
                <w:rFonts w:hint="eastAsia" w:ascii="Times New Roman" w:hAnsi="Times New Roman" w:eastAsia="宋体" w:cs="宋体"/>
                <w:i w:val="0"/>
                <w:iCs w:val="0"/>
                <w:color w:val="000000"/>
                <w:sz w:val="20"/>
                <w:szCs w:val="20"/>
                <w:u w:val="none"/>
                <w:lang w:val="en-US" w:eastAsia="zh-CN"/>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6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0"/>
                <w:szCs w:val="20"/>
                <w:u w:val="none"/>
              </w:rPr>
            </w:pPr>
          </w:p>
        </w:tc>
        <w:tc>
          <w:tcPr>
            <w:tcW w:w="529" w:type="dxa"/>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imes New Roman" w:hAnsi="Times New Roman" w:eastAsia="宋体" w:cs="宋体"/>
                <w:i w:val="0"/>
                <w:iCs w:val="0"/>
                <w:color w:val="000000"/>
                <w:sz w:val="20"/>
                <w:szCs w:val="20"/>
                <w:u w:val="none"/>
              </w:rPr>
            </w:pPr>
          </w:p>
        </w:tc>
        <w:tc>
          <w:tcPr>
            <w:tcW w:w="228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sz w:val="20"/>
                <w:szCs w:val="20"/>
                <w:u w:val="none"/>
              </w:rPr>
              <w:t>对本市政治生态开展综合分析研判次数</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sz w:val="20"/>
                <w:szCs w:val="20"/>
                <w:u w:val="none"/>
              </w:rPr>
              <w:t>&gt;=2次</w:t>
            </w:r>
          </w:p>
        </w:tc>
        <w:tc>
          <w:tcPr>
            <w:tcW w:w="20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sz w:val="20"/>
                <w:szCs w:val="20"/>
                <w:u w:val="none"/>
              </w:rPr>
              <w:t>中国共产党霍尔果斯市第二届纪律检查委员会第四次全体会议暨霍尔果斯经济开发区党工委党风廉政建设和反腐败工作会议上的工作报告</w:t>
            </w:r>
          </w:p>
        </w:tc>
        <w:tc>
          <w:tcPr>
            <w:tcW w:w="6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default" w:ascii="Times New Roman" w:hAnsi="Times New Roman" w:eastAsia="宋体" w:cs="宋体"/>
                <w:i w:val="0"/>
                <w:iCs w:val="0"/>
                <w:color w:val="000000"/>
                <w:sz w:val="20"/>
                <w:szCs w:val="20"/>
                <w:u w:val="none"/>
                <w:lang w:val="en-US" w:eastAsia="zh-CN"/>
              </w:rPr>
            </w:pPr>
            <w:r>
              <w:rPr>
                <w:rFonts w:hint="eastAsia" w:ascii="Times New Roman" w:hAnsi="Times New Roman" w:eastAsia="宋体" w:cs="宋体"/>
                <w:i w:val="0"/>
                <w:iCs w:val="0"/>
                <w:color w:val="000000"/>
                <w:sz w:val="20"/>
                <w:szCs w:val="20"/>
                <w:u w:val="none"/>
                <w:lang w:val="en-US" w:eastAsia="zh-CN"/>
              </w:rPr>
              <w:t>20</w:t>
            </w:r>
          </w:p>
        </w:tc>
        <w:tc>
          <w:tcPr>
            <w:tcW w:w="6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sz w:val="20"/>
                <w:szCs w:val="20"/>
                <w:u w:val="none"/>
              </w:rPr>
              <w:t>2次</w:t>
            </w:r>
          </w:p>
        </w:tc>
        <w:tc>
          <w:tcPr>
            <w:tcW w:w="5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Times New Roman" w:hAnsi="Times New Roman" w:eastAsia="宋体" w:cs="宋体"/>
                <w:i w:val="0"/>
                <w:iCs w:val="0"/>
                <w:color w:val="000000"/>
                <w:sz w:val="20"/>
                <w:szCs w:val="20"/>
                <w:u w:val="none"/>
                <w:lang w:val="en-US" w:eastAsia="zh-CN"/>
              </w:rPr>
            </w:pPr>
            <w:r>
              <w:rPr>
                <w:rFonts w:hint="eastAsia" w:ascii="Times New Roman" w:hAnsi="Times New Roman" w:eastAsia="宋体" w:cs="宋体"/>
                <w:i w:val="0"/>
                <w:iCs w:val="0"/>
                <w:color w:val="000000"/>
                <w:sz w:val="20"/>
                <w:szCs w:val="20"/>
                <w:u w:val="none"/>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6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0"/>
                <w:szCs w:val="20"/>
                <w:u w:val="none"/>
              </w:rPr>
            </w:pPr>
          </w:p>
        </w:tc>
        <w:tc>
          <w:tcPr>
            <w:tcW w:w="529"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cs="宋体"/>
                <w:i w:val="0"/>
                <w:iCs w:val="0"/>
                <w:color w:val="000000"/>
                <w:kern w:val="0"/>
                <w:sz w:val="20"/>
                <w:szCs w:val="20"/>
                <w:u w:val="none"/>
                <w:lang w:val="en-US" w:eastAsia="zh-CN" w:bidi="ar"/>
              </w:rPr>
              <w:t>质量</w:t>
            </w:r>
            <w:r>
              <w:rPr>
                <w:rFonts w:hint="eastAsia" w:ascii="Times New Roman" w:hAnsi="Times New Roman" w:eastAsia="宋体" w:cs="宋体"/>
                <w:i w:val="0"/>
                <w:iCs w:val="0"/>
                <w:color w:val="000000"/>
                <w:kern w:val="0"/>
                <w:sz w:val="20"/>
                <w:szCs w:val="20"/>
                <w:u w:val="none"/>
                <w:lang w:val="en-US" w:eastAsia="zh-CN" w:bidi="ar"/>
              </w:rPr>
              <w:t>指标</w:t>
            </w:r>
          </w:p>
        </w:tc>
        <w:tc>
          <w:tcPr>
            <w:tcW w:w="228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sz w:val="20"/>
                <w:szCs w:val="20"/>
                <w:u w:val="none"/>
              </w:rPr>
              <w:t>纪律监督、监察监督、巡察监督覆盖率</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sz w:val="20"/>
                <w:szCs w:val="20"/>
                <w:u w:val="none"/>
              </w:rPr>
              <w:t>&gt;=95%</w:t>
            </w:r>
          </w:p>
        </w:tc>
        <w:tc>
          <w:tcPr>
            <w:tcW w:w="20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sz w:val="20"/>
                <w:szCs w:val="20"/>
                <w:u w:val="none"/>
              </w:rPr>
              <w:t>伊犁哈萨克自治州国民经济和社会发展第十四个五年规划和2035年远景目标纲要</w:t>
            </w:r>
          </w:p>
        </w:tc>
        <w:tc>
          <w:tcPr>
            <w:tcW w:w="6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default" w:ascii="Times New Roman" w:hAnsi="Times New Roman" w:eastAsia="宋体" w:cs="宋体"/>
                <w:i w:val="0"/>
                <w:iCs w:val="0"/>
                <w:color w:val="000000"/>
                <w:sz w:val="20"/>
                <w:szCs w:val="20"/>
                <w:u w:val="none"/>
                <w:lang w:val="en-US" w:eastAsia="zh-CN"/>
              </w:rPr>
            </w:pPr>
            <w:r>
              <w:rPr>
                <w:rFonts w:hint="eastAsia" w:ascii="Times New Roman" w:hAnsi="Times New Roman" w:eastAsia="宋体" w:cs="宋体"/>
                <w:i w:val="0"/>
                <w:iCs w:val="0"/>
                <w:color w:val="000000"/>
                <w:sz w:val="20"/>
                <w:szCs w:val="20"/>
                <w:u w:val="none"/>
                <w:lang w:val="en-US" w:eastAsia="zh-CN"/>
              </w:rPr>
              <w:t>25</w:t>
            </w:r>
          </w:p>
        </w:tc>
        <w:tc>
          <w:tcPr>
            <w:tcW w:w="6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default" w:ascii="Times New Roman" w:hAnsi="Times New Roman" w:eastAsia="宋体" w:cs="宋体"/>
                <w:i w:val="0"/>
                <w:iCs w:val="0"/>
                <w:color w:val="000000"/>
                <w:sz w:val="20"/>
                <w:szCs w:val="20"/>
                <w:u w:val="none"/>
                <w:lang w:val="en-US" w:eastAsia="zh-CN"/>
              </w:rPr>
            </w:pPr>
            <w:r>
              <w:rPr>
                <w:rFonts w:hint="eastAsia" w:ascii="Times New Roman" w:hAnsi="Times New Roman" w:eastAsia="宋体" w:cs="宋体"/>
                <w:i w:val="0"/>
                <w:iCs w:val="0"/>
                <w:color w:val="000000"/>
                <w:sz w:val="20"/>
                <w:szCs w:val="20"/>
                <w:u w:val="none"/>
                <w:lang w:val="en-US" w:eastAsia="zh-CN"/>
              </w:rPr>
              <w:t>100%</w:t>
            </w:r>
          </w:p>
        </w:tc>
        <w:tc>
          <w:tcPr>
            <w:tcW w:w="5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Times New Roman" w:hAnsi="Times New Roman" w:eastAsia="宋体" w:cs="宋体"/>
                <w:i w:val="0"/>
                <w:iCs w:val="0"/>
                <w:color w:val="000000"/>
                <w:sz w:val="20"/>
                <w:szCs w:val="20"/>
                <w:u w:val="none"/>
                <w:lang w:val="en-US" w:eastAsia="zh-CN"/>
              </w:rPr>
            </w:pPr>
            <w:r>
              <w:rPr>
                <w:rFonts w:hint="eastAsia" w:ascii="Times New Roman" w:hAnsi="Times New Roman" w:eastAsia="宋体" w:cs="宋体"/>
                <w:i w:val="0"/>
                <w:iCs w:val="0"/>
                <w:color w:val="000000"/>
                <w:sz w:val="20"/>
                <w:szCs w:val="20"/>
                <w:u w:val="none"/>
                <w:lang w:val="en-US" w:eastAsia="zh-CN"/>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atLeast"/>
        </w:trPr>
        <w:tc>
          <w:tcPr>
            <w:tcW w:w="66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宋体" w:cs="宋体"/>
                <w:i w:val="0"/>
                <w:iCs w:val="0"/>
                <w:color w:val="000000"/>
                <w:sz w:val="20"/>
                <w:szCs w:val="20"/>
                <w:u w:val="none"/>
              </w:rPr>
            </w:pPr>
          </w:p>
        </w:tc>
        <w:tc>
          <w:tcPr>
            <w:tcW w:w="529" w:type="dxa"/>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imes New Roman" w:hAnsi="Times New Roman" w:eastAsia="宋体" w:cs="宋体"/>
                <w:i w:val="0"/>
                <w:iCs w:val="0"/>
                <w:color w:val="000000"/>
                <w:sz w:val="20"/>
                <w:szCs w:val="20"/>
                <w:u w:val="none"/>
              </w:rPr>
            </w:pPr>
          </w:p>
        </w:tc>
        <w:tc>
          <w:tcPr>
            <w:tcW w:w="228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sz w:val="20"/>
                <w:szCs w:val="20"/>
                <w:u w:val="none"/>
              </w:rPr>
              <w:t>举办党风廉政活动完成率</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sz w:val="20"/>
                <w:szCs w:val="20"/>
                <w:u w:val="none"/>
              </w:rPr>
              <w:t>&gt;=95%</w:t>
            </w:r>
          </w:p>
        </w:tc>
        <w:tc>
          <w:tcPr>
            <w:tcW w:w="20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sz w:val="20"/>
                <w:szCs w:val="20"/>
                <w:u w:val="none"/>
              </w:rPr>
              <w:t>中国共产党霍尔果斯市第二届纪律检查委员会第四次全体会议暨霍尔果斯经济开发区党工委党风廉政建设和反腐败工作会议上的工作报告</w:t>
            </w:r>
          </w:p>
        </w:tc>
        <w:tc>
          <w:tcPr>
            <w:tcW w:w="6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default" w:ascii="Times New Roman" w:hAnsi="Times New Roman" w:eastAsia="宋体" w:cs="宋体"/>
                <w:i w:val="0"/>
                <w:iCs w:val="0"/>
                <w:color w:val="000000"/>
                <w:sz w:val="20"/>
                <w:szCs w:val="20"/>
                <w:u w:val="none"/>
                <w:lang w:val="en-US" w:eastAsia="zh-CN"/>
              </w:rPr>
            </w:pPr>
            <w:r>
              <w:rPr>
                <w:rFonts w:hint="eastAsia" w:ascii="Times New Roman" w:hAnsi="Times New Roman" w:eastAsia="宋体" w:cs="宋体"/>
                <w:i w:val="0"/>
                <w:iCs w:val="0"/>
                <w:color w:val="000000"/>
                <w:sz w:val="20"/>
                <w:szCs w:val="20"/>
                <w:u w:val="none"/>
                <w:lang w:val="en-US" w:eastAsia="zh-CN"/>
              </w:rPr>
              <w:t>20</w:t>
            </w:r>
          </w:p>
        </w:tc>
        <w:tc>
          <w:tcPr>
            <w:tcW w:w="6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Times New Roman" w:hAnsi="Times New Roman" w:eastAsia="宋体" w:cs="宋体"/>
                <w:i w:val="0"/>
                <w:iCs w:val="0"/>
                <w:color w:val="000000"/>
                <w:sz w:val="20"/>
                <w:szCs w:val="20"/>
                <w:u w:val="none"/>
              </w:rPr>
            </w:pPr>
            <w:r>
              <w:rPr>
                <w:rFonts w:hint="eastAsia" w:ascii="Times New Roman" w:hAnsi="Times New Roman" w:eastAsia="宋体" w:cs="宋体"/>
                <w:i w:val="0"/>
                <w:iCs w:val="0"/>
                <w:color w:val="000000"/>
                <w:sz w:val="20"/>
                <w:szCs w:val="20"/>
                <w:u w:val="none"/>
                <w:lang w:val="en-US" w:eastAsia="zh-CN"/>
              </w:rPr>
              <w:t>100%</w:t>
            </w:r>
          </w:p>
        </w:tc>
        <w:tc>
          <w:tcPr>
            <w:tcW w:w="5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Times New Roman" w:hAnsi="Times New Roman" w:eastAsia="宋体" w:cs="宋体"/>
                <w:i w:val="0"/>
                <w:iCs w:val="0"/>
                <w:color w:val="000000"/>
                <w:sz w:val="20"/>
                <w:szCs w:val="20"/>
                <w:u w:val="none"/>
                <w:lang w:val="en-US" w:eastAsia="zh-CN"/>
              </w:rPr>
            </w:pPr>
            <w:r>
              <w:rPr>
                <w:rFonts w:hint="eastAsia" w:ascii="Times New Roman" w:hAnsi="Times New Roman" w:eastAsia="宋体" w:cs="宋体"/>
                <w:i w:val="0"/>
                <w:iCs w:val="0"/>
                <w:color w:val="000000"/>
                <w:sz w:val="20"/>
                <w:szCs w:val="20"/>
                <w:u w:val="none"/>
                <w:lang w:val="en-US" w:eastAsia="zh-CN"/>
              </w:rPr>
              <w:t>20</w:t>
            </w:r>
          </w:p>
        </w:tc>
      </w:tr>
    </w:tbl>
    <w:p>
      <w:pPr>
        <w:rPr>
          <w:rFonts w:ascii="Times New Roman" w:hAnsi="Times New Roma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1NzU1ZDE5MWUyOTliZTgzODE4MzZjMzNmODI4OTMifQ=="/>
  </w:docVars>
  <w:rsids>
    <w:rsidRoot w:val="00000000"/>
    <w:rsid w:val="00687A8F"/>
    <w:rsid w:val="00902FD4"/>
    <w:rsid w:val="00B1151A"/>
    <w:rsid w:val="00B14F24"/>
    <w:rsid w:val="00BA7CA7"/>
    <w:rsid w:val="00ED5B48"/>
    <w:rsid w:val="011251E8"/>
    <w:rsid w:val="011E2469"/>
    <w:rsid w:val="012D2227"/>
    <w:rsid w:val="01D14703"/>
    <w:rsid w:val="01F33470"/>
    <w:rsid w:val="020F0F24"/>
    <w:rsid w:val="02371BAC"/>
    <w:rsid w:val="02751B8E"/>
    <w:rsid w:val="02A82C91"/>
    <w:rsid w:val="02BC1F0C"/>
    <w:rsid w:val="02C778A5"/>
    <w:rsid w:val="02CD5EF5"/>
    <w:rsid w:val="03083AED"/>
    <w:rsid w:val="0367772B"/>
    <w:rsid w:val="03756AC6"/>
    <w:rsid w:val="03793EE9"/>
    <w:rsid w:val="037C2BD4"/>
    <w:rsid w:val="039505B1"/>
    <w:rsid w:val="03DA44C3"/>
    <w:rsid w:val="03E524F9"/>
    <w:rsid w:val="041651F4"/>
    <w:rsid w:val="0432219F"/>
    <w:rsid w:val="043B1E89"/>
    <w:rsid w:val="043E0F0C"/>
    <w:rsid w:val="04776F5F"/>
    <w:rsid w:val="04A85867"/>
    <w:rsid w:val="04C609C8"/>
    <w:rsid w:val="05263B5D"/>
    <w:rsid w:val="05373674"/>
    <w:rsid w:val="05DD0E5F"/>
    <w:rsid w:val="061B371A"/>
    <w:rsid w:val="064703BD"/>
    <w:rsid w:val="066A1827"/>
    <w:rsid w:val="06AE64C8"/>
    <w:rsid w:val="06D53145"/>
    <w:rsid w:val="06E91D2F"/>
    <w:rsid w:val="06EB2120"/>
    <w:rsid w:val="07185835"/>
    <w:rsid w:val="073F4A62"/>
    <w:rsid w:val="07465F84"/>
    <w:rsid w:val="07715C4C"/>
    <w:rsid w:val="07767566"/>
    <w:rsid w:val="079452B4"/>
    <w:rsid w:val="079A41EF"/>
    <w:rsid w:val="07BF71EC"/>
    <w:rsid w:val="07D56749"/>
    <w:rsid w:val="07D91801"/>
    <w:rsid w:val="07F9705D"/>
    <w:rsid w:val="081E4FBF"/>
    <w:rsid w:val="083E2F6B"/>
    <w:rsid w:val="086773C2"/>
    <w:rsid w:val="087526D9"/>
    <w:rsid w:val="08CB2ED6"/>
    <w:rsid w:val="09213DEB"/>
    <w:rsid w:val="092D7F94"/>
    <w:rsid w:val="09495F23"/>
    <w:rsid w:val="094A3542"/>
    <w:rsid w:val="095A668F"/>
    <w:rsid w:val="09646A02"/>
    <w:rsid w:val="096E7F98"/>
    <w:rsid w:val="09B65E97"/>
    <w:rsid w:val="09F4422A"/>
    <w:rsid w:val="0A7669DB"/>
    <w:rsid w:val="0A806707"/>
    <w:rsid w:val="0A8A5DAF"/>
    <w:rsid w:val="0ABA6536"/>
    <w:rsid w:val="0AD125A3"/>
    <w:rsid w:val="0AEC0884"/>
    <w:rsid w:val="0AEC4F01"/>
    <w:rsid w:val="0AEE0235"/>
    <w:rsid w:val="0B813D4D"/>
    <w:rsid w:val="0B9474AF"/>
    <w:rsid w:val="0BA70DE0"/>
    <w:rsid w:val="0BA8431F"/>
    <w:rsid w:val="0BB37078"/>
    <w:rsid w:val="0BD231B3"/>
    <w:rsid w:val="0BD60F2F"/>
    <w:rsid w:val="0BEF42D9"/>
    <w:rsid w:val="0C021ADB"/>
    <w:rsid w:val="0C2858D1"/>
    <w:rsid w:val="0C5E5A5E"/>
    <w:rsid w:val="0C9570C3"/>
    <w:rsid w:val="0CAC6182"/>
    <w:rsid w:val="0CE61390"/>
    <w:rsid w:val="0D042079"/>
    <w:rsid w:val="0D2F56E2"/>
    <w:rsid w:val="0D594453"/>
    <w:rsid w:val="0D842216"/>
    <w:rsid w:val="0D991370"/>
    <w:rsid w:val="0DAA142A"/>
    <w:rsid w:val="0DDF2D1D"/>
    <w:rsid w:val="0E261128"/>
    <w:rsid w:val="0E34675B"/>
    <w:rsid w:val="0E760421"/>
    <w:rsid w:val="0EE43F4D"/>
    <w:rsid w:val="0F2E0977"/>
    <w:rsid w:val="0F360E40"/>
    <w:rsid w:val="0F8E465F"/>
    <w:rsid w:val="0F957915"/>
    <w:rsid w:val="0F970F5F"/>
    <w:rsid w:val="0FA34718"/>
    <w:rsid w:val="0FC56B72"/>
    <w:rsid w:val="0FE7777F"/>
    <w:rsid w:val="0FF535C6"/>
    <w:rsid w:val="10040F1F"/>
    <w:rsid w:val="100E38D8"/>
    <w:rsid w:val="10196798"/>
    <w:rsid w:val="10383AE3"/>
    <w:rsid w:val="10526A15"/>
    <w:rsid w:val="1092654A"/>
    <w:rsid w:val="10B25969"/>
    <w:rsid w:val="10B83562"/>
    <w:rsid w:val="10FB1E12"/>
    <w:rsid w:val="11065A8F"/>
    <w:rsid w:val="113432C2"/>
    <w:rsid w:val="11370165"/>
    <w:rsid w:val="114A472F"/>
    <w:rsid w:val="116C7EF4"/>
    <w:rsid w:val="11BC076D"/>
    <w:rsid w:val="12352040"/>
    <w:rsid w:val="124B28F0"/>
    <w:rsid w:val="125633DA"/>
    <w:rsid w:val="12681139"/>
    <w:rsid w:val="126C58BD"/>
    <w:rsid w:val="128C266D"/>
    <w:rsid w:val="12DD5944"/>
    <w:rsid w:val="12F9465F"/>
    <w:rsid w:val="13274886"/>
    <w:rsid w:val="1347746A"/>
    <w:rsid w:val="138159A6"/>
    <w:rsid w:val="13990DC9"/>
    <w:rsid w:val="139A0A42"/>
    <w:rsid w:val="13C13E25"/>
    <w:rsid w:val="13CF4698"/>
    <w:rsid w:val="141F618B"/>
    <w:rsid w:val="14600CBE"/>
    <w:rsid w:val="149056DE"/>
    <w:rsid w:val="14CE43E3"/>
    <w:rsid w:val="14D26F15"/>
    <w:rsid w:val="14D5028E"/>
    <w:rsid w:val="14F71D0C"/>
    <w:rsid w:val="15605CBC"/>
    <w:rsid w:val="158B3BCA"/>
    <w:rsid w:val="160A3B7C"/>
    <w:rsid w:val="161533BA"/>
    <w:rsid w:val="169956DE"/>
    <w:rsid w:val="169A5553"/>
    <w:rsid w:val="16C805D0"/>
    <w:rsid w:val="172E0FE8"/>
    <w:rsid w:val="17612447"/>
    <w:rsid w:val="1780285D"/>
    <w:rsid w:val="17C441C8"/>
    <w:rsid w:val="17EE5D31"/>
    <w:rsid w:val="187D6034"/>
    <w:rsid w:val="18A53BCA"/>
    <w:rsid w:val="18BF3A3A"/>
    <w:rsid w:val="18DE18C0"/>
    <w:rsid w:val="19523B6F"/>
    <w:rsid w:val="19A304A4"/>
    <w:rsid w:val="1A005945"/>
    <w:rsid w:val="1A11228E"/>
    <w:rsid w:val="1A2374AF"/>
    <w:rsid w:val="1A3853B0"/>
    <w:rsid w:val="1A3A5DAA"/>
    <w:rsid w:val="1A5328A6"/>
    <w:rsid w:val="1A58475A"/>
    <w:rsid w:val="1ABB7B5C"/>
    <w:rsid w:val="1AF57E02"/>
    <w:rsid w:val="1B090F50"/>
    <w:rsid w:val="1B22337F"/>
    <w:rsid w:val="1B604C74"/>
    <w:rsid w:val="1B880D47"/>
    <w:rsid w:val="1B9B55CC"/>
    <w:rsid w:val="1BA269FB"/>
    <w:rsid w:val="1BA535D6"/>
    <w:rsid w:val="1BCD439E"/>
    <w:rsid w:val="1C046FC1"/>
    <w:rsid w:val="1C131A83"/>
    <w:rsid w:val="1C1918CE"/>
    <w:rsid w:val="1C7D1E5D"/>
    <w:rsid w:val="1CC65BD4"/>
    <w:rsid w:val="1CD8564C"/>
    <w:rsid w:val="1D0646D9"/>
    <w:rsid w:val="1D47412D"/>
    <w:rsid w:val="1D5B78B6"/>
    <w:rsid w:val="1D734D3E"/>
    <w:rsid w:val="1D780E27"/>
    <w:rsid w:val="1D8F4F8D"/>
    <w:rsid w:val="1DBA45AC"/>
    <w:rsid w:val="1E012619"/>
    <w:rsid w:val="1E1850E4"/>
    <w:rsid w:val="1E28404A"/>
    <w:rsid w:val="1E3F1DE5"/>
    <w:rsid w:val="1F13179A"/>
    <w:rsid w:val="1F4D7623"/>
    <w:rsid w:val="1F505C6B"/>
    <w:rsid w:val="1F59323F"/>
    <w:rsid w:val="1F836389"/>
    <w:rsid w:val="1F9F20EA"/>
    <w:rsid w:val="1FD161FD"/>
    <w:rsid w:val="1FE246F3"/>
    <w:rsid w:val="1FFE0608"/>
    <w:rsid w:val="20300D46"/>
    <w:rsid w:val="20370574"/>
    <w:rsid w:val="204369D4"/>
    <w:rsid w:val="208B5A2A"/>
    <w:rsid w:val="20D43AC7"/>
    <w:rsid w:val="20FA7F20"/>
    <w:rsid w:val="216B05FC"/>
    <w:rsid w:val="21857E79"/>
    <w:rsid w:val="22394A78"/>
    <w:rsid w:val="22500D2C"/>
    <w:rsid w:val="22506BB9"/>
    <w:rsid w:val="232A28AB"/>
    <w:rsid w:val="234E0A1D"/>
    <w:rsid w:val="23BA5D80"/>
    <w:rsid w:val="23D97EE2"/>
    <w:rsid w:val="241C37C2"/>
    <w:rsid w:val="244756D5"/>
    <w:rsid w:val="244811C2"/>
    <w:rsid w:val="245A4929"/>
    <w:rsid w:val="246F003B"/>
    <w:rsid w:val="247C4344"/>
    <w:rsid w:val="24991F03"/>
    <w:rsid w:val="24AF1DCA"/>
    <w:rsid w:val="251E6664"/>
    <w:rsid w:val="252F3294"/>
    <w:rsid w:val="25312F2A"/>
    <w:rsid w:val="25846520"/>
    <w:rsid w:val="25913036"/>
    <w:rsid w:val="25A469CF"/>
    <w:rsid w:val="25BE6D49"/>
    <w:rsid w:val="25D80104"/>
    <w:rsid w:val="262477ED"/>
    <w:rsid w:val="263D0454"/>
    <w:rsid w:val="265F3E4E"/>
    <w:rsid w:val="26661D08"/>
    <w:rsid w:val="266E0146"/>
    <w:rsid w:val="26784E8F"/>
    <w:rsid w:val="269D3C5E"/>
    <w:rsid w:val="26B66603"/>
    <w:rsid w:val="26C106B2"/>
    <w:rsid w:val="26D66361"/>
    <w:rsid w:val="26D70969"/>
    <w:rsid w:val="26DD55B0"/>
    <w:rsid w:val="26F946AD"/>
    <w:rsid w:val="26FE1DEC"/>
    <w:rsid w:val="2706531C"/>
    <w:rsid w:val="271F7E0F"/>
    <w:rsid w:val="272732DF"/>
    <w:rsid w:val="273A66F1"/>
    <w:rsid w:val="2743038A"/>
    <w:rsid w:val="27EA2607"/>
    <w:rsid w:val="288329D7"/>
    <w:rsid w:val="289A0341"/>
    <w:rsid w:val="28DB744A"/>
    <w:rsid w:val="292E1048"/>
    <w:rsid w:val="293250DF"/>
    <w:rsid w:val="29CE3CF8"/>
    <w:rsid w:val="2A4D3F55"/>
    <w:rsid w:val="2A6A50CB"/>
    <w:rsid w:val="2A7725E1"/>
    <w:rsid w:val="2A897B9B"/>
    <w:rsid w:val="2A8E0659"/>
    <w:rsid w:val="2A9F6F12"/>
    <w:rsid w:val="2AD26966"/>
    <w:rsid w:val="2AE6501F"/>
    <w:rsid w:val="2B131DCA"/>
    <w:rsid w:val="2B2E3390"/>
    <w:rsid w:val="2B3B34B3"/>
    <w:rsid w:val="2B3B68B8"/>
    <w:rsid w:val="2B7B4E11"/>
    <w:rsid w:val="2B9048AB"/>
    <w:rsid w:val="2BD13C9F"/>
    <w:rsid w:val="2BD918A6"/>
    <w:rsid w:val="2BDA24A2"/>
    <w:rsid w:val="2C076067"/>
    <w:rsid w:val="2C324A12"/>
    <w:rsid w:val="2C344C3F"/>
    <w:rsid w:val="2C424ABA"/>
    <w:rsid w:val="2C540414"/>
    <w:rsid w:val="2C790E26"/>
    <w:rsid w:val="2C7F79DA"/>
    <w:rsid w:val="2C9A284E"/>
    <w:rsid w:val="2CA70830"/>
    <w:rsid w:val="2CB216AE"/>
    <w:rsid w:val="2CB63C4C"/>
    <w:rsid w:val="2D614E83"/>
    <w:rsid w:val="2D651562"/>
    <w:rsid w:val="2D6B7AAF"/>
    <w:rsid w:val="2D7D6F89"/>
    <w:rsid w:val="2D8D115E"/>
    <w:rsid w:val="2D9516F9"/>
    <w:rsid w:val="2D991966"/>
    <w:rsid w:val="2DA90D03"/>
    <w:rsid w:val="2E0B05CC"/>
    <w:rsid w:val="2E0C316C"/>
    <w:rsid w:val="2E3B1E87"/>
    <w:rsid w:val="2E7D0ACF"/>
    <w:rsid w:val="2ECC7A3A"/>
    <w:rsid w:val="2ECF6DA2"/>
    <w:rsid w:val="2EEB2150"/>
    <w:rsid w:val="2EF8278F"/>
    <w:rsid w:val="2F1A178D"/>
    <w:rsid w:val="2F336920"/>
    <w:rsid w:val="2F7E0BC8"/>
    <w:rsid w:val="2FA90113"/>
    <w:rsid w:val="2FD9574E"/>
    <w:rsid w:val="305D78CF"/>
    <w:rsid w:val="30636D4A"/>
    <w:rsid w:val="30BD0622"/>
    <w:rsid w:val="313D46CB"/>
    <w:rsid w:val="31815C25"/>
    <w:rsid w:val="31A139C8"/>
    <w:rsid w:val="31D90AE5"/>
    <w:rsid w:val="31FA1A5A"/>
    <w:rsid w:val="32261152"/>
    <w:rsid w:val="32314944"/>
    <w:rsid w:val="324F15E1"/>
    <w:rsid w:val="326A6F7D"/>
    <w:rsid w:val="327F61E4"/>
    <w:rsid w:val="32CF49A8"/>
    <w:rsid w:val="32FC322E"/>
    <w:rsid w:val="33710BD8"/>
    <w:rsid w:val="33B51A84"/>
    <w:rsid w:val="33E62F9E"/>
    <w:rsid w:val="33E86AD8"/>
    <w:rsid w:val="34323FED"/>
    <w:rsid w:val="348F575B"/>
    <w:rsid w:val="349B6ECC"/>
    <w:rsid w:val="349E3596"/>
    <w:rsid w:val="34AF609A"/>
    <w:rsid w:val="34D32B0A"/>
    <w:rsid w:val="34D81ECE"/>
    <w:rsid w:val="34E17F73"/>
    <w:rsid w:val="34F00851"/>
    <w:rsid w:val="34FF1919"/>
    <w:rsid w:val="35144EAB"/>
    <w:rsid w:val="353F122E"/>
    <w:rsid w:val="354B6B44"/>
    <w:rsid w:val="354C0D8E"/>
    <w:rsid w:val="355653DF"/>
    <w:rsid w:val="3561657A"/>
    <w:rsid w:val="356335F4"/>
    <w:rsid w:val="357B414C"/>
    <w:rsid w:val="358873AC"/>
    <w:rsid w:val="358B3972"/>
    <w:rsid w:val="35AA1552"/>
    <w:rsid w:val="35F86775"/>
    <w:rsid w:val="366F6862"/>
    <w:rsid w:val="3672388A"/>
    <w:rsid w:val="374567D3"/>
    <w:rsid w:val="3751597B"/>
    <w:rsid w:val="37A82A9E"/>
    <w:rsid w:val="37D82AAC"/>
    <w:rsid w:val="37F521FD"/>
    <w:rsid w:val="37F66D0C"/>
    <w:rsid w:val="383F00DF"/>
    <w:rsid w:val="384A74DA"/>
    <w:rsid w:val="386746B5"/>
    <w:rsid w:val="386A230C"/>
    <w:rsid w:val="38C32900"/>
    <w:rsid w:val="38EC7ABE"/>
    <w:rsid w:val="38F64623"/>
    <w:rsid w:val="390A1133"/>
    <w:rsid w:val="39143665"/>
    <w:rsid w:val="3915466C"/>
    <w:rsid w:val="39194863"/>
    <w:rsid w:val="392E4497"/>
    <w:rsid w:val="396B373A"/>
    <w:rsid w:val="39AA1BDB"/>
    <w:rsid w:val="39CF3832"/>
    <w:rsid w:val="39E72E49"/>
    <w:rsid w:val="3A0A0D7C"/>
    <w:rsid w:val="3A1E32BF"/>
    <w:rsid w:val="3A23143E"/>
    <w:rsid w:val="3A277BC7"/>
    <w:rsid w:val="3A7561D8"/>
    <w:rsid w:val="3A7E3A14"/>
    <w:rsid w:val="3A80361F"/>
    <w:rsid w:val="3A865F28"/>
    <w:rsid w:val="3AC52EF5"/>
    <w:rsid w:val="3AE94581"/>
    <w:rsid w:val="3B2F5AED"/>
    <w:rsid w:val="3B4C7172"/>
    <w:rsid w:val="3B715851"/>
    <w:rsid w:val="3B806E1C"/>
    <w:rsid w:val="3B9801FA"/>
    <w:rsid w:val="3BDF7CFD"/>
    <w:rsid w:val="3C4F2391"/>
    <w:rsid w:val="3C6E0C3A"/>
    <w:rsid w:val="3CB9583C"/>
    <w:rsid w:val="3CEB6517"/>
    <w:rsid w:val="3D29600E"/>
    <w:rsid w:val="3D53705D"/>
    <w:rsid w:val="3D57747E"/>
    <w:rsid w:val="3D632326"/>
    <w:rsid w:val="3D864BBD"/>
    <w:rsid w:val="3D8E6D48"/>
    <w:rsid w:val="3DB31D29"/>
    <w:rsid w:val="3DEB5278"/>
    <w:rsid w:val="3DFA2EB5"/>
    <w:rsid w:val="3E2F6F48"/>
    <w:rsid w:val="3E436DA8"/>
    <w:rsid w:val="3E646581"/>
    <w:rsid w:val="3E8601A3"/>
    <w:rsid w:val="3EDA038C"/>
    <w:rsid w:val="3F2B18E8"/>
    <w:rsid w:val="3F350A72"/>
    <w:rsid w:val="3F751147"/>
    <w:rsid w:val="3FCA4E34"/>
    <w:rsid w:val="3FF136EB"/>
    <w:rsid w:val="3FF259FA"/>
    <w:rsid w:val="40186E22"/>
    <w:rsid w:val="401B4D99"/>
    <w:rsid w:val="40606E6F"/>
    <w:rsid w:val="40664660"/>
    <w:rsid w:val="409262A8"/>
    <w:rsid w:val="4093139F"/>
    <w:rsid w:val="40A5618A"/>
    <w:rsid w:val="40A6560B"/>
    <w:rsid w:val="40E37D9E"/>
    <w:rsid w:val="4103249F"/>
    <w:rsid w:val="41055475"/>
    <w:rsid w:val="41055DF9"/>
    <w:rsid w:val="410F101C"/>
    <w:rsid w:val="41151642"/>
    <w:rsid w:val="41316913"/>
    <w:rsid w:val="419E1DAA"/>
    <w:rsid w:val="41D4089C"/>
    <w:rsid w:val="422A715E"/>
    <w:rsid w:val="42492118"/>
    <w:rsid w:val="42522B0D"/>
    <w:rsid w:val="427B7763"/>
    <w:rsid w:val="42CC4877"/>
    <w:rsid w:val="42EB2481"/>
    <w:rsid w:val="43140832"/>
    <w:rsid w:val="43374264"/>
    <w:rsid w:val="43AB2818"/>
    <w:rsid w:val="43D63EC1"/>
    <w:rsid w:val="43E813A0"/>
    <w:rsid w:val="4401407F"/>
    <w:rsid w:val="44140743"/>
    <w:rsid w:val="441623DD"/>
    <w:rsid w:val="44323DCE"/>
    <w:rsid w:val="445A69C7"/>
    <w:rsid w:val="44CE0BF8"/>
    <w:rsid w:val="44D01EDE"/>
    <w:rsid w:val="44DF4BB3"/>
    <w:rsid w:val="44ED48A1"/>
    <w:rsid w:val="45200DC2"/>
    <w:rsid w:val="4528628F"/>
    <w:rsid w:val="45401AF6"/>
    <w:rsid w:val="45632281"/>
    <w:rsid w:val="456546FE"/>
    <w:rsid w:val="45965BB9"/>
    <w:rsid w:val="45F03C5E"/>
    <w:rsid w:val="45F93E0F"/>
    <w:rsid w:val="460030F5"/>
    <w:rsid w:val="460446E2"/>
    <w:rsid w:val="461528CD"/>
    <w:rsid w:val="468C7AD1"/>
    <w:rsid w:val="46FA429A"/>
    <w:rsid w:val="472557C8"/>
    <w:rsid w:val="472B56FE"/>
    <w:rsid w:val="473E34E4"/>
    <w:rsid w:val="47734324"/>
    <w:rsid w:val="47A31545"/>
    <w:rsid w:val="47CE1F53"/>
    <w:rsid w:val="483E43EF"/>
    <w:rsid w:val="486C0E54"/>
    <w:rsid w:val="48C20A13"/>
    <w:rsid w:val="48EF78F3"/>
    <w:rsid w:val="49042E3A"/>
    <w:rsid w:val="492D7546"/>
    <w:rsid w:val="493528E3"/>
    <w:rsid w:val="49496A9F"/>
    <w:rsid w:val="49957F36"/>
    <w:rsid w:val="49D67507"/>
    <w:rsid w:val="49E774BC"/>
    <w:rsid w:val="49EC4AE4"/>
    <w:rsid w:val="4A4C31D0"/>
    <w:rsid w:val="4A971109"/>
    <w:rsid w:val="4AA11836"/>
    <w:rsid w:val="4AC60981"/>
    <w:rsid w:val="4B152373"/>
    <w:rsid w:val="4B2071F5"/>
    <w:rsid w:val="4B2A0253"/>
    <w:rsid w:val="4B3D244C"/>
    <w:rsid w:val="4B5300A9"/>
    <w:rsid w:val="4BDB765E"/>
    <w:rsid w:val="4BE53BA4"/>
    <w:rsid w:val="4C1B7736"/>
    <w:rsid w:val="4C464BBF"/>
    <w:rsid w:val="4C4D05FF"/>
    <w:rsid w:val="4C562E95"/>
    <w:rsid w:val="4C9C607E"/>
    <w:rsid w:val="4CC528E0"/>
    <w:rsid w:val="4CE52F83"/>
    <w:rsid w:val="4D6749E1"/>
    <w:rsid w:val="4D8509DE"/>
    <w:rsid w:val="4D861CB1"/>
    <w:rsid w:val="4D916E18"/>
    <w:rsid w:val="4DCB4381"/>
    <w:rsid w:val="4E1A1924"/>
    <w:rsid w:val="4E2459D2"/>
    <w:rsid w:val="4E835519"/>
    <w:rsid w:val="4EBB60C4"/>
    <w:rsid w:val="4F1155A6"/>
    <w:rsid w:val="4F374A05"/>
    <w:rsid w:val="4F520691"/>
    <w:rsid w:val="4F8802BC"/>
    <w:rsid w:val="4FBD6EDF"/>
    <w:rsid w:val="4FDA60DB"/>
    <w:rsid w:val="4FE34E3B"/>
    <w:rsid w:val="4FEF576E"/>
    <w:rsid w:val="5007030F"/>
    <w:rsid w:val="50407123"/>
    <w:rsid w:val="50775EC4"/>
    <w:rsid w:val="50956257"/>
    <w:rsid w:val="50E62E0A"/>
    <w:rsid w:val="51046B59"/>
    <w:rsid w:val="51054803"/>
    <w:rsid w:val="512266A4"/>
    <w:rsid w:val="512D4C56"/>
    <w:rsid w:val="51335B97"/>
    <w:rsid w:val="51377DDE"/>
    <w:rsid w:val="51E32AF7"/>
    <w:rsid w:val="51F1365C"/>
    <w:rsid w:val="5248112B"/>
    <w:rsid w:val="525804FF"/>
    <w:rsid w:val="52895153"/>
    <w:rsid w:val="5295371B"/>
    <w:rsid w:val="52973C78"/>
    <w:rsid w:val="52E25508"/>
    <w:rsid w:val="52F04BB1"/>
    <w:rsid w:val="531225F7"/>
    <w:rsid w:val="533B291C"/>
    <w:rsid w:val="535715BB"/>
    <w:rsid w:val="535D38EA"/>
    <w:rsid w:val="53BA10A2"/>
    <w:rsid w:val="54281F63"/>
    <w:rsid w:val="5472334E"/>
    <w:rsid w:val="54E255D7"/>
    <w:rsid w:val="5527503A"/>
    <w:rsid w:val="556C5FEF"/>
    <w:rsid w:val="558C48E3"/>
    <w:rsid w:val="55BD0FB5"/>
    <w:rsid w:val="55D01602"/>
    <w:rsid w:val="55F70838"/>
    <w:rsid w:val="561121E7"/>
    <w:rsid w:val="57062EA5"/>
    <w:rsid w:val="572C64F5"/>
    <w:rsid w:val="57684EDC"/>
    <w:rsid w:val="579C77A4"/>
    <w:rsid w:val="57C124AC"/>
    <w:rsid w:val="57C337C0"/>
    <w:rsid w:val="57FC209D"/>
    <w:rsid w:val="58276B45"/>
    <w:rsid w:val="5865131C"/>
    <w:rsid w:val="589E5E4C"/>
    <w:rsid w:val="58A33F96"/>
    <w:rsid w:val="58A53CDA"/>
    <w:rsid w:val="58D85CD8"/>
    <w:rsid w:val="58F46E12"/>
    <w:rsid w:val="58FE7460"/>
    <w:rsid w:val="5902178A"/>
    <w:rsid w:val="59457027"/>
    <w:rsid w:val="59544C65"/>
    <w:rsid w:val="5988532A"/>
    <w:rsid w:val="59AE3B0F"/>
    <w:rsid w:val="5A251300"/>
    <w:rsid w:val="5A3C5FDA"/>
    <w:rsid w:val="5A460260"/>
    <w:rsid w:val="5A4F2EF0"/>
    <w:rsid w:val="5A9C6BF7"/>
    <w:rsid w:val="5AA80201"/>
    <w:rsid w:val="5AAA5310"/>
    <w:rsid w:val="5AD57571"/>
    <w:rsid w:val="5AF8647B"/>
    <w:rsid w:val="5B296200"/>
    <w:rsid w:val="5B8B2F47"/>
    <w:rsid w:val="5BAD42EB"/>
    <w:rsid w:val="5BD82630"/>
    <w:rsid w:val="5BE311DB"/>
    <w:rsid w:val="5BE34B31"/>
    <w:rsid w:val="5BFA3C63"/>
    <w:rsid w:val="5C021EAE"/>
    <w:rsid w:val="5C0F5926"/>
    <w:rsid w:val="5C1579F6"/>
    <w:rsid w:val="5C42306A"/>
    <w:rsid w:val="5C4B7644"/>
    <w:rsid w:val="5C881D34"/>
    <w:rsid w:val="5CBD79F5"/>
    <w:rsid w:val="5D061979"/>
    <w:rsid w:val="5D29153F"/>
    <w:rsid w:val="5D3E7198"/>
    <w:rsid w:val="5DE402B6"/>
    <w:rsid w:val="5DE45C50"/>
    <w:rsid w:val="5DEE75C7"/>
    <w:rsid w:val="5E181846"/>
    <w:rsid w:val="5E235DB4"/>
    <w:rsid w:val="5E3C677A"/>
    <w:rsid w:val="5E6336A5"/>
    <w:rsid w:val="5E9F2542"/>
    <w:rsid w:val="5EBF3633"/>
    <w:rsid w:val="5ED538C2"/>
    <w:rsid w:val="5F0916FE"/>
    <w:rsid w:val="5F0E7793"/>
    <w:rsid w:val="5F5462E8"/>
    <w:rsid w:val="5FBF3971"/>
    <w:rsid w:val="5FD3782E"/>
    <w:rsid w:val="600965D4"/>
    <w:rsid w:val="603B7020"/>
    <w:rsid w:val="60544296"/>
    <w:rsid w:val="607438AF"/>
    <w:rsid w:val="60906176"/>
    <w:rsid w:val="60B43AEE"/>
    <w:rsid w:val="60CF7600"/>
    <w:rsid w:val="60D61518"/>
    <w:rsid w:val="60FD5236"/>
    <w:rsid w:val="61052A1A"/>
    <w:rsid w:val="617E36D4"/>
    <w:rsid w:val="61BA6AF0"/>
    <w:rsid w:val="61BC2EF9"/>
    <w:rsid w:val="61BD7BD2"/>
    <w:rsid w:val="61F94CE4"/>
    <w:rsid w:val="62353F65"/>
    <w:rsid w:val="629761F7"/>
    <w:rsid w:val="62EF3BF7"/>
    <w:rsid w:val="633A772C"/>
    <w:rsid w:val="63566557"/>
    <w:rsid w:val="637A374D"/>
    <w:rsid w:val="6394187F"/>
    <w:rsid w:val="63C87BFD"/>
    <w:rsid w:val="63D0096A"/>
    <w:rsid w:val="63D35EF3"/>
    <w:rsid w:val="63E862A9"/>
    <w:rsid w:val="643A472D"/>
    <w:rsid w:val="644A1564"/>
    <w:rsid w:val="646E2275"/>
    <w:rsid w:val="647C5B23"/>
    <w:rsid w:val="64960712"/>
    <w:rsid w:val="649C0975"/>
    <w:rsid w:val="649C3D6C"/>
    <w:rsid w:val="64CF0900"/>
    <w:rsid w:val="64D944B3"/>
    <w:rsid w:val="64E86FDB"/>
    <w:rsid w:val="65027E79"/>
    <w:rsid w:val="65982AEA"/>
    <w:rsid w:val="65B337C6"/>
    <w:rsid w:val="65B434AD"/>
    <w:rsid w:val="65D5373C"/>
    <w:rsid w:val="65E31FAA"/>
    <w:rsid w:val="65F33662"/>
    <w:rsid w:val="65FB2030"/>
    <w:rsid w:val="661D6873"/>
    <w:rsid w:val="668D0C53"/>
    <w:rsid w:val="669940FD"/>
    <w:rsid w:val="66C1318B"/>
    <w:rsid w:val="66DF014C"/>
    <w:rsid w:val="67194127"/>
    <w:rsid w:val="67507556"/>
    <w:rsid w:val="676651FD"/>
    <w:rsid w:val="67746A37"/>
    <w:rsid w:val="67E759A9"/>
    <w:rsid w:val="68000AD6"/>
    <w:rsid w:val="68176DDB"/>
    <w:rsid w:val="684D3A5E"/>
    <w:rsid w:val="68816E27"/>
    <w:rsid w:val="688612AF"/>
    <w:rsid w:val="692F32EE"/>
    <w:rsid w:val="694C5FC3"/>
    <w:rsid w:val="69526FA3"/>
    <w:rsid w:val="699456BD"/>
    <w:rsid w:val="699F653B"/>
    <w:rsid w:val="69F60876"/>
    <w:rsid w:val="6A520821"/>
    <w:rsid w:val="6A7226D8"/>
    <w:rsid w:val="6AB570B9"/>
    <w:rsid w:val="6AC1146F"/>
    <w:rsid w:val="6B036F9E"/>
    <w:rsid w:val="6B324CFA"/>
    <w:rsid w:val="6B374E64"/>
    <w:rsid w:val="6B681A44"/>
    <w:rsid w:val="6B8E0096"/>
    <w:rsid w:val="6BAA7280"/>
    <w:rsid w:val="6BAE5105"/>
    <w:rsid w:val="6BD212C3"/>
    <w:rsid w:val="6BD214FC"/>
    <w:rsid w:val="6BDC674C"/>
    <w:rsid w:val="6C4013B6"/>
    <w:rsid w:val="6CCC5FF3"/>
    <w:rsid w:val="6CCD355B"/>
    <w:rsid w:val="6CDD2671"/>
    <w:rsid w:val="6D1F48CF"/>
    <w:rsid w:val="6D300E7B"/>
    <w:rsid w:val="6DA63DBA"/>
    <w:rsid w:val="6DC14F08"/>
    <w:rsid w:val="6E066E45"/>
    <w:rsid w:val="6E1F5E53"/>
    <w:rsid w:val="6E4A5658"/>
    <w:rsid w:val="6E822F69"/>
    <w:rsid w:val="6E9D63BF"/>
    <w:rsid w:val="6E9F0038"/>
    <w:rsid w:val="6ECE55A0"/>
    <w:rsid w:val="6EF61D6E"/>
    <w:rsid w:val="6F596A87"/>
    <w:rsid w:val="6F5D2F83"/>
    <w:rsid w:val="6F9163B6"/>
    <w:rsid w:val="6FA80D31"/>
    <w:rsid w:val="6FAE78D6"/>
    <w:rsid w:val="6FD769F9"/>
    <w:rsid w:val="6FE078AE"/>
    <w:rsid w:val="6FE54186"/>
    <w:rsid w:val="702A4743"/>
    <w:rsid w:val="702F613F"/>
    <w:rsid w:val="706D0346"/>
    <w:rsid w:val="706E6C67"/>
    <w:rsid w:val="707101F0"/>
    <w:rsid w:val="70756248"/>
    <w:rsid w:val="70761FC0"/>
    <w:rsid w:val="708867B8"/>
    <w:rsid w:val="70B80DB9"/>
    <w:rsid w:val="70D816CA"/>
    <w:rsid w:val="71096211"/>
    <w:rsid w:val="71527F65"/>
    <w:rsid w:val="71645B2C"/>
    <w:rsid w:val="71BA118A"/>
    <w:rsid w:val="71BE3082"/>
    <w:rsid w:val="72324855"/>
    <w:rsid w:val="72B15264"/>
    <w:rsid w:val="72DC012C"/>
    <w:rsid w:val="72DF3E4C"/>
    <w:rsid w:val="734A50D3"/>
    <w:rsid w:val="73D80034"/>
    <w:rsid w:val="73E524A5"/>
    <w:rsid w:val="740535B3"/>
    <w:rsid w:val="7407608E"/>
    <w:rsid w:val="74147B26"/>
    <w:rsid w:val="741A4B9A"/>
    <w:rsid w:val="7435334E"/>
    <w:rsid w:val="74381F98"/>
    <w:rsid w:val="74493C73"/>
    <w:rsid w:val="74881AD8"/>
    <w:rsid w:val="74D33EF1"/>
    <w:rsid w:val="75575F1C"/>
    <w:rsid w:val="755D4667"/>
    <w:rsid w:val="757F1917"/>
    <w:rsid w:val="7597331E"/>
    <w:rsid w:val="75FC1929"/>
    <w:rsid w:val="760E3790"/>
    <w:rsid w:val="763224E5"/>
    <w:rsid w:val="76AF7FDA"/>
    <w:rsid w:val="76B93BF6"/>
    <w:rsid w:val="77087646"/>
    <w:rsid w:val="7709593C"/>
    <w:rsid w:val="770B2B3A"/>
    <w:rsid w:val="771E329E"/>
    <w:rsid w:val="774C0454"/>
    <w:rsid w:val="77D67749"/>
    <w:rsid w:val="78454752"/>
    <w:rsid w:val="7858261A"/>
    <w:rsid w:val="78631D99"/>
    <w:rsid w:val="788747FB"/>
    <w:rsid w:val="789456D9"/>
    <w:rsid w:val="78951413"/>
    <w:rsid w:val="78D51559"/>
    <w:rsid w:val="7917542B"/>
    <w:rsid w:val="791E2AAF"/>
    <w:rsid w:val="796F447B"/>
    <w:rsid w:val="797C3CA1"/>
    <w:rsid w:val="798B0534"/>
    <w:rsid w:val="799A4A63"/>
    <w:rsid w:val="79E616FD"/>
    <w:rsid w:val="7A1824E2"/>
    <w:rsid w:val="7A4904BA"/>
    <w:rsid w:val="7A5050EA"/>
    <w:rsid w:val="7A5231B0"/>
    <w:rsid w:val="7A6330F9"/>
    <w:rsid w:val="7A6D5BF9"/>
    <w:rsid w:val="7A710772"/>
    <w:rsid w:val="7A8171F6"/>
    <w:rsid w:val="7A827066"/>
    <w:rsid w:val="7A937080"/>
    <w:rsid w:val="7AAF1192"/>
    <w:rsid w:val="7B2D07A3"/>
    <w:rsid w:val="7B675D96"/>
    <w:rsid w:val="7B9C5372"/>
    <w:rsid w:val="7B9D2AF7"/>
    <w:rsid w:val="7BFF517E"/>
    <w:rsid w:val="7C3B6960"/>
    <w:rsid w:val="7C9A03CD"/>
    <w:rsid w:val="7CB83D29"/>
    <w:rsid w:val="7CD61A75"/>
    <w:rsid w:val="7D012C11"/>
    <w:rsid w:val="7D1E74D1"/>
    <w:rsid w:val="7D35560A"/>
    <w:rsid w:val="7D495CC7"/>
    <w:rsid w:val="7D837B9D"/>
    <w:rsid w:val="7DD10841"/>
    <w:rsid w:val="7DEF5F87"/>
    <w:rsid w:val="7E4C4147"/>
    <w:rsid w:val="7E5F399E"/>
    <w:rsid w:val="7E62107B"/>
    <w:rsid w:val="7F12423C"/>
    <w:rsid w:val="7F2B1794"/>
    <w:rsid w:val="7F345520"/>
    <w:rsid w:val="7F4D648D"/>
    <w:rsid w:val="7F62208D"/>
    <w:rsid w:val="7F652BE3"/>
    <w:rsid w:val="7FBA365B"/>
    <w:rsid w:val="7FDF36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qFormat/>
    <w:uiPriority w:val="0"/>
    <w:pPr>
      <w:jc w:val="left"/>
    </w:pPr>
  </w:style>
  <w:style w:type="paragraph" w:styleId="4">
    <w:name w:val="Body Text Indent"/>
    <w:basedOn w:val="1"/>
    <w:qFormat/>
    <w:uiPriority w:val="0"/>
    <w:pPr>
      <w:spacing w:after="120"/>
      <w:ind w:left="420" w:leftChars="200"/>
    </w:pPr>
  </w:style>
  <w:style w:type="paragraph" w:styleId="5">
    <w:name w:val="toc 3"/>
    <w:basedOn w:val="1"/>
    <w:next w:val="1"/>
    <w:qFormat/>
    <w:uiPriority w:val="0"/>
    <w:pPr>
      <w:ind w:left="840" w:leftChars="400"/>
    </w:p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微软雅黑" w:hAnsi="微软雅黑" w:eastAsia="微软雅黑" w:cs="微软雅黑"/>
      <w:kern w:val="0"/>
      <w:sz w:val="24"/>
      <w:lang w:val="en-US" w:eastAsia="zh-CN" w:bidi="ar"/>
    </w:rPr>
  </w:style>
  <w:style w:type="paragraph" w:styleId="9">
    <w:name w:val="Body Text First Indent 2"/>
    <w:basedOn w:val="4"/>
    <w:next w:val="1"/>
    <w:qFormat/>
    <w:uiPriority w:val="0"/>
    <w:pPr>
      <w:ind w:firstLine="420" w:firstLineChars="200"/>
    </w:pPr>
  </w:style>
  <w:style w:type="character" w:styleId="12">
    <w:name w:val="Strong"/>
    <w:basedOn w:val="11"/>
    <w:qFormat/>
    <w:uiPriority w:val="0"/>
    <w:rPr>
      <w:b/>
      <w:bCs/>
    </w:rPr>
  </w:style>
  <w:style w:type="character" w:styleId="13">
    <w:name w:val="FollowedHyperlink"/>
    <w:basedOn w:val="11"/>
    <w:qFormat/>
    <w:uiPriority w:val="0"/>
    <w:rPr>
      <w:color w:val="333333"/>
      <w:u w:val="none"/>
    </w:rPr>
  </w:style>
  <w:style w:type="character" w:styleId="14">
    <w:name w:val="Emphasis"/>
    <w:basedOn w:val="11"/>
    <w:qFormat/>
    <w:uiPriority w:val="0"/>
    <w:rPr>
      <w:rFonts w:ascii="微软雅黑" w:hAnsi="微软雅黑" w:eastAsia="微软雅黑" w:cs="微软雅黑"/>
    </w:rPr>
  </w:style>
  <w:style w:type="character" w:styleId="15">
    <w:name w:val="Hyperlink"/>
    <w:basedOn w:val="11"/>
    <w:qFormat/>
    <w:uiPriority w:val="0"/>
    <w:rPr>
      <w:color w:val="333333"/>
      <w:u w:val="none"/>
    </w:rPr>
  </w:style>
  <w:style w:type="character" w:customStyle="1" w:styleId="16">
    <w:name w:val="after"/>
    <w:basedOn w:val="11"/>
    <w:qFormat/>
    <w:uiPriority w:val="0"/>
    <w:rPr>
      <w:shd w:val="clear" w:color="auto" w:fill="FFFFFF"/>
    </w:rPr>
  </w:style>
  <w:style w:type="character" w:customStyle="1" w:styleId="17">
    <w:name w:val="text"/>
    <w:basedOn w:val="11"/>
    <w:qFormat/>
    <w:uiPriority w:val="0"/>
    <w:rPr>
      <w:color w:val="666666"/>
    </w:rPr>
  </w:style>
  <w:style w:type="character" w:customStyle="1" w:styleId="18">
    <w:name w:val="last"/>
    <w:basedOn w:val="11"/>
    <w:qFormat/>
    <w:uiPriority w:val="0"/>
  </w:style>
  <w:style w:type="character" w:customStyle="1" w:styleId="19">
    <w:name w:val="bsharetext"/>
    <w:basedOn w:val="11"/>
    <w:qFormat/>
    <w:uiPriority w:val="0"/>
  </w:style>
  <w:style w:type="paragraph" w:styleId="2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6690</Words>
  <Characters>7005</Characters>
  <Lines>0</Lines>
  <Paragraphs>0</Paragraphs>
  <TotalTime>41</TotalTime>
  <ScaleCrop>false</ScaleCrop>
  <LinksUpToDate>false</LinksUpToDate>
  <CharactersWithSpaces>7014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think</dc:creator>
  <cp:lastModifiedBy>Administrator</cp:lastModifiedBy>
  <dcterms:modified xsi:type="dcterms:W3CDTF">2025-11-13T04:28:58Z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CE74D474CDDB4C34B11403718EC0D1F2_13</vt:lpwstr>
  </property>
  <property fmtid="{D5CDD505-2E9C-101B-9397-08002B2CF9AE}" pid="4" name="KSOTemplateDocerSaveRecord">
    <vt:lpwstr>eyJoZGlkIjoiY2UxYTY5Njg0NWU1NDU5MmE3NzhjZDNiMDAyZDZjNWUiLCJ1c2VySWQiOiIxMTEwNzY4OCJ9</vt:lpwstr>
  </property>
</Properties>
</file>