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hint="eastAsia" w:ascii="宋体" w:hAnsi="宋体" w:cs="宋体"/>
          <w:b/>
          <w:kern w:val="0"/>
          <w:sz w:val="48"/>
          <w:szCs w:val="48"/>
        </w:rPr>
      </w:pPr>
      <w:r>
        <w:rPr>
          <w:rFonts w:hint="eastAsia" w:ascii="宋体" w:hAnsi="宋体" w:cs="宋体"/>
          <w:b/>
          <w:kern w:val="0"/>
          <w:sz w:val="48"/>
          <w:szCs w:val="48"/>
        </w:rPr>
        <w:t>霍尔果斯南部产业园区管理委员会</w:t>
      </w:r>
      <w:r>
        <w:rPr>
          <w:rFonts w:hint="eastAsia" w:ascii="宋体" w:hAnsi="宋体" w:cs="宋体"/>
          <w:b/>
          <w:kern w:val="0"/>
          <w:sz w:val="48"/>
          <w:szCs w:val="48"/>
          <w:lang w:val="en-US" w:eastAsia="zh-CN"/>
        </w:rPr>
        <w:t>部门</w:t>
      </w:r>
      <w:r>
        <w:rPr>
          <w:rFonts w:hint="eastAsia" w:ascii="宋体" w:hAnsi="宋体" w:cs="宋体"/>
          <w:b/>
          <w:kern w:val="0"/>
          <w:sz w:val="48"/>
          <w:szCs w:val="48"/>
        </w:rPr>
        <w:t>整体支出绩效自评报告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（2024年度）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pStyle w:val="2"/>
        <w:rPr>
          <w:rFonts w:hAnsi="宋体" w:eastAsia="仿宋_GB2312" w:cs="宋体"/>
          <w:kern w:val="0"/>
          <w:sz w:val="30"/>
          <w:szCs w:val="30"/>
        </w:rPr>
      </w:pPr>
    </w:p>
    <w:p>
      <w:pPr>
        <w:pStyle w:val="2"/>
        <w:rPr>
          <w:rFonts w:hAnsi="宋体" w:eastAsia="仿宋_GB2312" w:cs="宋体"/>
          <w:kern w:val="0"/>
          <w:sz w:val="30"/>
          <w:szCs w:val="30"/>
        </w:rPr>
      </w:pPr>
    </w:p>
    <w:p>
      <w:pPr>
        <w:pStyle w:val="2"/>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700" w:lineRule="exact"/>
        <w:jc w:val="left"/>
        <w:rPr>
          <w:rFonts w:hint="eastAsia" w:hAnsi="宋体" w:eastAsia="仿宋_GB2312" w:cs="宋体"/>
          <w:kern w:val="0"/>
          <w:sz w:val="36"/>
          <w:szCs w:val="36"/>
        </w:rPr>
      </w:pPr>
    </w:p>
    <w:p>
      <w:pPr>
        <w:spacing w:line="700" w:lineRule="exact"/>
        <w:ind w:left="3960" w:hanging="3960" w:hangingChars="1100"/>
        <w:jc w:val="both"/>
        <w:rPr>
          <w:rFonts w:hint="eastAsia" w:hAnsi="宋体" w:eastAsia="仿宋_GB2312" w:cs="宋体"/>
          <w:kern w:val="0"/>
          <w:sz w:val="36"/>
          <w:szCs w:val="36"/>
        </w:rPr>
      </w:pPr>
      <w:r>
        <w:rPr>
          <w:rFonts w:hint="eastAsia" w:hAnsi="宋体" w:eastAsia="仿宋_GB2312" w:cs="宋体"/>
          <w:kern w:val="0"/>
          <w:sz w:val="36"/>
          <w:szCs w:val="36"/>
        </w:rPr>
        <w:t>部门单位名称（公章）：霍尔果斯南部产业园区管理委员会</w:t>
      </w:r>
    </w:p>
    <w:p>
      <w:pPr>
        <w:spacing w:line="700" w:lineRule="exact"/>
        <w:jc w:val="both"/>
        <w:rPr>
          <w:rFonts w:hAnsi="宋体" w:eastAsia="仿宋_GB2312" w:cs="宋体"/>
          <w:kern w:val="0"/>
          <w:sz w:val="36"/>
          <w:szCs w:val="36"/>
        </w:rPr>
      </w:pPr>
      <w:r>
        <w:rPr>
          <w:rFonts w:hint="eastAsia" w:hAnsi="宋体" w:eastAsia="仿宋_GB2312" w:cs="宋体"/>
          <w:kern w:val="0"/>
          <w:sz w:val="36"/>
          <w:szCs w:val="36"/>
        </w:rPr>
        <w:t>填报时间：2025年4月 2日</w:t>
      </w:r>
    </w:p>
    <w:p>
      <w:pPr>
        <w:spacing w:line="700" w:lineRule="exact"/>
        <w:jc w:val="center"/>
        <w:rPr>
          <w:rFonts w:hAnsi="宋体" w:eastAsia="仿宋_GB2312" w:cs="宋体"/>
          <w:kern w:val="0"/>
          <w:sz w:val="36"/>
          <w:szCs w:val="36"/>
        </w:rPr>
        <w:sectPr>
          <w:pgSz w:w="11906" w:h="16838"/>
          <w:pgMar w:top="1440" w:right="1800" w:bottom="1440" w:left="1800" w:header="851" w:footer="992" w:gutter="0"/>
          <w:cols w:space="720" w:num="1"/>
          <w:docGrid w:type="lines" w:linePitch="312" w:charSpace="0"/>
        </w:sectPr>
      </w:pPr>
    </w:p>
    <w:p>
      <w:pPr>
        <w:snapToGrid w:val="0"/>
        <w:spacing w:line="560" w:lineRule="exact"/>
        <w:ind w:firstLine="640" w:firstLineChars="200"/>
        <w:outlineLvl w:val="0"/>
        <w:rPr>
          <w:rFonts w:hint="eastAsia" w:ascii="黑体" w:hAnsi="黑体" w:eastAsia="黑体" w:cs="宋体"/>
          <w:bCs/>
          <w:color w:val="333333"/>
          <w:sz w:val="32"/>
          <w:szCs w:val="32"/>
          <w:lang w:bidi="ar"/>
        </w:rPr>
      </w:pPr>
      <w:bookmarkStart w:id="0" w:name="_Toc17212"/>
      <w:r>
        <w:rPr>
          <w:rFonts w:hint="eastAsia" w:ascii="黑体" w:hAnsi="黑体" w:eastAsia="黑体" w:cs="宋体"/>
          <w:bCs/>
          <w:color w:val="333333"/>
          <w:sz w:val="32"/>
          <w:szCs w:val="32"/>
          <w:lang w:bidi="ar"/>
        </w:rPr>
        <w:t>一、基本概况</w:t>
      </w:r>
      <w:bookmarkEnd w:id="0"/>
    </w:p>
    <w:p>
      <w:pPr>
        <w:snapToGrid w:val="0"/>
        <w:spacing w:line="560" w:lineRule="exact"/>
        <w:ind w:left="638" w:leftChars="304"/>
        <w:outlineLvl w:val="1"/>
        <w:rPr>
          <w:rFonts w:hint="eastAsia" w:ascii="楷体" w:hAnsi="楷体" w:eastAsia="楷体" w:cs="楷体"/>
          <w:b/>
          <w:sz w:val="32"/>
          <w:szCs w:val="32"/>
        </w:rPr>
      </w:pPr>
      <w:bookmarkStart w:id="1" w:name="_Toc18380"/>
      <w:r>
        <w:rPr>
          <w:rFonts w:hint="eastAsia" w:ascii="楷体" w:hAnsi="楷体" w:eastAsia="楷体" w:cs="楷体"/>
          <w:b/>
          <w:sz w:val="32"/>
          <w:szCs w:val="32"/>
        </w:rPr>
        <w:t>（一）部门单位基本情况</w:t>
      </w:r>
      <w:bookmarkEnd w:id="1"/>
    </w:p>
    <w:p>
      <w:pPr>
        <w:snapToGrid w:val="0"/>
        <w:spacing w:line="560" w:lineRule="exact"/>
        <w:ind w:left="638" w:leftChars="304"/>
        <w:rPr>
          <w:rFonts w:hint="eastAsia" w:ascii="仿宋_GB2312" w:hAnsi="仿宋_GB2312" w:eastAsia="仿宋_GB2312" w:cs="仿宋_GB2312"/>
          <w:b/>
          <w:spacing w:val="-4"/>
          <w:sz w:val="32"/>
          <w:szCs w:val="32"/>
        </w:rPr>
      </w:pPr>
      <w:r>
        <w:rPr>
          <w:rFonts w:hint="eastAsia" w:eastAsia="仿宋_GB2312" w:cs="仿宋_GB2312"/>
          <w:b/>
          <w:spacing w:val="-4"/>
          <w:sz w:val="32"/>
          <w:szCs w:val="32"/>
        </w:rPr>
        <w:t>1</w:t>
      </w:r>
      <w:r>
        <w:rPr>
          <w:rFonts w:hint="eastAsia" w:ascii="仿宋_GB2312" w:hAnsi="仿宋_GB2312" w:eastAsia="仿宋_GB2312" w:cs="仿宋_GB2312"/>
          <w:b/>
          <w:spacing w:val="-4"/>
          <w:sz w:val="32"/>
          <w:szCs w:val="32"/>
        </w:rPr>
        <w:t>.主要职能</w:t>
      </w:r>
    </w:p>
    <w:p>
      <w:pPr>
        <w:widowControl/>
        <w:spacing w:line="560" w:lineRule="exact"/>
        <w:ind w:firstLine="624" w:firstLineChars="200"/>
        <w:rPr>
          <w:rStyle w:val="5"/>
          <w:rFonts w:hint="eastAsia" w:ascii="仿宋_GB2312" w:hAnsi="楷体" w:eastAsia="仿宋_GB2312"/>
          <w:b w:val="0"/>
          <w:color w:val="000000"/>
          <w:spacing w:val="-4"/>
          <w:sz w:val="32"/>
          <w:szCs w:val="32"/>
        </w:rPr>
      </w:pPr>
      <w:r>
        <w:rPr>
          <w:rStyle w:val="5"/>
          <w:rFonts w:hint="eastAsia" w:ascii="仿宋_GB2312" w:hAnsi="楷体" w:eastAsia="仿宋_GB2312"/>
          <w:b w:val="0"/>
          <w:color w:val="000000"/>
          <w:spacing w:val="-4"/>
          <w:sz w:val="32"/>
          <w:szCs w:val="32"/>
        </w:rPr>
        <w:t>负责制定南部产业园区发展规划；负责南部产业园区的招商引资及跟踪问效工作；负责入驻企业管理服务工作；负责南部产业园区安全生产、科技创新等工作；负责园区党建、组织、宣传、精神文明等建设工作。</w:t>
      </w:r>
    </w:p>
    <w:p>
      <w:pPr>
        <w:tabs>
          <w:tab w:val="left" w:pos="489"/>
        </w:tabs>
        <w:snapToGrid w:val="0"/>
        <w:spacing w:line="560" w:lineRule="exact"/>
        <w:ind w:left="638" w:leftChars="304"/>
        <w:rPr>
          <w:rFonts w:hint="eastAsia" w:ascii="仿宋_GB2312" w:hAnsi="仿宋_GB2312" w:eastAsia="仿宋_GB2312" w:cs="仿宋_GB2312"/>
          <w:b/>
          <w:sz w:val="32"/>
          <w:szCs w:val="32"/>
        </w:rPr>
      </w:pPr>
      <w:r>
        <w:rPr>
          <w:rStyle w:val="5"/>
          <w:rFonts w:hint="eastAsia" w:eastAsia="仿宋_GB2312" w:cs="仿宋_GB2312"/>
          <w:bCs w:val="0"/>
          <w:color w:val="000000"/>
          <w:spacing w:val="-4"/>
          <w:sz w:val="32"/>
          <w:szCs w:val="32"/>
        </w:rPr>
        <w:t>2</w:t>
      </w:r>
      <w:r>
        <w:rPr>
          <w:rStyle w:val="5"/>
          <w:rFonts w:hint="eastAsia" w:ascii="仿宋_GB2312" w:hAnsi="仿宋_GB2312" w:eastAsia="仿宋_GB2312" w:cs="仿宋_GB2312"/>
          <w:bCs w:val="0"/>
          <w:color w:val="000000"/>
          <w:spacing w:val="-4"/>
          <w:sz w:val="32"/>
          <w:szCs w:val="32"/>
        </w:rPr>
        <w:t>.</w:t>
      </w:r>
      <w:r>
        <w:rPr>
          <w:rFonts w:hint="eastAsia" w:ascii="仿宋_GB2312" w:hAnsi="仿宋_GB2312" w:eastAsia="仿宋_GB2312" w:cs="仿宋_GB2312"/>
          <w:b/>
          <w:sz w:val="32"/>
          <w:szCs w:val="32"/>
        </w:rPr>
        <w:t>机构设置及人员情况</w:t>
      </w:r>
    </w:p>
    <w:p>
      <w:pPr>
        <w:widowControl/>
        <w:spacing w:line="560" w:lineRule="exact"/>
        <w:ind w:firstLine="624" w:firstLineChars="200"/>
        <w:rPr>
          <w:rFonts w:hint="eastAsia" w:ascii="仿宋_GB2312" w:hAnsi="黑体" w:eastAsia="仿宋_GB2312" w:cs="宋体"/>
          <w:b/>
          <w:bCs/>
          <w:color w:val="000000"/>
          <w:kern w:val="0"/>
          <w:sz w:val="32"/>
          <w:szCs w:val="32"/>
        </w:rPr>
      </w:pPr>
      <w:r>
        <w:rPr>
          <w:rStyle w:val="5"/>
          <w:rFonts w:hint="eastAsia" w:ascii="仿宋_GB2312" w:hAnsi="楷体" w:eastAsia="仿宋_GB2312"/>
          <w:b w:val="0"/>
          <w:color w:val="000000"/>
          <w:spacing w:val="-4"/>
          <w:sz w:val="32"/>
          <w:szCs w:val="32"/>
        </w:rPr>
        <w:t>机关内设3个科室：办公室、国土规划办、企业服务中心。</w:t>
      </w:r>
    </w:p>
    <w:p>
      <w:pPr>
        <w:widowControl/>
        <w:spacing w:line="560" w:lineRule="exact"/>
        <w:ind w:firstLine="64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霍尔果斯南部产业园区管理委员会编制数0，实有人数4人，其中：在职4人，增加0人；退休0人。</w:t>
      </w:r>
      <w:r>
        <w:rPr>
          <w:rFonts w:ascii="仿宋_GB2312" w:hAnsi="宋体" w:eastAsia="仿宋_GB2312" w:cs="宋体"/>
          <w:color w:val="000000"/>
          <w:kern w:val="0"/>
          <w:sz w:val="32"/>
          <w:szCs w:val="32"/>
        </w:rPr>
        <w:t xml:space="preserve"> </w:t>
      </w:r>
    </w:p>
    <w:p>
      <w:pPr>
        <w:snapToGrid w:val="0"/>
        <w:spacing w:line="560" w:lineRule="exact"/>
        <w:ind w:left="638" w:leftChars="304"/>
        <w:outlineLvl w:val="1"/>
        <w:rPr>
          <w:rFonts w:hint="eastAsia" w:ascii="楷体" w:hAnsi="楷体" w:eastAsia="楷体" w:cs="楷体"/>
          <w:b/>
          <w:sz w:val="32"/>
          <w:szCs w:val="32"/>
        </w:rPr>
      </w:pPr>
      <w:bookmarkStart w:id="2" w:name="_Toc801"/>
      <w:r>
        <w:rPr>
          <w:rFonts w:hint="eastAsia" w:ascii="楷体" w:hAnsi="楷体" w:eastAsia="楷体" w:cs="楷体"/>
          <w:b/>
          <w:sz w:val="32"/>
          <w:szCs w:val="32"/>
        </w:rPr>
        <w:t>（二）部门单位年度重点工作</w:t>
      </w:r>
      <w:bookmarkEnd w:id="2"/>
    </w:p>
    <w:p>
      <w:pPr>
        <w:spacing w:line="560" w:lineRule="exact"/>
        <w:ind w:firstLine="627" w:firstLineChars="200"/>
        <w:outlineLvl w:val="2"/>
        <w:rPr>
          <w:rFonts w:hint="eastAsia" w:ascii="仿宋_GB2312" w:hAnsi="楷体" w:eastAsia="仿宋_GB2312"/>
          <w:b/>
          <w:spacing w:val="-4"/>
          <w:sz w:val="32"/>
          <w:szCs w:val="32"/>
        </w:rPr>
      </w:pPr>
      <w:bookmarkStart w:id="3" w:name="_Toc8260"/>
      <w:r>
        <w:rPr>
          <w:rFonts w:hint="eastAsia" w:eastAsia="仿宋_GB2312"/>
          <w:b/>
          <w:spacing w:val="-4"/>
          <w:sz w:val="32"/>
          <w:szCs w:val="32"/>
        </w:rPr>
        <w:t>1</w:t>
      </w:r>
      <w:r>
        <w:rPr>
          <w:rFonts w:hint="eastAsia" w:ascii="仿宋_GB2312" w:hAnsi="楷体" w:eastAsia="仿宋_GB2312"/>
          <w:b/>
          <w:spacing w:val="-4"/>
          <w:sz w:val="32"/>
          <w:szCs w:val="32"/>
        </w:rPr>
        <w:t>.年度总体目标</w:t>
      </w:r>
      <w:bookmarkEnd w:id="3"/>
    </w:p>
    <w:p>
      <w:pPr>
        <w:widowControl/>
        <w:spacing w:line="560" w:lineRule="exact"/>
        <w:ind w:firstLine="640"/>
        <w:rPr>
          <w:rFonts w:hint="eastAsia" w:ascii="仿宋_GB2312" w:hAnsi="宋体" w:eastAsia="仿宋_GB2312" w:cs="宋体"/>
          <w:color w:val="000000"/>
          <w:kern w:val="0"/>
          <w:sz w:val="32"/>
          <w:szCs w:val="32"/>
        </w:rPr>
      </w:pPr>
      <w:bookmarkStart w:id="4" w:name="_Toc7397"/>
      <w:r>
        <w:rPr>
          <w:rFonts w:hint="eastAsia" w:ascii="仿宋_GB2312" w:hAnsi="宋体" w:eastAsia="仿宋_GB2312" w:cs="宋体"/>
          <w:color w:val="000000"/>
          <w:kern w:val="0"/>
          <w:sz w:val="32"/>
          <w:szCs w:val="32"/>
        </w:rPr>
        <w:t>贯彻落实市委、市政府工作要求，一是摸排园区企业安全生产工作，有效提高工程质量。二是开展园区主题党日活动，有效提高党建引领经济高质量发展；三是企业服务管理工作，有效优化园区营商环境；四是协助企业办理前期手续工作，有效助力推动项目建设。</w:t>
      </w:r>
    </w:p>
    <w:p>
      <w:pPr>
        <w:spacing w:line="560" w:lineRule="exact"/>
        <w:ind w:firstLine="627" w:firstLineChars="200"/>
        <w:outlineLvl w:val="2"/>
        <w:rPr>
          <w:rFonts w:hint="eastAsia" w:ascii="仿宋_GB2312" w:hAnsi="楷体" w:eastAsia="仿宋_GB2312"/>
          <w:b/>
          <w:spacing w:val="-4"/>
          <w:sz w:val="32"/>
          <w:szCs w:val="32"/>
        </w:rPr>
      </w:pPr>
      <w:r>
        <w:rPr>
          <w:rFonts w:hint="eastAsia" w:eastAsia="仿宋_GB2312"/>
          <w:b/>
          <w:spacing w:val="-4"/>
          <w:sz w:val="32"/>
          <w:szCs w:val="32"/>
        </w:rPr>
        <w:t>2</w:t>
      </w:r>
      <w:r>
        <w:rPr>
          <w:rFonts w:hint="eastAsia" w:ascii="仿宋_GB2312" w:hAnsi="楷体" w:eastAsia="仿宋_GB2312"/>
          <w:b/>
          <w:spacing w:val="-4"/>
          <w:sz w:val="32"/>
          <w:szCs w:val="32"/>
        </w:rPr>
        <w:t>.重点工作计划</w:t>
      </w:r>
      <w:bookmarkEnd w:id="4"/>
    </w:p>
    <w:p>
      <w:pPr>
        <w:widowControl/>
        <w:spacing w:line="560" w:lineRule="exact"/>
        <w:ind w:firstLine="640"/>
        <w:rPr>
          <w:rFonts w:hint="eastAsia" w:ascii="仿宋_GB2312" w:hAnsi="楷体" w:eastAsia="仿宋_GB2312"/>
          <w:bCs/>
          <w:color w:val="FF0000"/>
          <w:spacing w:val="-4"/>
          <w:sz w:val="32"/>
          <w:szCs w:val="32"/>
        </w:rPr>
      </w:pPr>
      <w:r>
        <w:rPr>
          <w:rFonts w:hint="eastAsia" w:ascii="仿宋_GB2312" w:hAnsi="宋体" w:eastAsia="仿宋_GB2312" w:cs="宋体"/>
          <w:b/>
          <w:bCs/>
          <w:color w:val="000000"/>
          <w:kern w:val="0"/>
          <w:sz w:val="32"/>
          <w:szCs w:val="32"/>
          <w:lang w:val="en-US" w:eastAsia="zh-CN"/>
        </w:rPr>
        <w:t>一是</w:t>
      </w:r>
      <w:r>
        <w:rPr>
          <w:rFonts w:hint="eastAsia" w:ascii="仿宋_GB2312" w:hAnsi="宋体" w:eastAsia="仿宋_GB2312" w:cs="宋体"/>
          <w:b/>
          <w:bCs/>
          <w:color w:val="000000"/>
          <w:kern w:val="0"/>
          <w:sz w:val="32"/>
          <w:szCs w:val="32"/>
        </w:rPr>
        <w:t xml:space="preserve">强化基层组织建设，扎实推进各项工作部署落地生根。 </w:t>
      </w:r>
      <w:r>
        <w:rPr>
          <w:rFonts w:hint="eastAsia" w:ascii="仿宋_GB2312" w:hAnsi="宋体" w:eastAsia="仿宋_GB2312" w:cs="宋体"/>
          <w:color w:val="000000"/>
          <w:kern w:val="0"/>
          <w:sz w:val="32"/>
          <w:szCs w:val="32"/>
        </w:rPr>
        <w:t>加强理论学习，坚定理想信念</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rPr>
        <w:t>落细落实各项制度，加强纪律建设</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rPr>
        <w:t>规范程序，过好组织生活。按要求开好“三会一课”,做好党员教育、管理和发展工作；优化主题党日活动开展内容和形式，不断增强党员身份意识，促进各项工作取得新成就。四是深入推进机关作风效能和执行力建设。</w:t>
      </w:r>
      <w:r>
        <w:rPr>
          <w:rFonts w:hint="eastAsia" w:ascii="仿宋_GB2312" w:hAnsi="宋体" w:eastAsia="仿宋_GB2312" w:cs="宋体"/>
          <w:b/>
          <w:bCs/>
          <w:color w:val="000000"/>
          <w:kern w:val="0"/>
          <w:sz w:val="32"/>
          <w:szCs w:val="32"/>
          <w:lang w:val="en-US" w:eastAsia="zh-CN"/>
        </w:rPr>
        <w:t>二是</w:t>
      </w:r>
      <w:r>
        <w:rPr>
          <w:rFonts w:hint="eastAsia" w:ascii="仿宋_GB2312" w:hAnsi="宋体" w:eastAsia="仿宋_GB2312" w:cs="宋体"/>
          <w:b/>
          <w:bCs/>
          <w:color w:val="000000"/>
          <w:kern w:val="0"/>
          <w:sz w:val="32"/>
          <w:szCs w:val="32"/>
        </w:rPr>
        <w:t>不断深化“管委会+公司”改革，向着建设成为一带 一路核心区上重要出口加工组装基地坚定迈进。</w:t>
      </w:r>
      <w:r>
        <w:rPr>
          <w:rFonts w:hint="eastAsia" w:ascii="仿宋_GB2312" w:hAnsi="宋体" w:eastAsia="仿宋_GB2312" w:cs="宋体"/>
          <w:color w:val="000000"/>
          <w:kern w:val="0"/>
          <w:sz w:val="32"/>
          <w:szCs w:val="32"/>
        </w:rPr>
        <w:t>建立起科学、合理和可持续发展的管理体制和运营机制，实现园区治理体系和治理能力现代化。</w:t>
      </w:r>
      <w:r>
        <w:rPr>
          <w:rFonts w:hint="eastAsia" w:ascii="仿宋_GB2312" w:hAnsi="宋体" w:eastAsia="仿宋_GB2312" w:cs="宋体"/>
          <w:b/>
          <w:bCs/>
          <w:color w:val="000000"/>
          <w:kern w:val="0"/>
          <w:sz w:val="32"/>
          <w:szCs w:val="32"/>
          <w:lang w:val="en-US" w:eastAsia="zh-CN"/>
        </w:rPr>
        <w:t>三是</w:t>
      </w:r>
      <w:r>
        <w:rPr>
          <w:rFonts w:hint="eastAsia" w:ascii="仿宋_GB2312" w:hAnsi="宋体" w:eastAsia="仿宋_GB2312" w:cs="宋体"/>
          <w:b/>
          <w:bCs/>
          <w:color w:val="000000"/>
          <w:kern w:val="0"/>
          <w:sz w:val="32"/>
          <w:szCs w:val="32"/>
        </w:rPr>
        <w:t>强化项目建设，突出重点合力攻坚，切实做到投资有成果有效益。</w:t>
      </w:r>
      <w:r>
        <w:rPr>
          <w:rFonts w:hint="eastAsia" w:ascii="仿宋_GB2312" w:hAnsi="宋体" w:eastAsia="仿宋_GB2312" w:cs="宋体"/>
          <w:color w:val="000000"/>
          <w:kern w:val="0"/>
          <w:sz w:val="32"/>
          <w:szCs w:val="32"/>
        </w:rPr>
        <w:t>强化工作机制、抓续建项目早投产、抓新建项目早 开工牢固树立“抓项目就是抓投资、抓项目就是促发展”的理念， 紧盯固定资产投资目标任务，努力形成更多实物投资量</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b/>
          <w:bCs/>
          <w:color w:val="000000"/>
          <w:kern w:val="0"/>
          <w:sz w:val="32"/>
          <w:szCs w:val="32"/>
          <w:lang w:val="en-US" w:eastAsia="zh-CN"/>
        </w:rPr>
        <w:t>四是</w:t>
      </w:r>
      <w:r>
        <w:rPr>
          <w:rFonts w:hint="eastAsia" w:ascii="仿宋_GB2312" w:hAnsi="宋体" w:eastAsia="仿宋_GB2312" w:cs="宋体"/>
          <w:b/>
          <w:bCs/>
          <w:color w:val="000000"/>
          <w:kern w:val="0"/>
          <w:sz w:val="32"/>
          <w:szCs w:val="32"/>
        </w:rPr>
        <w:t>明确工作重点，提升招商成效。</w:t>
      </w:r>
      <w:r>
        <w:rPr>
          <w:rFonts w:hint="eastAsia" w:ascii="仿宋_GB2312" w:hAnsi="宋体" w:eastAsia="仿宋_GB2312" w:cs="宋体"/>
          <w:color w:val="000000"/>
          <w:kern w:val="0"/>
          <w:sz w:val="32"/>
          <w:szCs w:val="32"/>
        </w:rPr>
        <w:t>在“走出去”和“引进来” 上双向发力，抓项目、促招商、扩投资，推动霍尔果斯在实现经济高质量发展上不断取得新进展。</w:t>
      </w:r>
      <w:r>
        <w:rPr>
          <w:rFonts w:hint="eastAsia" w:ascii="仿宋_GB2312" w:hAnsi="宋体" w:eastAsia="仿宋_GB2312" w:cs="宋体"/>
          <w:b/>
          <w:bCs/>
          <w:color w:val="000000"/>
          <w:kern w:val="0"/>
          <w:sz w:val="32"/>
          <w:szCs w:val="32"/>
          <w:lang w:val="en-US" w:eastAsia="zh-CN"/>
        </w:rPr>
        <w:t>五是</w:t>
      </w:r>
      <w:r>
        <w:rPr>
          <w:rFonts w:hint="eastAsia" w:ascii="仿宋_GB2312" w:hAnsi="宋体" w:eastAsia="仿宋_GB2312" w:cs="宋体"/>
          <w:b/>
          <w:bCs/>
          <w:color w:val="000000"/>
          <w:kern w:val="0"/>
          <w:sz w:val="32"/>
          <w:szCs w:val="32"/>
        </w:rPr>
        <w:t>持续优化营商环境，切实做到服务有力度有温度。</w:t>
      </w:r>
      <w:r>
        <w:rPr>
          <w:rFonts w:hint="eastAsia" w:ascii="仿宋_GB2312" w:hAnsi="宋体" w:eastAsia="仿宋_GB2312" w:cs="宋体"/>
          <w:color w:val="000000"/>
          <w:kern w:val="0"/>
          <w:sz w:val="32"/>
          <w:szCs w:val="32"/>
        </w:rPr>
        <w:t>将企业提出的事情“第 一时间办结、第一时间办好”,让“园区效率”最大限度体现在促 进“园区效益”提升上来</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b/>
          <w:bCs/>
          <w:color w:val="000000"/>
          <w:kern w:val="0"/>
          <w:sz w:val="32"/>
          <w:szCs w:val="32"/>
          <w:lang w:val="en-US" w:eastAsia="zh-CN"/>
        </w:rPr>
        <w:t>六是</w:t>
      </w:r>
      <w:r>
        <w:rPr>
          <w:rFonts w:hint="eastAsia" w:ascii="仿宋_GB2312" w:hAnsi="宋体" w:eastAsia="仿宋_GB2312" w:cs="宋体"/>
          <w:b/>
          <w:bCs/>
          <w:color w:val="000000"/>
          <w:kern w:val="0"/>
          <w:sz w:val="32"/>
          <w:szCs w:val="32"/>
        </w:rPr>
        <w:t>提高思想认识，深溯根源，警钟长鸣，狠抓安全生产工作，推动各领域安全生产形势稳定向好。</w:t>
      </w:r>
      <w:r>
        <w:rPr>
          <w:rFonts w:hint="eastAsia" w:ascii="仿宋_GB2312" w:hAnsi="宋体" w:eastAsia="仿宋_GB2312" w:cs="宋体"/>
          <w:color w:val="000000"/>
          <w:kern w:val="0"/>
          <w:sz w:val="32"/>
          <w:szCs w:val="32"/>
        </w:rPr>
        <w:t>在建筑施工领域，结合施工黄金期、抢工期等特点，每月重点对高支模、深基坑等设施设备安全防护措施落实情况全覆盖检查。以日常执法检查和邀请市相关单位查隐患的方式，统筹好监管、建设、总包、分包、监理等各方责任落实。</w:t>
      </w:r>
    </w:p>
    <w:p>
      <w:pPr>
        <w:snapToGrid w:val="0"/>
        <w:spacing w:line="560" w:lineRule="exact"/>
        <w:ind w:left="638" w:leftChars="304"/>
        <w:outlineLvl w:val="1"/>
        <w:rPr>
          <w:rFonts w:hint="eastAsia" w:ascii="楷体" w:hAnsi="楷体" w:eastAsia="楷体" w:cs="楷体"/>
          <w:b/>
          <w:sz w:val="32"/>
          <w:szCs w:val="32"/>
        </w:rPr>
      </w:pPr>
      <w:bookmarkStart w:id="5" w:name="_Toc9872"/>
      <w:r>
        <w:rPr>
          <w:rFonts w:hint="eastAsia" w:ascii="楷体" w:hAnsi="楷体" w:eastAsia="楷体" w:cs="楷体"/>
          <w:b/>
          <w:sz w:val="32"/>
          <w:szCs w:val="32"/>
        </w:rPr>
        <w:t>（三）部门单位整体预算规模及安排情况</w:t>
      </w:r>
      <w:bookmarkEnd w:id="5"/>
    </w:p>
    <w:p>
      <w:pPr>
        <w:spacing w:line="560" w:lineRule="exact"/>
        <w:ind w:firstLine="624" w:firstLineChars="200"/>
        <w:jc w:val="left"/>
        <w:rPr>
          <w:rFonts w:hint="eastAsia" w:ascii="仿宋_GB2312" w:hAnsi="楷体" w:eastAsia="仿宋_GB2312"/>
          <w:bCs/>
          <w:color w:val="000000"/>
          <w:spacing w:val="-4"/>
          <w:sz w:val="32"/>
          <w:szCs w:val="32"/>
        </w:rPr>
      </w:pPr>
      <w:r>
        <w:rPr>
          <w:rFonts w:hint="eastAsia" w:eastAsia="仿宋_GB2312"/>
          <w:bCs/>
          <w:color w:val="000000"/>
          <w:spacing w:val="-4"/>
          <w:sz w:val="32"/>
          <w:szCs w:val="32"/>
        </w:rPr>
        <w:t>202</w:t>
      </w:r>
      <w:r>
        <w:rPr>
          <w:rFonts w:hint="eastAsia" w:ascii="仿宋_GB2312" w:hAnsi="楷体" w:eastAsia="仿宋_GB2312"/>
          <w:bCs/>
          <w:color w:val="000000"/>
          <w:spacing w:val="-4"/>
          <w:sz w:val="32"/>
          <w:szCs w:val="32"/>
        </w:rPr>
        <w:t>4年</w:t>
      </w:r>
      <w:r>
        <w:rPr>
          <w:rFonts w:hint="eastAsia" w:ascii="仿宋_GB2312" w:hAnsi="宋体" w:eastAsia="仿宋_GB2312" w:cs="宋体"/>
          <w:color w:val="000000"/>
          <w:kern w:val="0"/>
          <w:sz w:val="32"/>
          <w:szCs w:val="32"/>
        </w:rPr>
        <w:t>霍尔果斯南部产业园区管理委员会</w:t>
      </w:r>
      <w:r>
        <w:rPr>
          <w:rFonts w:hint="eastAsia" w:ascii="仿宋_GB2312" w:hAnsi="楷体" w:eastAsia="仿宋_GB2312"/>
          <w:bCs/>
          <w:color w:val="000000"/>
          <w:spacing w:val="-4"/>
          <w:sz w:val="32"/>
          <w:szCs w:val="32"/>
        </w:rPr>
        <w:t>年初预算安排456.89万元，其中财政拨款456.89万元，其他资金0万元，主要用于厨师工资发放、伙食补贴、车辆租赁、车辆加油、维修、广告制作等。</w:t>
      </w:r>
    </w:p>
    <w:p>
      <w:pPr>
        <w:spacing w:line="560" w:lineRule="exact"/>
        <w:ind w:firstLine="624" w:firstLineChars="200"/>
        <w:jc w:val="left"/>
        <w:rPr>
          <w:rFonts w:hint="eastAsia" w:ascii="仿宋_GB2312" w:hAnsi="楷体" w:eastAsia="仿宋_GB2312"/>
          <w:bCs/>
          <w:color w:val="000000"/>
          <w:spacing w:val="-4"/>
          <w:sz w:val="32"/>
          <w:szCs w:val="32"/>
        </w:rPr>
      </w:pPr>
      <w:r>
        <w:rPr>
          <w:rFonts w:hint="eastAsia" w:ascii="仿宋_GB2312" w:hAnsi="楷体" w:eastAsia="仿宋_GB2312"/>
          <w:bCs/>
          <w:color w:val="000000"/>
          <w:spacing w:val="-4"/>
          <w:sz w:val="32"/>
          <w:szCs w:val="32"/>
        </w:rPr>
        <w:t>年中调整206.02万元，调整后全年预算250.87万元，预算调整率45</w:t>
      </w:r>
      <w:r>
        <w:rPr>
          <w:rFonts w:ascii="仿宋_GB2312" w:hAnsi="楷体" w:eastAsia="仿宋_GB2312"/>
          <w:bCs/>
          <w:color w:val="000000"/>
          <w:spacing w:val="-4"/>
          <w:sz w:val="32"/>
          <w:szCs w:val="32"/>
        </w:rPr>
        <w:t>.09</w:t>
      </w:r>
      <w:r>
        <w:rPr>
          <w:rFonts w:hint="eastAsia" w:ascii="仿宋_GB2312" w:hAnsi="楷体" w:eastAsia="仿宋_GB2312"/>
          <w:bCs/>
          <w:color w:val="000000"/>
          <w:spacing w:val="-4"/>
          <w:sz w:val="32"/>
          <w:szCs w:val="32"/>
        </w:rPr>
        <w:t>%，调整预算的主要原因为</w:t>
      </w:r>
      <w:r>
        <w:rPr>
          <w:rFonts w:eastAsia="仿宋_GB2312"/>
          <w:sz w:val="32"/>
          <w:szCs w:val="32"/>
        </w:rPr>
        <w:t>南部产业园区变电站及输配电运维补贴项目</w:t>
      </w:r>
      <w:r>
        <w:rPr>
          <w:rFonts w:hint="eastAsia" w:eastAsia="仿宋_GB2312"/>
          <w:sz w:val="32"/>
          <w:szCs w:val="32"/>
        </w:rPr>
        <w:t>不执行，故</w:t>
      </w:r>
      <w:r>
        <w:rPr>
          <w:rFonts w:eastAsia="仿宋_GB2312"/>
          <w:sz w:val="32"/>
          <w:szCs w:val="32"/>
        </w:rPr>
        <w:t>需要调整南部产业园区</w:t>
      </w:r>
      <w:r>
        <w:rPr>
          <w:rFonts w:hint="eastAsia" w:eastAsia="仿宋_GB2312"/>
          <w:sz w:val="32"/>
          <w:szCs w:val="32"/>
        </w:rPr>
        <w:t>管理委员会整体</w:t>
      </w:r>
      <w:r>
        <w:rPr>
          <w:rFonts w:eastAsia="仿宋_GB2312"/>
          <w:sz w:val="32"/>
          <w:szCs w:val="32"/>
        </w:rPr>
        <w:t>项目</w:t>
      </w:r>
      <w:r>
        <w:rPr>
          <w:rFonts w:hint="eastAsia" w:eastAsia="仿宋_GB2312"/>
          <w:sz w:val="32"/>
          <w:szCs w:val="32"/>
        </w:rPr>
        <w:t>预算</w:t>
      </w:r>
      <w:r>
        <w:rPr>
          <w:rFonts w:hint="eastAsia" w:ascii="仿宋_GB2312" w:hAnsi="楷体" w:eastAsia="仿宋_GB2312"/>
          <w:bCs/>
          <w:color w:val="000000"/>
          <w:spacing w:val="-4"/>
          <w:sz w:val="32"/>
          <w:szCs w:val="32"/>
        </w:rPr>
        <w:t>。</w:t>
      </w:r>
    </w:p>
    <w:p>
      <w:pPr>
        <w:snapToGrid w:val="0"/>
        <w:spacing w:line="560" w:lineRule="exact"/>
        <w:ind w:left="1368" w:hanging="720"/>
        <w:outlineLvl w:val="0"/>
        <w:rPr>
          <w:rFonts w:hint="eastAsia" w:ascii="黑体" w:hAnsi="黑体" w:eastAsia="黑体" w:cs="宋体"/>
          <w:bCs/>
          <w:color w:val="333333"/>
          <w:sz w:val="32"/>
          <w:szCs w:val="32"/>
          <w:lang w:bidi="ar"/>
        </w:rPr>
      </w:pPr>
      <w:bookmarkStart w:id="6" w:name="_Toc22484"/>
      <w:r>
        <w:rPr>
          <w:rFonts w:hint="eastAsia" w:ascii="黑体" w:hAnsi="黑体" w:eastAsia="黑体" w:cs="宋体"/>
          <w:bCs/>
          <w:color w:val="333333"/>
          <w:sz w:val="32"/>
          <w:szCs w:val="32"/>
          <w:lang w:bidi="ar"/>
        </w:rPr>
        <w:t>二、部门单位整体支出管理及使用情况</w:t>
      </w:r>
      <w:bookmarkEnd w:id="6"/>
    </w:p>
    <w:p>
      <w:pPr>
        <w:spacing w:line="560" w:lineRule="exact"/>
        <w:ind w:firstLine="643" w:firstLineChars="200"/>
        <w:jc w:val="left"/>
        <w:outlineLvl w:val="1"/>
        <w:rPr>
          <w:rFonts w:ascii="楷体" w:hAnsi="楷体" w:eastAsia="楷体" w:cs="楷体"/>
          <w:b/>
          <w:sz w:val="32"/>
          <w:szCs w:val="32"/>
        </w:rPr>
      </w:pPr>
      <w:bookmarkStart w:id="7" w:name="_Toc12906"/>
      <w:r>
        <w:rPr>
          <w:rFonts w:hint="eastAsia" w:ascii="楷体" w:hAnsi="楷体" w:eastAsia="楷体" w:cs="楷体"/>
          <w:b/>
          <w:sz w:val="32"/>
          <w:szCs w:val="32"/>
        </w:rPr>
        <w:t>（一）部门单位整体支出管理情况</w:t>
      </w:r>
      <w:bookmarkEnd w:id="7"/>
    </w:p>
    <w:p>
      <w:pPr>
        <w:spacing w:line="560" w:lineRule="exact"/>
        <w:ind w:firstLine="643" w:firstLineChars="200"/>
        <w:jc w:val="left"/>
        <w:outlineLvl w:val="2"/>
        <w:rPr>
          <w:rFonts w:hint="eastAsia" w:ascii="仿宋_GB2312" w:hAnsi="仿宋_GB2312" w:eastAsia="仿宋_GB2312" w:cs="仿宋_GB2312"/>
          <w:b/>
          <w:sz w:val="32"/>
          <w:szCs w:val="32"/>
        </w:rPr>
      </w:pPr>
      <w:bookmarkStart w:id="8" w:name="_Toc3057"/>
      <w:r>
        <w:rPr>
          <w:rFonts w:hint="eastAsia" w:eastAsia="仿宋_GB2312" w:cs="仿宋_GB2312"/>
          <w:b/>
          <w:sz w:val="32"/>
          <w:szCs w:val="32"/>
        </w:rPr>
        <w:t>1</w:t>
      </w:r>
      <w:r>
        <w:rPr>
          <w:rFonts w:hint="eastAsia" w:ascii="仿宋_GB2312" w:hAnsi="仿宋_GB2312" w:eastAsia="仿宋_GB2312" w:cs="仿宋_GB2312"/>
          <w:b/>
          <w:sz w:val="32"/>
          <w:szCs w:val="32"/>
        </w:rPr>
        <w:t>.预算编制</w:t>
      </w:r>
      <w:bookmarkEnd w:id="8"/>
    </w:p>
    <w:p>
      <w:pPr>
        <w:spacing w:line="560" w:lineRule="exact"/>
        <w:ind w:firstLine="624" w:firstLineChars="200"/>
        <w:jc w:val="left"/>
        <w:rPr>
          <w:rFonts w:hint="eastAsia" w:ascii="仿宋_GB2312" w:hAnsi="楷体" w:eastAsia="仿宋_GB2312"/>
          <w:bCs/>
          <w:color w:val="000000"/>
          <w:spacing w:val="-4"/>
          <w:sz w:val="32"/>
          <w:szCs w:val="32"/>
        </w:rPr>
      </w:pPr>
      <w:r>
        <w:rPr>
          <w:rFonts w:hint="eastAsia" w:ascii="仿宋_GB2312" w:hAnsi="楷体" w:eastAsia="仿宋_GB2312"/>
          <w:bCs/>
          <w:color w:val="000000"/>
          <w:spacing w:val="-4"/>
          <w:sz w:val="32"/>
          <w:szCs w:val="32"/>
        </w:rPr>
        <w:t>2024年我部门坚持围绕中心工作，科学谋划预算资金安排，依据规定程序和要求，及时完成部门预算编制申报，同时合理设定入库项目绩效指标、年度目标值，科学构建部门整体支出核心绩效指标体系和编报部门整体预算申请绩效报告，推动提高财政资金配置效益。</w:t>
      </w:r>
    </w:p>
    <w:p>
      <w:pPr>
        <w:spacing w:line="560" w:lineRule="exact"/>
        <w:ind w:firstLine="643" w:firstLineChars="200"/>
        <w:jc w:val="left"/>
        <w:outlineLvl w:val="2"/>
        <w:rPr>
          <w:rFonts w:hint="eastAsia" w:ascii="仿宋_GB2312" w:hAnsi="仿宋_GB2312" w:eastAsia="仿宋_GB2312" w:cs="仿宋_GB2312"/>
          <w:b/>
          <w:sz w:val="32"/>
          <w:szCs w:val="32"/>
        </w:rPr>
      </w:pPr>
      <w:bookmarkStart w:id="9" w:name="_Toc26162"/>
      <w:r>
        <w:rPr>
          <w:rFonts w:hint="eastAsia" w:eastAsia="仿宋_GB2312" w:cs="仿宋_GB2312"/>
          <w:b/>
          <w:sz w:val="32"/>
          <w:szCs w:val="32"/>
        </w:rPr>
        <w:t>2</w:t>
      </w:r>
      <w:r>
        <w:rPr>
          <w:rFonts w:hint="eastAsia" w:ascii="仿宋_GB2312" w:hAnsi="仿宋_GB2312" w:eastAsia="仿宋_GB2312" w:cs="仿宋_GB2312"/>
          <w:b/>
          <w:sz w:val="32"/>
          <w:szCs w:val="32"/>
        </w:rPr>
        <w:t>.预算执行</w:t>
      </w:r>
      <w:bookmarkEnd w:id="9"/>
    </w:p>
    <w:p>
      <w:pPr>
        <w:spacing w:line="560" w:lineRule="exact"/>
        <w:ind w:firstLine="624" w:firstLineChars="200"/>
        <w:jc w:val="left"/>
        <w:rPr>
          <w:rFonts w:hint="eastAsia" w:ascii="仿宋_GB2312" w:hAnsi="楷体" w:eastAsia="仿宋_GB2312"/>
          <w:bCs/>
          <w:color w:val="000000"/>
          <w:spacing w:val="-4"/>
          <w:sz w:val="32"/>
          <w:szCs w:val="32"/>
        </w:rPr>
      </w:pPr>
      <w:r>
        <w:rPr>
          <w:rFonts w:hint="eastAsia" w:ascii="仿宋_GB2312" w:hAnsi="楷体" w:eastAsia="仿宋_GB2312"/>
          <w:bCs/>
          <w:color w:val="000000"/>
          <w:spacing w:val="-4"/>
          <w:sz w:val="32"/>
          <w:szCs w:val="32"/>
          <w:lang w:val="en-US" w:eastAsia="zh-CN"/>
        </w:rPr>
        <w:t>霍尔果斯市</w:t>
      </w:r>
      <w:r>
        <w:rPr>
          <w:rFonts w:hint="eastAsia" w:ascii="仿宋_GB2312" w:hAnsi="楷体" w:eastAsia="仿宋_GB2312"/>
          <w:bCs/>
          <w:color w:val="000000"/>
          <w:spacing w:val="-4"/>
          <w:sz w:val="32"/>
          <w:szCs w:val="32"/>
        </w:rPr>
        <w:t>财政批复预算后，我单位按要求及时制定并报批部门预算支出计划，严格落实预算执行定期分析机制，靠前抓好支出执行，坚持严肃财经纪律，硬化预算约束，持续树牢厉行节约理念，严控一般性支出，努力降低行政运行成本。</w:t>
      </w:r>
    </w:p>
    <w:p>
      <w:pPr>
        <w:spacing w:line="560" w:lineRule="exact"/>
        <w:ind w:firstLine="643" w:firstLineChars="200"/>
        <w:jc w:val="left"/>
        <w:outlineLvl w:val="2"/>
        <w:rPr>
          <w:rFonts w:hint="eastAsia" w:ascii="仿宋_GB2312" w:hAnsi="仿宋_GB2312" w:eastAsia="仿宋_GB2312" w:cs="仿宋_GB2312"/>
          <w:b/>
          <w:sz w:val="32"/>
          <w:szCs w:val="32"/>
        </w:rPr>
      </w:pPr>
      <w:bookmarkStart w:id="10" w:name="_Toc31456"/>
      <w:r>
        <w:rPr>
          <w:rFonts w:hint="eastAsia" w:eastAsia="仿宋_GB2312" w:cs="仿宋_GB2312"/>
          <w:b/>
          <w:sz w:val="32"/>
          <w:szCs w:val="32"/>
        </w:rPr>
        <w:t>3</w:t>
      </w:r>
      <w:r>
        <w:rPr>
          <w:rFonts w:hint="eastAsia" w:ascii="仿宋_GB2312" w:hAnsi="仿宋_GB2312" w:eastAsia="仿宋_GB2312" w:cs="仿宋_GB2312"/>
          <w:b/>
          <w:sz w:val="32"/>
          <w:szCs w:val="32"/>
        </w:rPr>
        <w:t>.绩效管理</w:t>
      </w:r>
      <w:bookmarkEnd w:id="10"/>
    </w:p>
    <w:p>
      <w:pPr>
        <w:spacing w:line="560" w:lineRule="exact"/>
        <w:ind w:firstLine="624" w:firstLineChars="200"/>
        <w:jc w:val="left"/>
        <w:rPr>
          <w:rFonts w:hint="eastAsia" w:ascii="仿宋_GB2312" w:hAnsi="楷体" w:eastAsia="仿宋_GB2312"/>
          <w:bCs/>
          <w:color w:val="000000"/>
          <w:spacing w:val="-4"/>
          <w:sz w:val="32"/>
          <w:szCs w:val="32"/>
        </w:rPr>
      </w:pPr>
      <w:r>
        <w:rPr>
          <w:rFonts w:hint="eastAsia" w:ascii="仿宋_GB2312" w:hAnsi="楷体" w:eastAsia="仿宋_GB2312"/>
          <w:bCs/>
          <w:color w:val="000000"/>
          <w:spacing w:val="-4"/>
          <w:sz w:val="32"/>
          <w:szCs w:val="32"/>
        </w:rPr>
        <w:t>2024年，我单位严格按照财政要求，落实预算绩效管理全过程，包括①注重绩效目标编制，预算编制环节注重编细编实预算需求，科学选择绩效指标，合理设置绩效目标值，并严格按照财政统一要求，规范编制事前绩效报告，为财政资金发挥效益夯实基础。②落实绩效“双监控”，预算执行过程中，以年度支出计划为基础，定期分析预算执行和绩效目标落实情况，并依托财政预算绩效管理平台分5月、8月对预算执行动态进行实时监控，发现问题及时纠偏，确保绩效目标落地落实。③扎实开展自评工作，年度终了，扎实开展预算绩效目标完成情况部门审核和自评工作。</w:t>
      </w:r>
    </w:p>
    <w:p>
      <w:pPr>
        <w:spacing w:line="560" w:lineRule="exact"/>
        <w:ind w:firstLine="643" w:firstLineChars="200"/>
        <w:jc w:val="left"/>
        <w:outlineLvl w:val="2"/>
        <w:rPr>
          <w:rFonts w:hint="eastAsia" w:ascii="仿宋_GB2312" w:hAnsi="仿宋_GB2312" w:eastAsia="仿宋_GB2312" w:cs="仿宋_GB2312"/>
          <w:b/>
          <w:sz w:val="32"/>
          <w:szCs w:val="32"/>
        </w:rPr>
      </w:pPr>
      <w:bookmarkStart w:id="11" w:name="_Toc2740"/>
      <w:r>
        <w:rPr>
          <w:rFonts w:hint="eastAsia" w:eastAsia="仿宋_GB2312" w:cs="仿宋_GB2312"/>
          <w:b/>
          <w:sz w:val="32"/>
          <w:szCs w:val="32"/>
        </w:rPr>
        <w:t>4</w:t>
      </w:r>
      <w:r>
        <w:rPr>
          <w:rFonts w:hint="eastAsia" w:ascii="仿宋_GB2312" w:hAnsi="仿宋_GB2312" w:eastAsia="仿宋_GB2312" w:cs="仿宋_GB2312"/>
          <w:b/>
          <w:sz w:val="32"/>
          <w:szCs w:val="32"/>
        </w:rPr>
        <w:t>.信息公开</w:t>
      </w:r>
      <w:bookmarkEnd w:id="11"/>
    </w:p>
    <w:p>
      <w:pPr>
        <w:widowControl/>
        <w:spacing w:line="560" w:lineRule="exact"/>
        <w:ind w:firstLine="640" w:firstLineChars="200"/>
        <w:rPr>
          <w:rFonts w:hint="eastAsia"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bidi="ar"/>
        </w:rPr>
        <w:t>我单位已按要求在霍尔果斯市人民政府门户网站公开部门预算信息，同步公开绩效目标表；在霍尔果斯市人民政府门户网站公开部门决算信息，同步公开自评表及自评报告。</w:t>
      </w:r>
    </w:p>
    <w:p>
      <w:pPr>
        <w:spacing w:line="560" w:lineRule="exact"/>
        <w:ind w:firstLine="643" w:firstLineChars="200"/>
        <w:jc w:val="left"/>
        <w:outlineLvl w:val="1"/>
        <w:rPr>
          <w:rFonts w:hint="eastAsia" w:ascii="楷体" w:hAnsi="楷体" w:eastAsia="楷体" w:cs="楷体"/>
          <w:b/>
          <w:sz w:val="32"/>
          <w:szCs w:val="32"/>
        </w:rPr>
      </w:pPr>
      <w:bookmarkStart w:id="12" w:name="_Toc2315"/>
      <w:r>
        <w:rPr>
          <w:rFonts w:hint="eastAsia" w:ascii="楷体" w:hAnsi="楷体" w:eastAsia="楷体" w:cs="楷体"/>
          <w:b/>
          <w:sz w:val="32"/>
          <w:szCs w:val="32"/>
        </w:rPr>
        <w:t>（二）部门单位整体支出使用情况</w:t>
      </w:r>
      <w:bookmarkEnd w:id="12"/>
    </w:p>
    <w:p>
      <w:pPr>
        <w:spacing w:line="560" w:lineRule="exact"/>
        <w:ind w:firstLine="643" w:firstLineChars="200"/>
        <w:jc w:val="left"/>
        <w:outlineLvl w:val="2"/>
        <w:rPr>
          <w:rFonts w:ascii="仿宋_GB2312" w:hAnsi="宋体" w:eastAsia="仿宋_GB2312"/>
          <w:b/>
          <w:sz w:val="32"/>
          <w:szCs w:val="32"/>
        </w:rPr>
      </w:pPr>
      <w:bookmarkStart w:id="13" w:name="_Toc32320"/>
      <w:r>
        <w:rPr>
          <w:rFonts w:hint="eastAsia" w:eastAsia="仿宋_GB2312"/>
          <w:b/>
          <w:sz w:val="32"/>
          <w:szCs w:val="32"/>
        </w:rPr>
        <w:t>1</w:t>
      </w:r>
      <w:r>
        <w:rPr>
          <w:rFonts w:hint="eastAsia" w:ascii="仿宋_GB2312" w:hAnsi="宋体" w:eastAsia="仿宋_GB2312"/>
          <w:b/>
          <w:sz w:val="32"/>
          <w:szCs w:val="32"/>
        </w:rPr>
        <w:t>.基本支出</w:t>
      </w:r>
      <w:bookmarkEnd w:id="13"/>
      <w:r>
        <w:rPr>
          <w:rFonts w:hint="eastAsia" w:ascii="仿宋_GB2312" w:hAnsi="宋体" w:eastAsia="仿宋_GB2312"/>
          <w:b/>
          <w:sz w:val="32"/>
          <w:szCs w:val="32"/>
        </w:rPr>
        <w:t>情况</w:t>
      </w:r>
    </w:p>
    <w:p>
      <w:pPr>
        <w:spacing w:line="560" w:lineRule="exact"/>
        <w:ind w:firstLine="640" w:firstLineChars="200"/>
        <w:jc w:val="left"/>
        <w:rPr>
          <w:rFonts w:ascii="仿宋_GB2312" w:hAnsi="宋体" w:eastAsia="仿宋_GB2312"/>
          <w:b/>
          <w:color w:val="000000"/>
          <w:sz w:val="32"/>
          <w:szCs w:val="32"/>
        </w:rPr>
      </w:pPr>
      <w:r>
        <w:rPr>
          <w:rFonts w:hint="eastAsia" w:eastAsia="仿宋_GB2312"/>
          <w:bCs/>
          <w:color w:val="000000"/>
          <w:sz w:val="32"/>
          <w:szCs w:val="32"/>
        </w:rPr>
        <w:t>2024</w:t>
      </w:r>
      <w:r>
        <w:rPr>
          <w:rFonts w:hint="eastAsia" w:ascii="仿宋_GB2312" w:hAnsi="宋体" w:eastAsia="仿宋_GB2312"/>
          <w:bCs/>
          <w:color w:val="000000"/>
          <w:sz w:val="32"/>
          <w:szCs w:val="32"/>
        </w:rPr>
        <w:t>年基本支出</w:t>
      </w:r>
      <w:r>
        <w:rPr>
          <w:rStyle w:val="5"/>
          <w:rFonts w:hint="eastAsia" w:ascii="仿宋_GB2312" w:hAnsi="楷体" w:eastAsia="仿宋_GB2312"/>
          <w:b w:val="0"/>
          <w:color w:val="auto"/>
          <w:spacing w:val="-4"/>
          <w:sz w:val="32"/>
          <w:szCs w:val="32"/>
          <w:highlight w:val="none"/>
        </w:rPr>
        <w:t>支出</w:t>
      </w:r>
      <w:r>
        <w:rPr>
          <w:rStyle w:val="5"/>
          <w:rFonts w:hint="eastAsia" w:ascii="仿宋_GB2312" w:hAnsi="楷体" w:eastAsia="仿宋_GB2312"/>
          <w:b w:val="0"/>
          <w:color w:val="000000"/>
          <w:spacing w:val="-4"/>
          <w:sz w:val="32"/>
          <w:szCs w:val="32"/>
        </w:rPr>
        <w:t>89.52万元，</w:t>
      </w:r>
      <w:r>
        <w:rPr>
          <w:rFonts w:hint="eastAsia" w:ascii="仿宋_GB2312" w:hAnsi="宋体" w:eastAsia="仿宋_GB2312"/>
          <w:bCs/>
          <w:color w:val="000000"/>
          <w:sz w:val="32"/>
          <w:szCs w:val="32"/>
        </w:rPr>
        <w:t>包括工资福利支出45.57万元，商品和服务支出</w:t>
      </w:r>
      <w:r>
        <w:rPr>
          <w:rFonts w:hint="eastAsia" w:ascii="仿宋_GB2312" w:hAnsi="宋体" w:eastAsia="仿宋_GB2312"/>
          <w:bCs/>
          <w:color w:val="000000"/>
          <w:sz w:val="32"/>
          <w:szCs w:val="32"/>
          <w:lang w:val="en-US" w:eastAsia="zh-CN"/>
        </w:rPr>
        <w:t>43.95</w:t>
      </w:r>
      <w:r>
        <w:rPr>
          <w:rFonts w:hint="eastAsia" w:ascii="仿宋_GB2312" w:hAnsi="宋体" w:eastAsia="仿宋_GB2312"/>
          <w:bCs/>
          <w:color w:val="000000"/>
          <w:sz w:val="32"/>
          <w:szCs w:val="32"/>
        </w:rPr>
        <w:t>万元，对个人和家庭的补助0万元，资本性支出</w:t>
      </w:r>
      <w:r>
        <w:rPr>
          <w:rFonts w:hint="eastAsia" w:ascii="仿宋_GB2312" w:hAnsi="宋体" w:eastAsia="仿宋_GB2312"/>
          <w:bCs/>
          <w:color w:val="000000"/>
          <w:sz w:val="32"/>
          <w:szCs w:val="32"/>
          <w:lang w:val="en-US" w:eastAsia="zh-CN"/>
        </w:rPr>
        <w:t>0</w:t>
      </w:r>
      <w:r>
        <w:rPr>
          <w:rFonts w:hint="eastAsia" w:ascii="仿宋_GB2312" w:hAnsi="宋体" w:eastAsia="仿宋_GB2312"/>
          <w:bCs/>
          <w:color w:val="000000"/>
          <w:sz w:val="32"/>
          <w:szCs w:val="32"/>
        </w:rPr>
        <w:t>元。</w:t>
      </w:r>
      <w:r>
        <w:rPr>
          <w:rFonts w:hint="eastAsia" w:ascii="仿宋_GB2312" w:hAnsi="宋体" w:eastAsia="仿宋_GB2312"/>
          <w:bCs/>
          <w:sz w:val="32"/>
          <w:szCs w:val="32"/>
        </w:rPr>
        <w:t>其中</w:t>
      </w:r>
      <w:r>
        <w:rPr>
          <w:rStyle w:val="5"/>
          <w:rFonts w:hint="eastAsia" w:ascii="仿宋_GB2312" w:hAnsi="楷体" w:eastAsia="仿宋_GB2312"/>
          <w:b w:val="0"/>
          <w:color w:val="000000"/>
          <w:spacing w:val="-4"/>
          <w:sz w:val="32"/>
          <w:szCs w:val="32"/>
        </w:rPr>
        <w:t>：</w:t>
      </w:r>
      <w:r>
        <w:rPr>
          <w:rFonts w:hint="eastAsia" w:ascii="仿宋_GB2312" w:hAnsi="楷体" w:eastAsia="仿宋_GB2312"/>
          <w:bCs/>
          <w:color w:val="000000"/>
          <w:spacing w:val="-4"/>
          <w:sz w:val="32"/>
          <w:szCs w:val="32"/>
        </w:rPr>
        <w:t>“三公”经费支出0万元，比上年增加0万元</w:t>
      </w:r>
      <w:r>
        <w:rPr>
          <w:rFonts w:hint="eastAsia" w:ascii="仿宋_GB2312" w:hAnsi="楷体" w:eastAsia="仿宋_GB2312"/>
          <w:bCs/>
          <w:color w:val="000000"/>
          <w:spacing w:val="-4"/>
          <w:sz w:val="32"/>
          <w:szCs w:val="32"/>
          <w:lang w:eastAsia="zh-CN"/>
        </w:rPr>
        <w:t>，</w:t>
      </w:r>
      <w:r>
        <w:rPr>
          <w:rFonts w:hint="eastAsia" w:ascii="仿宋_GB2312" w:hAnsi="楷体" w:eastAsia="仿宋_GB2312"/>
          <w:bCs/>
          <w:color w:val="000000"/>
          <w:spacing w:val="-4"/>
          <w:sz w:val="32"/>
          <w:szCs w:val="32"/>
          <w:lang w:val="en-US" w:eastAsia="zh-CN"/>
        </w:rPr>
        <w:t>主要原因是：无三公经费支出</w:t>
      </w:r>
      <w:r>
        <w:rPr>
          <w:rFonts w:hint="eastAsia" w:ascii="仿宋_GB2312" w:hAnsi="楷体" w:eastAsia="仿宋_GB2312"/>
          <w:bCs/>
          <w:color w:val="000000"/>
          <w:spacing w:val="-4"/>
          <w:sz w:val="32"/>
          <w:szCs w:val="32"/>
        </w:rPr>
        <w:t>；会议费支出0万元，比上年增加0万元</w:t>
      </w:r>
      <w:r>
        <w:rPr>
          <w:rFonts w:hint="eastAsia" w:ascii="仿宋_GB2312" w:hAnsi="楷体" w:eastAsia="仿宋_GB2312"/>
          <w:bCs/>
          <w:color w:val="000000"/>
          <w:spacing w:val="-4"/>
          <w:sz w:val="32"/>
          <w:szCs w:val="32"/>
          <w:lang w:eastAsia="zh-CN"/>
        </w:rPr>
        <w:t>，</w:t>
      </w:r>
      <w:r>
        <w:rPr>
          <w:rFonts w:hint="eastAsia" w:ascii="仿宋_GB2312" w:hAnsi="楷体" w:eastAsia="仿宋_GB2312"/>
          <w:bCs/>
          <w:color w:val="000000"/>
          <w:spacing w:val="-4"/>
          <w:sz w:val="32"/>
          <w:szCs w:val="32"/>
          <w:lang w:val="en-US" w:eastAsia="zh-CN"/>
        </w:rPr>
        <w:t>主要原因是：无会议费支出</w:t>
      </w:r>
      <w:r>
        <w:rPr>
          <w:rFonts w:hint="eastAsia" w:ascii="仿宋_GB2312" w:hAnsi="楷体" w:eastAsia="仿宋_GB2312"/>
          <w:bCs/>
          <w:color w:val="000000"/>
          <w:spacing w:val="-4"/>
          <w:sz w:val="32"/>
          <w:szCs w:val="32"/>
        </w:rPr>
        <w:t>；培训费支出0万元，比上年增加0万元</w:t>
      </w:r>
      <w:r>
        <w:rPr>
          <w:rFonts w:hint="eastAsia" w:ascii="仿宋_GB2312" w:hAnsi="楷体" w:eastAsia="仿宋_GB2312"/>
          <w:bCs/>
          <w:color w:val="000000"/>
          <w:spacing w:val="-4"/>
          <w:sz w:val="32"/>
          <w:szCs w:val="32"/>
          <w:lang w:eastAsia="zh-CN"/>
        </w:rPr>
        <w:t>，</w:t>
      </w:r>
      <w:r>
        <w:rPr>
          <w:rFonts w:hint="eastAsia" w:ascii="仿宋_GB2312" w:hAnsi="楷体" w:eastAsia="仿宋_GB2312"/>
          <w:bCs/>
          <w:color w:val="000000"/>
          <w:spacing w:val="-4"/>
          <w:sz w:val="32"/>
          <w:szCs w:val="32"/>
          <w:lang w:val="en-US" w:eastAsia="zh-CN"/>
        </w:rPr>
        <w:t>无培训费支出</w:t>
      </w:r>
      <w:r>
        <w:rPr>
          <w:rFonts w:hint="eastAsia" w:ascii="仿宋_GB2312" w:hAnsi="楷体" w:eastAsia="仿宋_GB2312"/>
          <w:bCs/>
          <w:color w:val="000000"/>
          <w:spacing w:val="-4"/>
          <w:sz w:val="32"/>
          <w:szCs w:val="32"/>
        </w:rPr>
        <w:t>。</w:t>
      </w:r>
    </w:p>
    <w:p>
      <w:pPr>
        <w:spacing w:line="560" w:lineRule="exact"/>
        <w:ind w:firstLine="643" w:firstLineChars="200"/>
        <w:jc w:val="left"/>
        <w:outlineLvl w:val="2"/>
        <w:rPr>
          <w:rFonts w:hint="eastAsia" w:ascii="仿宋_GB2312" w:hAnsi="宋体" w:eastAsia="仿宋_GB2312"/>
          <w:b/>
          <w:sz w:val="32"/>
          <w:szCs w:val="32"/>
        </w:rPr>
      </w:pPr>
      <w:bookmarkStart w:id="14" w:name="_Toc8425"/>
      <w:r>
        <w:rPr>
          <w:rFonts w:hint="eastAsia" w:eastAsia="仿宋_GB2312"/>
          <w:b/>
          <w:sz w:val="32"/>
          <w:szCs w:val="32"/>
        </w:rPr>
        <w:t>2</w:t>
      </w:r>
      <w:r>
        <w:rPr>
          <w:rFonts w:hint="eastAsia" w:ascii="仿宋_GB2312" w:hAnsi="宋体" w:eastAsia="仿宋_GB2312"/>
          <w:b/>
          <w:sz w:val="32"/>
          <w:szCs w:val="32"/>
        </w:rPr>
        <w:t>.专项资金支出情况</w:t>
      </w:r>
      <w:bookmarkEnd w:id="14"/>
    </w:p>
    <w:p>
      <w:pPr>
        <w:spacing w:line="560" w:lineRule="exact"/>
        <w:ind w:firstLine="624" w:firstLineChars="200"/>
        <w:rPr>
          <w:rFonts w:ascii="仿宋_GB2312" w:hAnsi="楷体" w:eastAsia="仿宋_GB2312"/>
          <w:bCs/>
          <w:color w:val="000000"/>
          <w:spacing w:val="-4"/>
          <w:sz w:val="32"/>
          <w:szCs w:val="32"/>
        </w:rPr>
      </w:pPr>
      <w:r>
        <w:rPr>
          <w:rStyle w:val="5"/>
          <w:rFonts w:hint="eastAsia" w:eastAsia="仿宋_GB2312"/>
          <w:b w:val="0"/>
          <w:color w:val="000000"/>
          <w:spacing w:val="-4"/>
          <w:sz w:val="32"/>
          <w:szCs w:val="32"/>
        </w:rPr>
        <w:t>2024</w:t>
      </w:r>
      <w:r>
        <w:rPr>
          <w:rStyle w:val="5"/>
          <w:rFonts w:hint="eastAsia" w:ascii="仿宋_GB2312" w:hAnsi="楷体" w:eastAsia="仿宋_GB2312"/>
          <w:b w:val="0"/>
          <w:color w:val="000000"/>
          <w:spacing w:val="-4"/>
          <w:sz w:val="32"/>
          <w:szCs w:val="32"/>
        </w:rPr>
        <w:t>年专项项目支出158.68万元，占总支出的63</w:t>
      </w:r>
      <w:r>
        <w:rPr>
          <w:rStyle w:val="5"/>
          <w:rFonts w:ascii="仿宋_GB2312" w:hAnsi="楷体" w:eastAsia="仿宋_GB2312"/>
          <w:b w:val="0"/>
          <w:color w:val="000000"/>
          <w:spacing w:val="-4"/>
          <w:sz w:val="32"/>
          <w:szCs w:val="32"/>
        </w:rPr>
        <w:t>.93</w:t>
      </w:r>
      <w:r>
        <w:rPr>
          <w:rStyle w:val="5"/>
          <w:rFonts w:hint="eastAsia" w:ascii="仿宋_GB2312" w:hAnsi="楷体" w:eastAsia="仿宋_GB2312"/>
          <w:b w:val="0"/>
          <w:color w:val="000000"/>
          <w:spacing w:val="-4"/>
          <w:sz w:val="32"/>
          <w:szCs w:val="32"/>
        </w:rPr>
        <w:t>％，主要用于</w:t>
      </w:r>
      <w:r>
        <w:rPr>
          <w:rFonts w:hint="eastAsia" w:ascii="仿宋_GB2312" w:hAnsi="楷体" w:eastAsia="仿宋_GB2312"/>
          <w:bCs/>
          <w:color w:val="000000"/>
          <w:spacing w:val="-4"/>
          <w:sz w:val="32"/>
          <w:szCs w:val="32"/>
        </w:rPr>
        <w:t>1.南部产业园区路灯及红绿灯电费支出，2.南部产业园区中水回用水费费用支出，3.南部产业园区管理委员会公务用车租赁费，4.南部产业园区电力改迁工程（一标段）征地补偿项目支出。</w:t>
      </w:r>
    </w:p>
    <w:p>
      <w:pPr>
        <w:spacing w:line="560" w:lineRule="exact"/>
        <w:ind w:firstLine="643" w:firstLineChars="200"/>
        <w:jc w:val="left"/>
        <w:outlineLvl w:val="2"/>
        <w:rPr>
          <w:rFonts w:hint="eastAsia" w:ascii="仿宋_GB2312" w:hAnsi="宋体" w:eastAsia="仿宋_GB2312"/>
          <w:b/>
          <w:sz w:val="32"/>
          <w:szCs w:val="32"/>
        </w:rPr>
      </w:pPr>
      <w:bookmarkStart w:id="15" w:name="_Toc31045"/>
      <w:r>
        <w:rPr>
          <w:rFonts w:hint="eastAsia" w:eastAsia="仿宋_GB2312"/>
          <w:b/>
          <w:sz w:val="32"/>
          <w:szCs w:val="32"/>
        </w:rPr>
        <w:t>3</w:t>
      </w:r>
      <w:r>
        <w:rPr>
          <w:rFonts w:hint="eastAsia" w:ascii="仿宋_GB2312" w:hAnsi="宋体" w:eastAsia="仿宋_GB2312"/>
          <w:b/>
          <w:sz w:val="32"/>
          <w:szCs w:val="32"/>
        </w:rPr>
        <w:t>.部门单位专项组织实施情况</w:t>
      </w:r>
      <w:bookmarkEnd w:id="15"/>
    </w:p>
    <w:p>
      <w:pPr>
        <w:widowControl/>
        <w:spacing w:line="560" w:lineRule="exact"/>
        <w:ind w:firstLine="640" w:firstLineChars="200"/>
        <w:rPr>
          <w:rFonts w:hint="eastAsia"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bidi="ar"/>
        </w:rPr>
        <w:t>年初我单位下发专项项目工作计划，对项目的工作分工、任务分配、资金落实、完成时限等提出了明确、具体的要求，以确保项目保质、保量、按时完成。截至12月31日，完成专项4个，未完成专项0个。</w:t>
      </w:r>
    </w:p>
    <w:p>
      <w:pPr>
        <w:widowControl/>
        <w:spacing w:line="560" w:lineRule="exact"/>
        <w:ind w:firstLine="640" w:firstLineChars="200"/>
        <w:rPr>
          <w:rFonts w:hint="eastAsia"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bidi="ar"/>
        </w:rPr>
        <w:t>为规范专项资金使用，提高专项资金使用效益，我单位主要采取四项措施。一是制订专项资金管理制度；二是各专项资金建立了专账；三是制定了项目实施方案；四是认真组织项目验收。切实保证专项资金都做到了专款专用。</w:t>
      </w:r>
    </w:p>
    <w:p>
      <w:pPr>
        <w:widowControl/>
        <w:spacing w:line="560" w:lineRule="exact"/>
        <w:ind w:firstLine="640" w:firstLineChars="200"/>
        <w:rPr>
          <w:rFonts w:hint="eastAsia"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bidi="ar"/>
        </w:rPr>
        <w:t>（</w:t>
      </w:r>
      <w:r>
        <w:rPr>
          <w:rFonts w:hint="eastAsia" w:eastAsia="仿宋_GB2312" w:cs="仿宋_GB2312"/>
          <w:kern w:val="0"/>
          <w:sz w:val="32"/>
          <w:szCs w:val="32"/>
          <w:lang w:bidi="ar"/>
        </w:rPr>
        <w:t>1</w:t>
      </w:r>
      <w:r>
        <w:rPr>
          <w:rFonts w:hint="eastAsia" w:ascii="仿宋_GB2312" w:hAnsi="仿宋_GB2312" w:eastAsia="仿宋_GB2312" w:cs="仿宋_GB2312"/>
          <w:kern w:val="0"/>
          <w:sz w:val="32"/>
          <w:szCs w:val="32"/>
          <w:lang w:bidi="ar"/>
        </w:rPr>
        <w:t>）制定了《</w:t>
      </w:r>
      <w:r>
        <w:rPr>
          <w:rFonts w:ascii="仿宋_GB2312" w:hAnsi="仿宋_GB2312" w:eastAsia="仿宋_GB2312" w:cs="仿宋_GB2312"/>
          <w:kern w:val="0"/>
          <w:sz w:val="32"/>
          <w:szCs w:val="32"/>
          <w:lang w:bidi="ar"/>
        </w:rPr>
        <w:t>财务</w:t>
      </w:r>
      <w:r>
        <w:rPr>
          <w:rFonts w:hint="eastAsia" w:ascii="仿宋_GB2312" w:hAnsi="仿宋_GB2312" w:eastAsia="仿宋_GB2312" w:cs="仿宋_GB2312"/>
          <w:kern w:val="0"/>
          <w:sz w:val="32"/>
          <w:szCs w:val="32"/>
          <w:lang w:bidi="ar"/>
        </w:rPr>
        <w:t>管理办法》</w:t>
      </w:r>
      <w:r>
        <w:rPr>
          <w:rFonts w:hint="eastAsia" w:ascii="仿宋_GB2312" w:hAnsi="仿宋_GB2312" w:eastAsia="仿宋_GB2312" w:cs="仿宋_GB2312"/>
          <w:kern w:val="0"/>
          <w:sz w:val="32"/>
          <w:szCs w:val="32"/>
          <w:lang w:eastAsia="zh-CN" w:bidi="ar"/>
        </w:rPr>
        <w:t>、《</w:t>
      </w:r>
      <w:r>
        <w:rPr>
          <w:rFonts w:hint="eastAsia" w:ascii="仿宋_GB2312" w:hAnsi="仿宋_GB2312" w:eastAsia="仿宋_GB2312" w:cs="仿宋_GB2312"/>
          <w:kern w:val="0"/>
          <w:sz w:val="32"/>
          <w:szCs w:val="32"/>
          <w:lang w:val="en-US" w:eastAsia="zh-CN" w:bidi="ar"/>
        </w:rPr>
        <w:t>政府采购管理办法</w:t>
      </w:r>
      <w:r>
        <w:rPr>
          <w:rFonts w:hint="eastAsia" w:ascii="仿宋_GB2312" w:hAnsi="仿宋_GB2312" w:eastAsia="仿宋_GB2312" w:cs="仿宋_GB2312"/>
          <w:kern w:val="0"/>
          <w:sz w:val="32"/>
          <w:szCs w:val="32"/>
          <w:lang w:eastAsia="zh-CN" w:bidi="ar"/>
        </w:rPr>
        <w:t>》</w:t>
      </w:r>
      <w:r>
        <w:rPr>
          <w:rFonts w:hint="eastAsia" w:ascii="仿宋_GB2312" w:hAnsi="仿宋_GB2312" w:eastAsia="仿宋_GB2312" w:cs="仿宋_GB2312"/>
          <w:kern w:val="0"/>
          <w:sz w:val="32"/>
          <w:szCs w:val="32"/>
          <w:lang w:val="en-US" w:eastAsia="zh-CN" w:bidi="ar"/>
        </w:rPr>
        <w:t>等</w:t>
      </w:r>
      <w:r>
        <w:rPr>
          <w:rFonts w:hint="eastAsia" w:ascii="仿宋_GB2312" w:hAnsi="仿宋_GB2312" w:eastAsia="仿宋_GB2312" w:cs="仿宋_GB2312"/>
          <w:kern w:val="0"/>
          <w:sz w:val="32"/>
          <w:szCs w:val="32"/>
          <w:lang w:bidi="ar"/>
        </w:rPr>
        <w:t>专项资金管理办法，各项资金使用审批流程均按规定办理。涉及“三重一大”内容，严格按照规定提请党工委审议决定，包括项目资金分配、重大项目确定、大额资金支付等。</w:t>
      </w:r>
    </w:p>
    <w:p>
      <w:pPr>
        <w:spacing w:line="560" w:lineRule="exact"/>
        <w:ind w:firstLine="640" w:firstLineChars="200"/>
        <w:rPr>
          <w:rFonts w:hint="eastAsia" w:ascii="仿宋_GB2312" w:hAnsi="楷体" w:eastAsia="仿宋_GB2312"/>
          <w:bCs/>
          <w:spacing w:val="-4"/>
          <w:sz w:val="32"/>
          <w:szCs w:val="32"/>
        </w:rPr>
      </w:pPr>
      <w:r>
        <w:rPr>
          <w:rFonts w:hint="eastAsia" w:ascii="仿宋_GB2312" w:hAnsi="仿宋_GB2312" w:eastAsia="仿宋_GB2312" w:cs="仿宋_GB2312"/>
          <w:kern w:val="0"/>
          <w:sz w:val="32"/>
          <w:szCs w:val="32"/>
          <w:lang w:bidi="ar"/>
        </w:rPr>
        <w:t>（</w:t>
      </w:r>
      <w:r>
        <w:rPr>
          <w:rFonts w:hint="eastAsia" w:eastAsia="仿宋_GB2312" w:cs="仿宋_GB2312"/>
          <w:kern w:val="0"/>
          <w:sz w:val="32"/>
          <w:szCs w:val="32"/>
          <w:lang w:bidi="ar"/>
        </w:rPr>
        <w:t>2</w:t>
      </w:r>
      <w:r>
        <w:rPr>
          <w:rFonts w:hint="eastAsia" w:ascii="仿宋_GB2312" w:hAnsi="仿宋_GB2312" w:eastAsia="仿宋_GB2312" w:cs="仿宋_GB2312"/>
          <w:kern w:val="0"/>
          <w:sz w:val="32"/>
          <w:szCs w:val="32"/>
          <w:lang w:bidi="ar"/>
        </w:rPr>
        <w:t>）建立</w:t>
      </w:r>
      <w:r>
        <w:rPr>
          <w:rFonts w:hint="eastAsia" w:ascii="仿宋_GB2312" w:hAnsi="楷体" w:eastAsia="仿宋_GB2312"/>
          <w:bCs/>
          <w:spacing w:val="-4"/>
          <w:sz w:val="32"/>
          <w:szCs w:val="32"/>
        </w:rPr>
        <w:t>南部产业园区路灯及红绿灯电费支出，南部产业园区中水回用水费费用支出，南部产业园区管理委员会公务用车租赁费，南部产业园区电力改迁工程（一标段）征地补偿项目支出</w:t>
      </w:r>
      <w:r>
        <w:rPr>
          <w:rFonts w:hint="eastAsia" w:ascii="仿宋_GB2312" w:hAnsi="仿宋_GB2312" w:eastAsia="仿宋_GB2312" w:cs="仿宋_GB2312"/>
          <w:kern w:val="0"/>
          <w:sz w:val="32"/>
          <w:szCs w:val="32"/>
          <w:lang w:bidi="ar"/>
        </w:rPr>
        <w:t>专项资金专账，做到有据可依，有据可查。</w:t>
      </w:r>
    </w:p>
    <w:p>
      <w:pPr>
        <w:spacing w:line="560" w:lineRule="exact"/>
        <w:ind w:firstLine="640" w:firstLineChars="200"/>
        <w:rPr>
          <w:rFonts w:hint="eastAsia" w:ascii="仿宋_GB2312" w:hAnsi="楷体" w:eastAsia="仿宋_GB2312"/>
          <w:bCs/>
          <w:spacing w:val="-4"/>
          <w:sz w:val="32"/>
          <w:szCs w:val="32"/>
        </w:rPr>
      </w:pPr>
      <w:r>
        <w:rPr>
          <w:rFonts w:hint="eastAsia" w:ascii="仿宋_GB2312" w:hAnsi="仿宋_GB2312" w:eastAsia="仿宋_GB2312" w:cs="仿宋_GB2312"/>
          <w:kern w:val="0"/>
          <w:sz w:val="32"/>
          <w:szCs w:val="32"/>
          <w:lang w:bidi="ar"/>
        </w:rPr>
        <w:t>（</w:t>
      </w:r>
      <w:r>
        <w:rPr>
          <w:rFonts w:hint="eastAsia" w:eastAsia="仿宋_GB2312" w:cs="仿宋_GB2312"/>
          <w:kern w:val="0"/>
          <w:sz w:val="32"/>
          <w:szCs w:val="32"/>
          <w:lang w:bidi="ar"/>
        </w:rPr>
        <w:t>3</w:t>
      </w:r>
      <w:r>
        <w:rPr>
          <w:rFonts w:hint="eastAsia" w:ascii="仿宋_GB2312" w:hAnsi="仿宋_GB2312" w:eastAsia="仿宋_GB2312" w:cs="仿宋_GB2312"/>
          <w:kern w:val="0"/>
          <w:sz w:val="32"/>
          <w:szCs w:val="32"/>
          <w:lang w:bidi="ar"/>
        </w:rPr>
        <w:t>）制定了</w:t>
      </w:r>
      <w:r>
        <w:rPr>
          <w:rFonts w:hint="eastAsia" w:ascii="仿宋_GB2312" w:hAnsi="楷体" w:eastAsia="仿宋_GB2312"/>
          <w:bCs/>
          <w:spacing w:val="-4"/>
          <w:sz w:val="32"/>
          <w:szCs w:val="32"/>
        </w:rPr>
        <w:t>南部产业园区路灯及红绿灯电费支出，南部产业园区中水回用水费费用支出，南部产业园区管理委员会公务用车租赁费，南部产业园区电力改迁工程（一标段）征地补偿</w:t>
      </w:r>
      <w:r>
        <w:rPr>
          <w:rFonts w:hint="eastAsia" w:ascii="仿宋_GB2312" w:hAnsi="仿宋_GB2312" w:eastAsia="仿宋_GB2312" w:cs="仿宋_GB2312"/>
          <w:kern w:val="0"/>
          <w:sz w:val="32"/>
          <w:szCs w:val="32"/>
          <w:lang w:bidi="ar"/>
        </w:rPr>
        <w:t>项目实施方案，确保项目</w:t>
      </w:r>
      <w:r>
        <w:rPr>
          <w:rFonts w:hint="eastAsia" w:ascii="仿宋_GB2312" w:hAnsi="仿宋_GB2312" w:eastAsia="仿宋_GB2312" w:cs="仿宋_GB2312"/>
          <w:kern w:val="0"/>
          <w:sz w:val="32"/>
          <w:szCs w:val="32"/>
          <w:lang w:eastAsia="zh-CN" w:bidi="ar"/>
        </w:rPr>
        <w:t>能</w:t>
      </w:r>
      <w:r>
        <w:rPr>
          <w:rFonts w:hint="eastAsia" w:ascii="仿宋_GB2312" w:hAnsi="仿宋_GB2312" w:eastAsia="仿宋_GB2312" w:cs="仿宋_GB2312"/>
          <w:kern w:val="0"/>
          <w:sz w:val="32"/>
          <w:szCs w:val="32"/>
          <w:lang w:val="en-US" w:eastAsia="zh-CN" w:bidi="ar"/>
        </w:rPr>
        <w:t>够有序成功实施</w:t>
      </w:r>
      <w:r>
        <w:rPr>
          <w:rFonts w:hint="eastAsia" w:ascii="仿宋_GB2312" w:hAnsi="仿宋_GB2312" w:eastAsia="仿宋_GB2312" w:cs="仿宋_GB2312"/>
          <w:kern w:val="0"/>
          <w:sz w:val="32"/>
          <w:szCs w:val="32"/>
          <w:lang w:bidi="ar"/>
        </w:rPr>
        <w:t>。</w:t>
      </w:r>
    </w:p>
    <w:p>
      <w:pPr>
        <w:spacing w:line="560" w:lineRule="exact"/>
        <w:ind w:firstLine="640" w:firstLineChars="200"/>
        <w:rPr>
          <w:rFonts w:hint="eastAsia"/>
        </w:rPr>
      </w:pPr>
      <w:r>
        <w:rPr>
          <w:rFonts w:hint="eastAsia" w:ascii="仿宋_GB2312" w:hAnsi="仿宋_GB2312" w:eastAsia="仿宋_GB2312" w:cs="仿宋_GB2312"/>
          <w:kern w:val="0"/>
          <w:sz w:val="32"/>
          <w:szCs w:val="32"/>
          <w:lang w:bidi="ar"/>
        </w:rPr>
        <w:t>（</w:t>
      </w:r>
      <w:r>
        <w:rPr>
          <w:rFonts w:hint="eastAsia" w:eastAsia="仿宋_GB2312" w:cs="仿宋_GB2312"/>
          <w:kern w:val="0"/>
          <w:sz w:val="32"/>
          <w:szCs w:val="32"/>
          <w:lang w:bidi="ar"/>
        </w:rPr>
        <w:t>4</w:t>
      </w:r>
      <w:r>
        <w:rPr>
          <w:rFonts w:hint="eastAsia" w:ascii="仿宋_GB2312" w:hAnsi="仿宋_GB2312" w:eastAsia="仿宋_GB2312" w:cs="仿宋_GB2312"/>
          <w:kern w:val="0"/>
          <w:sz w:val="32"/>
          <w:szCs w:val="32"/>
          <w:lang w:bidi="ar"/>
        </w:rPr>
        <w:t>）认真组织</w:t>
      </w:r>
      <w:r>
        <w:rPr>
          <w:rFonts w:hint="eastAsia" w:ascii="仿宋_GB2312" w:hAnsi="楷体" w:eastAsia="仿宋_GB2312"/>
          <w:bCs/>
          <w:spacing w:val="-4"/>
          <w:sz w:val="32"/>
          <w:szCs w:val="32"/>
        </w:rPr>
        <w:t>南部产业园区管理委员会公务用车租赁费，南部产业园区电力改迁工程（一标段）征地补偿项目支出</w:t>
      </w:r>
      <w:r>
        <w:rPr>
          <w:rFonts w:hint="eastAsia" w:ascii="仿宋_GB2312" w:hAnsi="仿宋_GB2312" w:eastAsia="仿宋_GB2312" w:cs="仿宋_GB2312"/>
          <w:kern w:val="0"/>
          <w:sz w:val="32"/>
          <w:szCs w:val="32"/>
          <w:lang w:bidi="ar"/>
        </w:rPr>
        <w:t>项目验收，确保按时高效</w:t>
      </w:r>
      <w:r>
        <w:rPr>
          <w:rFonts w:ascii="仿宋_GB2312" w:hAnsi="仿宋_GB2312" w:eastAsia="仿宋_GB2312" w:cs="仿宋_GB2312"/>
          <w:kern w:val="0"/>
          <w:sz w:val="32"/>
          <w:szCs w:val="32"/>
          <w:lang w:bidi="ar"/>
        </w:rPr>
        <w:t>高质量</w:t>
      </w:r>
      <w:r>
        <w:rPr>
          <w:rFonts w:hint="eastAsia" w:ascii="仿宋_GB2312" w:hAnsi="仿宋_GB2312" w:eastAsia="仿宋_GB2312" w:cs="仿宋_GB2312"/>
          <w:kern w:val="0"/>
          <w:sz w:val="32"/>
          <w:szCs w:val="32"/>
          <w:lang w:bidi="ar"/>
        </w:rPr>
        <w:t>完成工作任务。</w:t>
      </w:r>
    </w:p>
    <w:p>
      <w:pPr>
        <w:snapToGrid w:val="0"/>
        <w:spacing w:line="560" w:lineRule="exact"/>
        <w:ind w:left="1368" w:hanging="720"/>
        <w:outlineLvl w:val="0"/>
        <w:rPr>
          <w:rFonts w:hint="eastAsia" w:ascii="黑体" w:hAnsi="黑体" w:eastAsia="黑体" w:cs="宋体"/>
          <w:bCs/>
          <w:color w:val="333333"/>
          <w:sz w:val="32"/>
          <w:szCs w:val="32"/>
          <w:lang w:bidi="ar"/>
        </w:rPr>
      </w:pPr>
      <w:bookmarkStart w:id="16" w:name="_Toc6552"/>
      <w:r>
        <w:rPr>
          <w:rFonts w:hint="eastAsia" w:ascii="黑体" w:hAnsi="黑体" w:eastAsia="黑体" w:cs="宋体"/>
          <w:bCs/>
          <w:color w:val="333333"/>
          <w:sz w:val="32"/>
          <w:szCs w:val="32"/>
          <w:lang w:bidi="ar"/>
        </w:rPr>
        <w:t>三</w:t>
      </w:r>
      <w:r>
        <w:rPr>
          <w:rFonts w:ascii="黑体" w:hAnsi="黑体" w:eastAsia="黑体" w:cs="宋体"/>
          <w:bCs/>
          <w:color w:val="333333"/>
          <w:sz w:val="32"/>
          <w:szCs w:val="32"/>
          <w:lang w:bidi="ar"/>
        </w:rPr>
        <w:t>、</w:t>
      </w:r>
      <w:r>
        <w:rPr>
          <w:rFonts w:hint="eastAsia" w:ascii="黑体" w:hAnsi="黑体" w:eastAsia="黑体" w:cs="宋体"/>
          <w:bCs/>
          <w:color w:val="333333"/>
          <w:sz w:val="32"/>
          <w:szCs w:val="32"/>
          <w:lang w:bidi="ar"/>
        </w:rPr>
        <w:t>部门单位整体支出绩效情况</w:t>
      </w:r>
      <w:bookmarkEnd w:id="16"/>
    </w:p>
    <w:p>
      <w:pPr>
        <w:spacing w:line="560" w:lineRule="exact"/>
        <w:ind w:firstLine="643" w:firstLineChars="200"/>
        <w:jc w:val="left"/>
        <w:outlineLvl w:val="1"/>
        <w:rPr>
          <w:rFonts w:ascii="楷体" w:hAnsi="楷体" w:eastAsia="楷体" w:cs="楷体"/>
          <w:b/>
          <w:sz w:val="32"/>
          <w:szCs w:val="32"/>
        </w:rPr>
      </w:pPr>
      <w:bookmarkStart w:id="17" w:name="_Toc15638"/>
      <w:r>
        <w:rPr>
          <w:rFonts w:hint="eastAsia" w:ascii="楷体" w:hAnsi="楷体" w:eastAsia="楷体" w:cs="楷体"/>
          <w:b/>
          <w:sz w:val="32"/>
          <w:szCs w:val="32"/>
        </w:rPr>
        <w:t>（一）预算执行情况</w:t>
      </w:r>
      <w:bookmarkEnd w:id="17"/>
    </w:p>
    <w:p>
      <w:pPr>
        <w:spacing w:line="560" w:lineRule="exact"/>
        <w:ind w:firstLine="624" w:firstLineChars="200"/>
        <w:rPr>
          <w:rFonts w:hint="eastAsia" w:ascii="仿宋_GB2312" w:hAnsi="楷体" w:eastAsia="仿宋_GB2312"/>
          <w:bCs/>
          <w:color w:val="000000"/>
          <w:spacing w:val="-4"/>
          <w:sz w:val="32"/>
          <w:szCs w:val="32"/>
        </w:rPr>
      </w:pPr>
      <w:r>
        <w:rPr>
          <w:rFonts w:hint="eastAsia" w:eastAsia="仿宋_GB2312"/>
          <w:bCs/>
          <w:color w:val="000000"/>
          <w:spacing w:val="-4"/>
          <w:sz w:val="32"/>
          <w:szCs w:val="32"/>
        </w:rPr>
        <w:t>202</w:t>
      </w:r>
      <w:r>
        <w:rPr>
          <w:rFonts w:hint="eastAsia" w:ascii="仿宋_GB2312" w:hAnsi="楷体" w:eastAsia="仿宋_GB2312"/>
          <w:bCs/>
          <w:color w:val="000000"/>
          <w:spacing w:val="-4"/>
          <w:sz w:val="32"/>
          <w:szCs w:val="32"/>
        </w:rPr>
        <w:t>4年霍尔果斯南部产业园区管理委员会总支出248.2万元，预算执行率</w:t>
      </w:r>
      <w:r>
        <w:rPr>
          <w:rFonts w:hint="eastAsia" w:ascii="仿宋_GB2312" w:hAnsi="楷体" w:eastAsia="仿宋_GB2312"/>
          <w:bCs/>
          <w:color w:val="000000"/>
          <w:spacing w:val="-4"/>
          <w:sz w:val="32"/>
          <w:szCs w:val="32"/>
          <w:lang w:val="en-US" w:eastAsia="zh-CN"/>
        </w:rPr>
        <w:t>99.89</w:t>
      </w:r>
      <w:r>
        <w:rPr>
          <w:rFonts w:hint="eastAsia" w:ascii="仿宋_GB2312" w:hAnsi="楷体" w:eastAsia="仿宋_GB2312"/>
          <w:bCs/>
          <w:color w:val="000000"/>
          <w:spacing w:val="-4"/>
          <w:sz w:val="32"/>
          <w:szCs w:val="32"/>
        </w:rPr>
        <w:t>%，其中基本支</w:t>
      </w:r>
      <w:r>
        <w:rPr>
          <w:rFonts w:hint="eastAsia" w:ascii="仿宋_GB2312" w:hAnsi="楷体" w:eastAsia="仿宋_GB2312"/>
          <w:bCs/>
          <w:color w:val="auto"/>
          <w:spacing w:val="-4"/>
          <w:sz w:val="32"/>
          <w:szCs w:val="32"/>
          <w:highlight w:val="none"/>
        </w:rPr>
        <w:t>出支出89.52</w:t>
      </w:r>
      <w:r>
        <w:rPr>
          <w:rFonts w:hint="eastAsia" w:ascii="仿宋_GB2312" w:hAnsi="楷体" w:eastAsia="仿宋_GB2312"/>
          <w:bCs/>
          <w:color w:val="000000"/>
          <w:spacing w:val="-4"/>
          <w:sz w:val="32"/>
          <w:szCs w:val="32"/>
        </w:rPr>
        <w:t>万元，项目支出158.68万元。</w:t>
      </w:r>
    </w:p>
    <w:p>
      <w:pPr>
        <w:spacing w:line="560" w:lineRule="exact"/>
        <w:ind w:firstLine="643" w:firstLineChars="200"/>
        <w:jc w:val="left"/>
        <w:outlineLvl w:val="2"/>
        <w:rPr>
          <w:rFonts w:hint="eastAsia" w:ascii="仿宋_GB2312" w:hAnsi="宋体" w:eastAsia="仿宋_GB2312"/>
          <w:b/>
          <w:sz w:val="32"/>
          <w:szCs w:val="32"/>
        </w:rPr>
      </w:pPr>
      <w:bookmarkStart w:id="18" w:name="_Toc808"/>
      <w:r>
        <w:rPr>
          <w:rFonts w:hint="eastAsia" w:eastAsia="仿宋_GB2312"/>
          <w:b/>
          <w:sz w:val="32"/>
          <w:szCs w:val="32"/>
        </w:rPr>
        <w:t>1</w:t>
      </w:r>
      <w:r>
        <w:rPr>
          <w:rFonts w:hint="eastAsia" w:ascii="仿宋_GB2312" w:hAnsi="宋体" w:eastAsia="仿宋_GB2312"/>
          <w:b/>
          <w:sz w:val="32"/>
          <w:szCs w:val="32"/>
        </w:rPr>
        <w:t>.基本支出使用情况</w:t>
      </w:r>
      <w:bookmarkEnd w:id="18"/>
    </w:p>
    <w:p>
      <w:pPr>
        <w:spacing w:line="560" w:lineRule="exact"/>
        <w:ind w:firstLine="624" w:firstLineChars="200"/>
        <w:rPr>
          <w:rFonts w:ascii="仿宋_GB2312" w:hAnsi="楷体" w:eastAsia="仿宋_GB2312"/>
          <w:bCs/>
          <w:spacing w:val="-4"/>
          <w:sz w:val="32"/>
          <w:szCs w:val="32"/>
        </w:rPr>
      </w:pPr>
      <w:r>
        <w:rPr>
          <w:rFonts w:hint="eastAsia" w:eastAsia="仿宋_GB2312"/>
          <w:bCs/>
          <w:color w:val="000000"/>
          <w:spacing w:val="-4"/>
          <w:sz w:val="32"/>
          <w:szCs w:val="32"/>
        </w:rPr>
        <w:t>2024</w:t>
      </w:r>
      <w:r>
        <w:rPr>
          <w:rFonts w:hint="eastAsia" w:ascii="仿宋_GB2312" w:hAnsi="楷体" w:eastAsia="仿宋_GB2312"/>
          <w:bCs/>
          <w:color w:val="000000"/>
          <w:spacing w:val="-4"/>
          <w:sz w:val="32"/>
          <w:szCs w:val="32"/>
        </w:rPr>
        <w:t>年，霍尔果斯南部产业园区管理委员会基本支出</w:t>
      </w:r>
      <w:r>
        <w:rPr>
          <w:rStyle w:val="5"/>
          <w:rFonts w:hint="eastAsia" w:ascii="仿宋_GB2312" w:hAnsi="楷体" w:eastAsia="仿宋_GB2312"/>
          <w:b w:val="0"/>
          <w:color w:val="000000"/>
          <w:spacing w:val="-4"/>
          <w:sz w:val="32"/>
          <w:szCs w:val="32"/>
        </w:rPr>
        <w:t>89.52</w:t>
      </w:r>
      <w:r>
        <w:rPr>
          <w:rFonts w:hint="eastAsia" w:ascii="仿宋_GB2312" w:hAnsi="楷体" w:eastAsia="仿宋_GB2312"/>
          <w:bCs/>
          <w:color w:val="000000"/>
          <w:spacing w:val="-4"/>
          <w:sz w:val="32"/>
          <w:szCs w:val="32"/>
        </w:rPr>
        <w:t>万元，占总支出的36</w:t>
      </w:r>
      <w:r>
        <w:rPr>
          <w:rFonts w:hint="eastAsia" w:ascii="仿宋_GB2312" w:hAnsi="楷体" w:eastAsia="仿宋_GB2312"/>
          <w:bCs/>
          <w:color w:val="000000"/>
          <w:spacing w:val="-4"/>
          <w:sz w:val="32"/>
          <w:szCs w:val="32"/>
          <w:lang w:val="en-US" w:eastAsia="zh-CN"/>
        </w:rPr>
        <w:t>.07</w:t>
      </w:r>
      <w:r>
        <w:rPr>
          <w:rFonts w:hint="eastAsia" w:ascii="仿宋_GB2312" w:hAnsi="楷体" w:eastAsia="仿宋_GB2312"/>
          <w:bCs/>
          <w:color w:val="000000"/>
          <w:spacing w:val="-4"/>
          <w:sz w:val="32"/>
          <w:szCs w:val="32"/>
        </w:rPr>
        <w:t>％，其中：</w:t>
      </w:r>
      <w:r>
        <w:rPr>
          <w:rFonts w:hint="eastAsia" w:ascii="仿宋_GB2312" w:hAnsi="楷体" w:eastAsia="仿宋_GB2312"/>
          <w:bCs/>
          <w:spacing w:val="-4"/>
          <w:sz w:val="32"/>
          <w:szCs w:val="32"/>
        </w:rPr>
        <w:t>行政运行80.53万元，机关事业单位基本养老保险缴费支出4.78万元，机关事业单位职业年金缴费支出0.42万元，住房公积金3.79万元。</w:t>
      </w:r>
    </w:p>
    <w:p>
      <w:pPr>
        <w:spacing w:line="560" w:lineRule="exact"/>
        <w:ind w:firstLine="643" w:firstLineChars="200"/>
        <w:jc w:val="left"/>
        <w:outlineLvl w:val="2"/>
        <w:rPr>
          <w:rFonts w:hint="eastAsia" w:ascii="仿宋_GB2312" w:hAnsi="宋体" w:eastAsia="仿宋_GB2312"/>
          <w:b/>
          <w:sz w:val="32"/>
          <w:szCs w:val="32"/>
        </w:rPr>
      </w:pPr>
      <w:bookmarkStart w:id="19" w:name="_Toc9601"/>
      <w:r>
        <w:rPr>
          <w:rFonts w:hint="eastAsia" w:eastAsia="仿宋_GB2312"/>
          <w:b/>
          <w:sz w:val="32"/>
          <w:szCs w:val="32"/>
        </w:rPr>
        <w:t>2</w:t>
      </w:r>
      <w:r>
        <w:rPr>
          <w:rFonts w:hint="eastAsia" w:ascii="仿宋_GB2312" w:hAnsi="宋体" w:eastAsia="仿宋_GB2312"/>
          <w:b/>
          <w:sz w:val="32"/>
          <w:szCs w:val="32"/>
        </w:rPr>
        <w:t>.项目支出使用情况</w:t>
      </w:r>
      <w:bookmarkEnd w:id="19"/>
    </w:p>
    <w:p>
      <w:pPr>
        <w:spacing w:line="560" w:lineRule="exact"/>
        <w:ind w:firstLine="624" w:firstLineChars="200"/>
        <w:rPr>
          <w:rFonts w:ascii="楷体" w:hAnsi="楷体" w:eastAsia="楷体" w:cs="楷体"/>
          <w:b/>
          <w:sz w:val="32"/>
          <w:szCs w:val="32"/>
        </w:rPr>
      </w:pPr>
      <w:r>
        <w:rPr>
          <w:rFonts w:hint="eastAsia" w:eastAsia="仿宋_GB2312"/>
          <w:bCs/>
          <w:color w:val="000000"/>
          <w:spacing w:val="-4"/>
          <w:sz w:val="32"/>
          <w:szCs w:val="32"/>
        </w:rPr>
        <w:t>2024</w:t>
      </w:r>
      <w:r>
        <w:rPr>
          <w:rFonts w:hint="eastAsia" w:ascii="仿宋_GB2312" w:hAnsi="楷体" w:eastAsia="仿宋_GB2312"/>
          <w:bCs/>
          <w:color w:val="000000"/>
          <w:spacing w:val="-4"/>
          <w:sz w:val="32"/>
          <w:szCs w:val="32"/>
        </w:rPr>
        <w:t>年，霍尔果斯南部产业园区管理委员会项目支出</w:t>
      </w:r>
      <w:r>
        <w:rPr>
          <w:rStyle w:val="5"/>
          <w:rFonts w:hint="eastAsia" w:ascii="仿宋_GB2312" w:hAnsi="楷体" w:eastAsia="仿宋_GB2312"/>
          <w:b w:val="0"/>
          <w:color w:val="000000"/>
          <w:spacing w:val="-4"/>
          <w:sz w:val="32"/>
          <w:szCs w:val="32"/>
        </w:rPr>
        <w:t>158.68</w:t>
      </w:r>
      <w:r>
        <w:rPr>
          <w:rFonts w:hint="eastAsia" w:ascii="仿宋_GB2312" w:hAnsi="楷体" w:eastAsia="仿宋_GB2312"/>
          <w:bCs/>
          <w:color w:val="000000"/>
          <w:spacing w:val="-4"/>
          <w:sz w:val="32"/>
          <w:szCs w:val="32"/>
        </w:rPr>
        <w:t>万元，占总支出的63</w:t>
      </w:r>
      <w:r>
        <w:rPr>
          <w:rFonts w:ascii="仿宋_GB2312" w:hAnsi="楷体" w:eastAsia="仿宋_GB2312"/>
          <w:bCs/>
          <w:color w:val="000000"/>
          <w:spacing w:val="-4"/>
          <w:sz w:val="32"/>
          <w:szCs w:val="32"/>
        </w:rPr>
        <w:t>.93</w:t>
      </w:r>
      <w:r>
        <w:rPr>
          <w:rFonts w:hint="eastAsia" w:ascii="仿宋_GB2312" w:hAnsi="楷体" w:eastAsia="仿宋_GB2312"/>
          <w:bCs/>
          <w:color w:val="000000"/>
          <w:spacing w:val="-4"/>
          <w:sz w:val="32"/>
          <w:szCs w:val="32"/>
        </w:rPr>
        <w:t>％。其中：一般公共服务支出26.9万元，城乡社区支出131.78万元。</w:t>
      </w:r>
      <w:bookmarkStart w:id="20" w:name="_Toc3647"/>
    </w:p>
    <w:p>
      <w:pPr>
        <w:spacing w:line="560" w:lineRule="exact"/>
        <w:ind w:firstLine="643" w:firstLineChars="200"/>
        <w:jc w:val="left"/>
        <w:outlineLvl w:val="1"/>
        <w:rPr>
          <w:rFonts w:hint="eastAsia" w:ascii="楷体" w:hAnsi="楷体" w:eastAsia="楷体" w:cs="楷体"/>
          <w:b/>
          <w:sz w:val="32"/>
          <w:szCs w:val="32"/>
        </w:rPr>
      </w:pPr>
      <w:r>
        <w:rPr>
          <w:rFonts w:hint="eastAsia" w:ascii="楷体" w:hAnsi="楷体" w:eastAsia="楷体" w:cs="楷体"/>
          <w:b/>
          <w:sz w:val="32"/>
          <w:szCs w:val="32"/>
        </w:rPr>
        <w:t>（二）部门单位整体支出绩效指标完成情况</w:t>
      </w:r>
      <w:bookmarkEnd w:id="20"/>
    </w:p>
    <w:p>
      <w:pPr>
        <w:snapToGrid w:val="0"/>
        <w:spacing w:line="560" w:lineRule="exact"/>
        <w:ind w:firstLine="640" w:firstLineChars="200"/>
        <w:rPr>
          <w:rFonts w:hint="eastAsia" w:ascii="仿宋_GB2312" w:hAnsi="仿宋_GB2312" w:eastAsia="仿宋_GB2312" w:cs="仿宋_GB2312"/>
          <w:bCs/>
          <w:color w:val="000000"/>
          <w:sz w:val="32"/>
          <w:szCs w:val="32"/>
          <w:lang w:bidi="ar"/>
        </w:rPr>
      </w:pPr>
      <w:r>
        <w:rPr>
          <w:rFonts w:hint="eastAsia" w:ascii="仿宋_GB2312" w:hAnsi="仿宋_GB2312" w:eastAsia="仿宋_GB2312" w:cs="仿宋_GB2312"/>
          <w:bCs/>
          <w:color w:val="000000"/>
          <w:sz w:val="32"/>
          <w:szCs w:val="32"/>
          <w:lang w:bidi="ar"/>
        </w:rPr>
        <w:t>年初我单位设置部门整体绩效目标中包括一级指标2个，二级指标2个，三级指标4个，指标完成情况分析如下：</w:t>
      </w:r>
    </w:p>
    <w:p>
      <w:pPr>
        <w:snapToGrid w:val="0"/>
        <w:spacing w:line="560" w:lineRule="exact"/>
        <w:ind w:left="1368" w:hanging="720"/>
        <w:rPr>
          <w:rFonts w:ascii="楷体" w:hAnsi="楷体" w:eastAsia="楷体" w:cs="楷体"/>
          <w:b/>
          <w:sz w:val="32"/>
          <w:szCs w:val="32"/>
          <w:lang w:bidi="ar"/>
        </w:rPr>
      </w:pPr>
      <w:r>
        <w:rPr>
          <w:rFonts w:hint="eastAsia" w:eastAsia="楷体" w:cs="楷体"/>
          <w:b/>
          <w:sz w:val="32"/>
          <w:szCs w:val="32"/>
          <w:lang w:bidi="ar"/>
        </w:rPr>
        <w:t>1</w:t>
      </w:r>
      <w:r>
        <w:rPr>
          <w:rFonts w:hint="eastAsia" w:ascii="楷体" w:hAnsi="楷体" w:eastAsia="楷体" w:cs="楷体"/>
          <w:b/>
          <w:sz w:val="32"/>
          <w:szCs w:val="32"/>
          <w:lang w:bidi="ar"/>
        </w:rPr>
        <w:t>.</w:t>
      </w:r>
      <w:r>
        <w:rPr>
          <w:rFonts w:ascii="楷体" w:hAnsi="楷体" w:eastAsia="楷体" w:cs="楷体"/>
          <w:b/>
          <w:sz w:val="32"/>
          <w:szCs w:val="32"/>
          <w:lang w:bidi="ar"/>
        </w:rPr>
        <w:t>履职效能</w:t>
      </w:r>
    </w:p>
    <w:p>
      <w:pPr>
        <w:spacing w:line="560" w:lineRule="exact"/>
        <w:ind w:firstLine="640" w:firstLineChars="200"/>
        <w:rPr>
          <w:rFonts w:hint="eastAsia" w:ascii="仿宋_GB2312" w:hAnsi="仿宋_GB2312" w:eastAsia="仿宋_GB2312" w:cs="仿宋_GB2312"/>
          <w:bCs/>
          <w:sz w:val="32"/>
          <w:szCs w:val="32"/>
          <w:lang w:bidi="ar"/>
        </w:rPr>
      </w:pPr>
      <w:r>
        <w:rPr>
          <w:rFonts w:hint="eastAsia" w:ascii="仿宋_GB2312" w:hAnsi="仿宋_GB2312" w:eastAsia="仿宋_GB2312" w:cs="仿宋_GB2312"/>
          <w:color w:val="000000"/>
          <w:kern w:val="0"/>
          <w:sz w:val="32"/>
          <w:szCs w:val="32"/>
          <w:lang w:bidi="ar"/>
        </w:rPr>
        <w:t>（</w:t>
      </w:r>
      <w:r>
        <w:rPr>
          <w:rFonts w:hint="eastAsia" w:eastAsia="仿宋_GB2312" w:cs="仿宋_GB2312"/>
          <w:color w:val="000000"/>
          <w:kern w:val="0"/>
          <w:sz w:val="32"/>
          <w:szCs w:val="32"/>
          <w:lang w:bidi="ar"/>
        </w:rPr>
        <w:t>1</w:t>
      </w:r>
      <w:r>
        <w:rPr>
          <w:rFonts w:hint="eastAsia" w:ascii="仿宋_GB2312" w:hAnsi="仿宋_GB2312" w:eastAsia="仿宋_GB2312" w:cs="仿宋_GB2312"/>
          <w:color w:val="000000"/>
          <w:kern w:val="0"/>
          <w:sz w:val="32"/>
          <w:szCs w:val="32"/>
          <w:lang w:bidi="ar"/>
        </w:rPr>
        <w:t>）</w:t>
      </w:r>
      <w:r>
        <w:rPr>
          <w:rFonts w:hint="eastAsia" w:ascii="仿宋_GB2312" w:hAnsi="仿宋_GB2312" w:eastAsia="仿宋_GB2312" w:cs="仿宋_GB2312"/>
          <w:bCs/>
          <w:sz w:val="32"/>
          <w:szCs w:val="32"/>
          <w:lang w:bidi="ar"/>
        </w:rPr>
        <w:t>数量指标</w:t>
      </w:r>
    </w:p>
    <w:p>
      <w:pPr>
        <w:snapToGrid w:val="0"/>
        <w:spacing w:line="560" w:lineRule="exact"/>
        <w:ind w:firstLine="640" w:firstLineChars="200"/>
        <w:rPr>
          <w:rFonts w:hint="eastAsia" w:ascii="仿宋_GB2312" w:hAnsi="仿宋_GB2312" w:eastAsia="仿宋_GB2312" w:cs="仿宋_GB2312"/>
          <w:bCs/>
          <w:color w:val="000000"/>
          <w:sz w:val="32"/>
          <w:szCs w:val="32"/>
          <w:lang w:bidi="ar"/>
        </w:rPr>
      </w:pPr>
      <w:r>
        <w:rPr>
          <w:rFonts w:hint="eastAsia" w:ascii="仿宋_GB2312" w:hAnsi="仿宋_GB2312" w:eastAsia="仿宋_GB2312" w:cs="仿宋_GB2312"/>
          <w:bCs/>
          <w:color w:val="000000"/>
          <w:sz w:val="32"/>
          <w:szCs w:val="32"/>
          <w:lang w:bidi="ar"/>
        </w:rPr>
        <w:t>指标</w:t>
      </w:r>
      <w:r>
        <w:rPr>
          <w:rFonts w:hint="eastAsia" w:eastAsia="仿宋_GB2312" w:cs="仿宋_GB2312"/>
          <w:bCs/>
          <w:color w:val="000000"/>
          <w:sz w:val="32"/>
          <w:szCs w:val="32"/>
          <w:lang w:bidi="ar"/>
        </w:rPr>
        <w:t>1</w:t>
      </w:r>
      <w:r>
        <w:rPr>
          <w:rFonts w:hint="eastAsia" w:ascii="仿宋_GB2312" w:hAnsi="仿宋_GB2312" w:eastAsia="仿宋_GB2312" w:cs="仿宋_GB2312"/>
          <w:bCs/>
          <w:color w:val="000000"/>
          <w:sz w:val="32"/>
          <w:szCs w:val="32"/>
          <w:lang w:bidi="ar"/>
        </w:rPr>
        <w:t>：协调企业困难诉求，指标值：&gt;=60条 ，年中监控完成值：=30条</w:t>
      </w:r>
      <w:r>
        <w:rPr>
          <w:rFonts w:hint="eastAsia" w:ascii="仿宋_GB2312" w:hAnsi="仿宋_GB2312" w:eastAsia="仿宋_GB2312" w:cs="仿宋_GB2312"/>
          <w:bCs/>
          <w:color w:val="000000"/>
          <w:sz w:val="32"/>
          <w:szCs w:val="32"/>
          <w:lang w:eastAsia="zh-CN" w:bidi="ar"/>
        </w:rPr>
        <w:t>，</w:t>
      </w:r>
      <w:r>
        <w:rPr>
          <w:rFonts w:hint="eastAsia" w:ascii="仿宋_GB2312" w:hAnsi="仿宋_GB2312" w:eastAsia="仿宋_GB2312" w:cs="仿宋_GB2312"/>
          <w:bCs/>
          <w:color w:val="000000"/>
          <w:sz w:val="32"/>
          <w:szCs w:val="32"/>
          <w:lang w:bidi="ar"/>
        </w:rPr>
        <w:t>自评完成值=</w:t>
      </w:r>
      <w:r>
        <w:rPr>
          <w:rFonts w:ascii="仿宋_GB2312" w:hAnsi="仿宋_GB2312" w:eastAsia="仿宋_GB2312" w:cs="仿宋_GB2312"/>
          <w:bCs/>
          <w:color w:val="000000"/>
          <w:sz w:val="32"/>
          <w:szCs w:val="32"/>
          <w:lang w:bidi="ar"/>
        </w:rPr>
        <w:t>60</w:t>
      </w:r>
      <w:r>
        <w:rPr>
          <w:rFonts w:hint="eastAsia" w:ascii="仿宋_GB2312" w:hAnsi="仿宋_GB2312" w:eastAsia="仿宋_GB2312" w:cs="仿宋_GB2312"/>
          <w:bCs/>
          <w:color w:val="000000"/>
          <w:sz w:val="32"/>
          <w:szCs w:val="32"/>
          <w:lang w:bidi="ar"/>
        </w:rPr>
        <w:t>条，指标完成率1</w:t>
      </w:r>
      <w:r>
        <w:rPr>
          <w:rFonts w:ascii="仿宋_GB2312" w:hAnsi="仿宋_GB2312" w:eastAsia="仿宋_GB2312" w:cs="仿宋_GB2312"/>
          <w:bCs/>
          <w:color w:val="000000"/>
          <w:sz w:val="32"/>
          <w:szCs w:val="32"/>
          <w:lang w:bidi="ar"/>
        </w:rPr>
        <w:t>00</w:t>
      </w:r>
      <w:r>
        <w:rPr>
          <w:rFonts w:hint="eastAsia" w:ascii="仿宋_GB2312" w:hAnsi="仿宋_GB2312" w:eastAsia="仿宋_GB2312" w:cs="仿宋_GB2312"/>
          <w:bCs/>
          <w:color w:val="000000"/>
          <w:sz w:val="32"/>
          <w:szCs w:val="32"/>
          <w:lang w:bidi="ar"/>
        </w:rPr>
        <w:t>%偏差</w:t>
      </w:r>
      <w:r>
        <w:rPr>
          <w:rFonts w:ascii="仿宋_GB2312" w:hAnsi="仿宋_GB2312" w:eastAsia="仿宋_GB2312" w:cs="仿宋_GB2312"/>
          <w:bCs/>
          <w:color w:val="000000"/>
          <w:sz w:val="32"/>
          <w:szCs w:val="32"/>
          <w:lang w:bidi="ar"/>
        </w:rPr>
        <w:t>0</w:t>
      </w:r>
      <w:r>
        <w:rPr>
          <w:rFonts w:hint="eastAsia" w:ascii="仿宋_GB2312" w:hAnsi="仿宋_GB2312" w:eastAsia="仿宋_GB2312" w:cs="仿宋_GB2312"/>
          <w:bCs/>
          <w:color w:val="000000"/>
          <w:sz w:val="32"/>
          <w:szCs w:val="32"/>
          <w:lang w:bidi="ar"/>
        </w:rPr>
        <w:t>%，指标成效分析：</w:t>
      </w:r>
      <w:r>
        <w:rPr>
          <w:rFonts w:hint="eastAsia" w:ascii="仿宋_GB2312" w:hAnsi="仿宋_GB2312" w:eastAsia="仿宋_GB2312" w:cs="仿宋_GB2312"/>
          <w:bCs/>
          <w:sz w:val="32"/>
          <w:szCs w:val="32"/>
          <w:lang w:bidi="ar"/>
        </w:rPr>
        <w:t>通过完成</w:t>
      </w:r>
      <w:r>
        <w:rPr>
          <w:rFonts w:hint="eastAsia" w:ascii="仿宋_GB2312" w:hAnsi="仿宋_GB2312" w:eastAsia="仿宋_GB2312" w:cs="仿宋_GB2312"/>
          <w:bCs/>
          <w:color w:val="000000"/>
          <w:sz w:val="32"/>
          <w:szCs w:val="32"/>
          <w:lang w:bidi="ar"/>
        </w:rPr>
        <w:t>协调企业困难诉求</w:t>
      </w:r>
      <w:r>
        <w:rPr>
          <w:rFonts w:hint="eastAsia" w:ascii="仿宋_GB2312" w:hAnsi="仿宋_GB2312" w:eastAsia="仿宋_GB2312" w:cs="仿宋_GB2312"/>
          <w:bCs/>
          <w:sz w:val="32"/>
          <w:szCs w:val="32"/>
          <w:lang w:bidi="ar"/>
        </w:rPr>
        <w:t>工作，有效提升服务效率，达到解决效果</w:t>
      </w:r>
      <w:r>
        <w:rPr>
          <w:rFonts w:hint="eastAsia" w:ascii="仿宋_GB2312" w:hAnsi="仿宋_GB2312" w:eastAsia="仿宋_GB2312" w:cs="仿宋_GB2312"/>
          <w:bCs/>
          <w:color w:val="000000"/>
          <w:sz w:val="32"/>
          <w:szCs w:val="32"/>
          <w:lang w:bidi="ar"/>
        </w:rPr>
        <w:t>。</w:t>
      </w:r>
    </w:p>
    <w:p>
      <w:pPr>
        <w:snapToGrid w:val="0"/>
        <w:spacing w:line="560" w:lineRule="exact"/>
        <w:ind w:firstLine="640" w:firstLineChars="200"/>
        <w:rPr>
          <w:rFonts w:ascii="仿宋_GB2312" w:hAnsi="仿宋_GB2312" w:eastAsia="仿宋_GB2312" w:cs="仿宋_GB2312"/>
          <w:bCs/>
          <w:color w:val="000000"/>
          <w:sz w:val="32"/>
          <w:szCs w:val="32"/>
          <w:lang w:bidi="ar"/>
        </w:rPr>
      </w:pPr>
      <w:r>
        <w:rPr>
          <w:rFonts w:hint="eastAsia" w:ascii="仿宋_GB2312" w:hAnsi="仿宋_GB2312" w:eastAsia="仿宋_GB2312" w:cs="仿宋_GB2312"/>
          <w:bCs/>
          <w:color w:val="000000"/>
          <w:sz w:val="32"/>
          <w:szCs w:val="32"/>
          <w:lang w:bidi="ar"/>
        </w:rPr>
        <w:t>指标</w:t>
      </w:r>
      <w:r>
        <w:rPr>
          <w:rFonts w:hint="eastAsia" w:eastAsia="仿宋_GB2312" w:cs="仿宋_GB2312"/>
          <w:bCs/>
          <w:color w:val="000000"/>
          <w:sz w:val="32"/>
          <w:szCs w:val="32"/>
          <w:lang w:bidi="ar"/>
        </w:rPr>
        <w:t>2</w:t>
      </w:r>
      <w:r>
        <w:rPr>
          <w:rFonts w:hint="eastAsia" w:ascii="仿宋_GB2312" w:hAnsi="仿宋_GB2312" w:eastAsia="仿宋_GB2312" w:cs="仿宋_GB2312"/>
          <w:bCs/>
          <w:color w:val="000000"/>
          <w:sz w:val="32"/>
          <w:szCs w:val="32"/>
          <w:lang w:bidi="ar"/>
        </w:rPr>
        <w:t>：开展主题党日活动</w:t>
      </w:r>
      <w:r>
        <w:rPr>
          <w:rFonts w:hint="eastAsia" w:ascii="仿宋_GB2312" w:hAnsi="仿宋_GB2312" w:eastAsia="仿宋_GB2312" w:cs="仿宋_GB2312"/>
          <w:bCs/>
          <w:color w:val="000000"/>
          <w:sz w:val="32"/>
          <w:szCs w:val="32"/>
          <w:lang w:eastAsia="zh-CN" w:bidi="ar"/>
        </w:rPr>
        <w:t>，</w:t>
      </w:r>
      <w:r>
        <w:rPr>
          <w:rFonts w:hint="eastAsia" w:ascii="仿宋_GB2312" w:hAnsi="仿宋_GB2312" w:eastAsia="仿宋_GB2312" w:cs="仿宋_GB2312"/>
          <w:bCs/>
          <w:color w:val="000000"/>
          <w:sz w:val="32"/>
          <w:szCs w:val="32"/>
          <w:lang w:bidi="ar"/>
        </w:rPr>
        <w:t>指标值：=12次</w:t>
      </w:r>
      <w:r>
        <w:rPr>
          <w:rFonts w:hint="eastAsia" w:ascii="仿宋_GB2312" w:hAnsi="仿宋_GB2312" w:eastAsia="仿宋_GB2312" w:cs="仿宋_GB2312"/>
          <w:bCs/>
          <w:color w:val="000000"/>
          <w:sz w:val="32"/>
          <w:szCs w:val="32"/>
          <w:lang w:eastAsia="zh-CN" w:bidi="ar"/>
        </w:rPr>
        <w:t>，</w:t>
      </w:r>
      <w:r>
        <w:rPr>
          <w:rFonts w:hint="eastAsia" w:ascii="仿宋_GB2312" w:hAnsi="仿宋_GB2312" w:eastAsia="仿宋_GB2312" w:cs="仿宋_GB2312"/>
          <w:bCs/>
          <w:color w:val="000000"/>
          <w:sz w:val="32"/>
          <w:szCs w:val="32"/>
          <w:lang w:bidi="ar"/>
        </w:rPr>
        <w:t>年中监控完成值：=6次，自评完成值：=</w:t>
      </w:r>
      <w:r>
        <w:rPr>
          <w:rFonts w:ascii="仿宋_GB2312" w:hAnsi="仿宋_GB2312" w:eastAsia="仿宋_GB2312" w:cs="仿宋_GB2312"/>
          <w:bCs/>
          <w:color w:val="000000"/>
          <w:sz w:val="32"/>
          <w:szCs w:val="32"/>
          <w:lang w:bidi="ar"/>
        </w:rPr>
        <w:t>12</w:t>
      </w:r>
      <w:r>
        <w:rPr>
          <w:rFonts w:hint="eastAsia" w:ascii="仿宋_GB2312" w:hAnsi="仿宋_GB2312" w:eastAsia="仿宋_GB2312" w:cs="仿宋_GB2312"/>
          <w:bCs/>
          <w:color w:val="000000"/>
          <w:sz w:val="32"/>
          <w:szCs w:val="32"/>
          <w:lang w:bidi="ar"/>
        </w:rPr>
        <w:t>次，指标完成率1</w:t>
      </w:r>
      <w:r>
        <w:rPr>
          <w:rFonts w:ascii="仿宋_GB2312" w:hAnsi="仿宋_GB2312" w:eastAsia="仿宋_GB2312" w:cs="仿宋_GB2312"/>
          <w:bCs/>
          <w:color w:val="000000"/>
          <w:sz w:val="32"/>
          <w:szCs w:val="32"/>
          <w:lang w:bidi="ar"/>
        </w:rPr>
        <w:t>00</w:t>
      </w:r>
      <w:r>
        <w:rPr>
          <w:rFonts w:hint="eastAsia" w:ascii="仿宋_GB2312" w:hAnsi="仿宋_GB2312" w:eastAsia="仿宋_GB2312" w:cs="仿宋_GB2312"/>
          <w:bCs/>
          <w:color w:val="000000"/>
          <w:sz w:val="32"/>
          <w:szCs w:val="32"/>
          <w:lang w:bidi="ar"/>
        </w:rPr>
        <w:t>%偏差0%，指标成效分析</w:t>
      </w:r>
      <w:r>
        <w:rPr>
          <w:rFonts w:hint="eastAsia" w:ascii="仿宋_GB2312" w:hAnsi="仿宋_GB2312" w:eastAsia="仿宋_GB2312" w:cs="仿宋_GB2312"/>
          <w:bCs/>
          <w:sz w:val="32"/>
          <w:szCs w:val="32"/>
          <w:lang w:bidi="ar"/>
        </w:rPr>
        <w:t>：通过完成主题党日工作，有效提升团队凝聚力，达到提升党性修养的效果</w:t>
      </w:r>
      <w:r>
        <w:rPr>
          <w:rFonts w:hint="eastAsia" w:ascii="仿宋_GB2312" w:hAnsi="仿宋_GB2312" w:eastAsia="仿宋_GB2312" w:cs="仿宋_GB2312"/>
          <w:bCs/>
          <w:color w:val="000000"/>
          <w:sz w:val="32"/>
          <w:szCs w:val="32"/>
          <w:lang w:bidi="ar"/>
        </w:rPr>
        <w:t>。</w:t>
      </w:r>
    </w:p>
    <w:p>
      <w:pPr>
        <w:snapToGrid w:val="0"/>
        <w:spacing w:line="560" w:lineRule="exact"/>
        <w:ind w:firstLine="640" w:firstLineChars="200"/>
        <w:rPr>
          <w:rFonts w:hint="eastAsia" w:ascii="仿宋_GB2312" w:hAnsi="仿宋_GB2312" w:eastAsia="仿宋_GB2312" w:cs="仿宋_GB2312"/>
          <w:color w:val="auto"/>
          <w:kern w:val="0"/>
          <w:sz w:val="32"/>
          <w:szCs w:val="32"/>
          <w:highlight w:val="none"/>
          <w:lang w:bidi="ar"/>
        </w:rPr>
      </w:pPr>
      <w:r>
        <w:rPr>
          <w:rFonts w:hint="eastAsia" w:ascii="仿宋_GB2312" w:hAnsi="仿宋_GB2312" w:eastAsia="仿宋_GB2312" w:cs="仿宋_GB2312"/>
          <w:bCs/>
          <w:color w:val="000000"/>
          <w:sz w:val="32"/>
          <w:szCs w:val="32"/>
          <w:lang w:bidi="ar"/>
        </w:rPr>
        <w:t>指标</w:t>
      </w:r>
      <w:r>
        <w:rPr>
          <w:rFonts w:hint="eastAsia" w:eastAsia="仿宋_GB2312" w:cs="仿宋_GB2312"/>
          <w:bCs/>
          <w:color w:val="000000"/>
          <w:sz w:val="32"/>
          <w:szCs w:val="32"/>
          <w:lang w:bidi="ar"/>
        </w:rPr>
        <w:t>3</w:t>
      </w:r>
      <w:r>
        <w:rPr>
          <w:rFonts w:hint="eastAsia" w:ascii="仿宋_GB2312" w:hAnsi="仿宋_GB2312" w:eastAsia="仿宋_GB2312" w:cs="仿宋_GB2312"/>
          <w:bCs/>
          <w:color w:val="000000"/>
          <w:sz w:val="32"/>
          <w:szCs w:val="32"/>
          <w:lang w:bidi="ar"/>
        </w:rPr>
        <w:t>：协助办理前期手续 ，指标值：&gt;=10个 ，年中监控完成值：=16个，自评完成值：=16个，指标完成率</w:t>
      </w:r>
      <w:r>
        <w:rPr>
          <w:rFonts w:ascii="仿宋_GB2312" w:hAnsi="仿宋_GB2312" w:eastAsia="仿宋_GB2312" w:cs="仿宋_GB2312"/>
          <w:bCs/>
          <w:color w:val="000000"/>
          <w:sz w:val="32"/>
          <w:szCs w:val="32"/>
          <w:lang w:bidi="ar"/>
        </w:rPr>
        <w:t>160</w:t>
      </w:r>
      <w:r>
        <w:rPr>
          <w:rFonts w:hint="eastAsia" w:ascii="仿宋_GB2312" w:hAnsi="仿宋_GB2312" w:eastAsia="仿宋_GB2312" w:cs="仿宋_GB2312"/>
          <w:bCs/>
          <w:color w:val="000000"/>
          <w:sz w:val="32"/>
          <w:szCs w:val="32"/>
          <w:lang w:bidi="ar"/>
        </w:rPr>
        <w:t xml:space="preserve"> %偏差6</w:t>
      </w:r>
      <w:r>
        <w:rPr>
          <w:rFonts w:ascii="仿宋_GB2312" w:hAnsi="仿宋_GB2312" w:eastAsia="仿宋_GB2312" w:cs="仿宋_GB2312"/>
          <w:bCs/>
          <w:color w:val="000000"/>
          <w:sz w:val="32"/>
          <w:szCs w:val="32"/>
          <w:lang w:bidi="ar"/>
        </w:rPr>
        <w:t>0</w:t>
      </w:r>
      <w:r>
        <w:rPr>
          <w:rFonts w:hint="eastAsia" w:ascii="仿宋_GB2312" w:hAnsi="仿宋_GB2312" w:eastAsia="仿宋_GB2312" w:cs="仿宋_GB2312"/>
          <w:bCs/>
          <w:color w:val="000000"/>
          <w:sz w:val="32"/>
          <w:szCs w:val="32"/>
          <w:lang w:bidi="ar"/>
        </w:rPr>
        <w:t>%，偏差原因及改进措施：园区项目增加</w:t>
      </w:r>
      <w:r>
        <w:rPr>
          <w:rFonts w:hint="eastAsia" w:ascii="仿宋_GB2312" w:hAnsi="仿宋_GB2312" w:eastAsia="仿宋_GB2312" w:cs="仿宋_GB2312"/>
          <w:bCs/>
          <w:color w:val="auto"/>
          <w:sz w:val="32"/>
          <w:szCs w:val="32"/>
          <w:highlight w:val="none"/>
          <w:lang w:bidi="ar"/>
        </w:rPr>
        <w:t>，办理手续增多；改进措施：合理规划项目个数，科学设置预算指标。指标成效分析：通过完成企业前期手续办理工作，有效</w:t>
      </w:r>
      <w:r>
        <w:rPr>
          <w:rFonts w:hint="eastAsia" w:ascii="仿宋_GB2312" w:hAnsi="仿宋_GB2312" w:eastAsia="仿宋_GB2312" w:cs="仿宋_GB2312"/>
          <w:bCs/>
          <w:color w:val="auto"/>
          <w:sz w:val="32"/>
          <w:szCs w:val="32"/>
          <w:highlight w:val="none"/>
          <w:lang w:val="en-US" w:eastAsia="zh-CN" w:bidi="ar"/>
        </w:rPr>
        <w:t>提升</w:t>
      </w:r>
      <w:r>
        <w:rPr>
          <w:rFonts w:hint="eastAsia" w:ascii="仿宋_GB2312" w:hAnsi="仿宋_GB2312" w:eastAsia="仿宋_GB2312" w:cs="仿宋_GB2312"/>
          <w:bCs/>
          <w:color w:val="auto"/>
          <w:sz w:val="32"/>
          <w:szCs w:val="32"/>
          <w:highlight w:val="none"/>
          <w:lang w:bidi="ar"/>
        </w:rPr>
        <w:t>园区营商环境，达到企业入驻的效果。</w:t>
      </w:r>
    </w:p>
    <w:p>
      <w:pPr>
        <w:snapToGrid w:val="0"/>
        <w:spacing w:line="560" w:lineRule="exact"/>
        <w:ind w:left="1368" w:hanging="720"/>
        <w:rPr>
          <w:rFonts w:ascii="楷体" w:hAnsi="楷体" w:eastAsia="楷体" w:cs="楷体"/>
          <w:b/>
          <w:sz w:val="32"/>
          <w:szCs w:val="32"/>
          <w:lang w:bidi="ar"/>
        </w:rPr>
      </w:pPr>
      <w:r>
        <w:rPr>
          <w:rFonts w:hint="eastAsia" w:eastAsia="楷体" w:cs="楷体"/>
          <w:b/>
          <w:sz w:val="32"/>
          <w:szCs w:val="32"/>
          <w:lang w:bidi="ar"/>
        </w:rPr>
        <w:t>2</w:t>
      </w:r>
      <w:r>
        <w:rPr>
          <w:rFonts w:hint="eastAsia" w:ascii="楷体" w:hAnsi="楷体" w:eastAsia="楷体" w:cs="楷体"/>
          <w:b/>
          <w:sz w:val="32"/>
          <w:szCs w:val="32"/>
          <w:lang w:bidi="ar"/>
        </w:rPr>
        <w:t>.社会效益</w:t>
      </w:r>
    </w:p>
    <w:p>
      <w:pPr>
        <w:snapToGrid w:val="0"/>
        <w:spacing w:line="560" w:lineRule="exact"/>
        <w:ind w:firstLine="640" w:firstLineChars="200"/>
        <w:rPr>
          <w:rFonts w:hint="eastAsia" w:ascii="仿宋_GB2312" w:hAnsi="仿宋_GB2312" w:eastAsia="仿宋_GB2312" w:cs="仿宋_GB2312"/>
          <w:bCs/>
          <w:color w:val="000000"/>
          <w:sz w:val="32"/>
          <w:szCs w:val="32"/>
          <w:lang w:bidi="ar"/>
        </w:rPr>
      </w:pPr>
      <w:r>
        <w:rPr>
          <w:rFonts w:hint="eastAsia" w:ascii="仿宋_GB2312" w:hAnsi="仿宋_GB2312" w:eastAsia="仿宋_GB2312" w:cs="仿宋_GB2312"/>
          <w:color w:val="000000"/>
          <w:kern w:val="0"/>
          <w:sz w:val="32"/>
          <w:szCs w:val="32"/>
          <w:lang w:bidi="ar"/>
        </w:rPr>
        <w:t>（</w:t>
      </w:r>
      <w:r>
        <w:rPr>
          <w:rFonts w:hint="eastAsia" w:eastAsia="仿宋_GB2312" w:cs="仿宋_GB2312"/>
          <w:color w:val="000000"/>
          <w:kern w:val="0"/>
          <w:sz w:val="32"/>
          <w:szCs w:val="32"/>
          <w:lang w:bidi="ar"/>
        </w:rPr>
        <w:t>1</w:t>
      </w:r>
      <w:r>
        <w:rPr>
          <w:rFonts w:hint="eastAsia" w:ascii="仿宋_GB2312" w:hAnsi="仿宋_GB2312" w:eastAsia="仿宋_GB2312" w:cs="仿宋_GB2312"/>
          <w:color w:val="000000"/>
          <w:kern w:val="0"/>
          <w:sz w:val="32"/>
          <w:szCs w:val="32"/>
          <w:lang w:bidi="ar"/>
        </w:rPr>
        <w:t>）</w:t>
      </w:r>
      <w:r>
        <w:rPr>
          <w:rFonts w:hint="eastAsia" w:ascii="仿宋_GB2312" w:hAnsi="仿宋_GB2312" w:eastAsia="仿宋_GB2312" w:cs="仿宋_GB2312"/>
          <w:bCs/>
          <w:color w:val="000000"/>
          <w:sz w:val="32"/>
          <w:szCs w:val="32"/>
          <w:lang w:bidi="ar"/>
        </w:rPr>
        <w:t>质量指标</w:t>
      </w:r>
    </w:p>
    <w:p>
      <w:pPr>
        <w:snapToGrid w:val="0"/>
        <w:spacing w:line="560" w:lineRule="exact"/>
        <w:ind w:firstLine="640" w:firstLineChars="200"/>
        <w:rPr>
          <w:rFonts w:hint="eastAsia" w:ascii="仿宋_GB2312" w:hAnsi="仿宋_GB2312" w:eastAsia="仿宋_GB2312" w:cs="仿宋_GB2312"/>
          <w:bCs/>
          <w:sz w:val="32"/>
          <w:szCs w:val="32"/>
          <w:lang w:bidi="ar"/>
        </w:rPr>
      </w:pPr>
      <w:r>
        <w:rPr>
          <w:rFonts w:hint="eastAsia" w:ascii="仿宋_GB2312" w:hAnsi="仿宋_GB2312" w:eastAsia="仿宋_GB2312" w:cs="仿宋_GB2312"/>
          <w:bCs/>
          <w:color w:val="000000"/>
          <w:sz w:val="32"/>
          <w:szCs w:val="32"/>
          <w:lang w:bidi="ar"/>
        </w:rPr>
        <w:t>指标</w:t>
      </w:r>
      <w:r>
        <w:rPr>
          <w:rFonts w:hint="eastAsia" w:eastAsia="仿宋_GB2312" w:cs="仿宋_GB2312"/>
          <w:bCs/>
          <w:color w:val="000000"/>
          <w:sz w:val="32"/>
          <w:szCs w:val="32"/>
          <w:lang w:bidi="ar"/>
        </w:rPr>
        <w:t>1</w:t>
      </w:r>
      <w:r>
        <w:rPr>
          <w:rFonts w:hint="eastAsia" w:ascii="仿宋_GB2312" w:hAnsi="仿宋_GB2312" w:eastAsia="仿宋_GB2312" w:cs="仿宋_GB2312"/>
          <w:bCs/>
          <w:color w:val="000000"/>
          <w:sz w:val="32"/>
          <w:szCs w:val="32"/>
          <w:lang w:bidi="ar"/>
        </w:rPr>
        <w:t>：园区安全生产摸排覆盖率 ，指标值：</w:t>
      </w:r>
      <w:r>
        <w:rPr>
          <w:rFonts w:ascii="仿宋_GB2312" w:hAnsi="仿宋_GB2312" w:eastAsia="仿宋_GB2312" w:cs="仿宋_GB2312"/>
          <w:bCs/>
          <w:color w:val="000000"/>
          <w:sz w:val="32"/>
          <w:szCs w:val="32"/>
          <w:lang w:bidi="ar"/>
        </w:rPr>
        <w:t>=100%</w:t>
      </w:r>
      <w:r>
        <w:rPr>
          <w:rFonts w:hint="eastAsia" w:ascii="仿宋_GB2312" w:hAnsi="仿宋_GB2312" w:eastAsia="仿宋_GB2312" w:cs="仿宋_GB2312"/>
          <w:bCs/>
          <w:color w:val="000000"/>
          <w:sz w:val="32"/>
          <w:szCs w:val="32"/>
          <w:lang w:bidi="ar"/>
        </w:rPr>
        <w:t xml:space="preserve"> ，年中监控完成值：</w:t>
      </w:r>
      <w:r>
        <w:rPr>
          <w:rFonts w:ascii="仿宋_GB2312" w:hAnsi="仿宋_GB2312" w:eastAsia="仿宋_GB2312" w:cs="仿宋_GB2312"/>
          <w:bCs/>
          <w:color w:val="000000"/>
          <w:sz w:val="32"/>
          <w:szCs w:val="32"/>
          <w:lang w:bidi="ar"/>
        </w:rPr>
        <w:t>=100%</w:t>
      </w:r>
      <w:r>
        <w:rPr>
          <w:rFonts w:hint="eastAsia" w:ascii="仿宋_GB2312" w:hAnsi="仿宋_GB2312" w:eastAsia="仿宋_GB2312" w:cs="仿宋_GB2312"/>
          <w:bCs/>
          <w:color w:val="000000"/>
          <w:sz w:val="32"/>
          <w:szCs w:val="32"/>
          <w:lang w:bidi="ar"/>
        </w:rPr>
        <w:t>，自评完成值：</w:t>
      </w:r>
      <w:r>
        <w:rPr>
          <w:rFonts w:ascii="仿宋_GB2312" w:hAnsi="仿宋_GB2312" w:eastAsia="仿宋_GB2312" w:cs="仿宋_GB2312"/>
          <w:bCs/>
          <w:color w:val="000000"/>
          <w:sz w:val="32"/>
          <w:szCs w:val="32"/>
          <w:lang w:bidi="ar"/>
        </w:rPr>
        <w:t>=100%</w:t>
      </w:r>
      <w:r>
        <w:rPr>
          <w:rFonts w:hint="eastAsia" w:ascii="仿宋_GB2312" w:hAnsi="仿宋_GB2312" w:eastAsia="仿宋_GB2312" w:cs="仿宋_GB2312"/>
          <w:bCs/>
          <w:color w:val="000000"/>
          <w:sz w:val="32"/>
          <w:szCs w:val="32"/>
          <w:lang w:bidi="ar"/>
        </w:rPr>
        <w:t>，指标完成率</w:t>
      </w:r>
      <w:r>
        <w:rPr>
          <w:rFonts w:ascii="仿宋_GB2312" w:hAnsi="仿宋_GB2312" w:eastAsia="仿宋_GB2312" w:cs="仿宋_GB2312"/>
          <w:bCs/>
          <w:color w:val="000000"/>
          <w:sz w:val="32"/>
          <w:szCs w:val="32"/>
          <w:lang w:bidi="ar"/>
        </w:rPr>
        <w:t>100</w:t>
      </w:r>
      <w:r>
        <w:rPr>
          <w:rFonts w:hint="eastAsia" w:ascii="仿宋_GB2312" w:hAnsi="仿宋_GB2312" w:eastAsia="仿宋_GB2312" w:cs="仿宋_GB2312"/>
          <w:bCs/>
          <w:color w:val="000000"/>
          <w:sz w:val="32"/>
          <w:szCs w:val="32"/>
          <w:lang w:bidi="ar"/>
        </w:rPr>
        <w:t>%偏差</w:t>
      </w:r>
      <w:r>
        <w:rPr>
          <w:rFonts w:ascii="仿宋_GB2312" w:hAnsi="仿宋_GB2312" w:eastAsia="仿宋_GB2312" w:cs="仿宋_GB2312"/>
          <w:bCs/>
          <w:color w:val="000000"/>
          <w:sz w:val="32"/>
          <w:szCs w:val="32"/>
          <w:lang w:bidi="ar"/>
        </w:rPr>
        <w:t>0</w:t>
      </w:r>
      <w:r>
        <w:rPr>
          <w:rFonts w:hint="eastAsia" w:ascii="仿宋_GB2312" w:hAnsi="仿宋_GB2312" w:eastAsia="仿宋_GB2312" w:cs="仿宋_GB2312"/>
          <w:bCs/>
          <w:color w:val="000000"/>
          <w:sz w:val="32"/>
          <w:szCs w:val="32"/>
          <w:lang w:bidi="ar"/>
        </w:rPr>
        <w:t>%，指标成效分析：</w:t>
      </w:r>
      <w:r>
        <w:rPr>
          <w:rFonts w:hint="eastAsia" w:ascii="仿宋_GB2312" w:hAnsi="仿宋_GB2312" w:eastAsia="仿宋_GB2312" w:cs="仿宋_GB2312"/>
          <w:bCs/>
          <w:sz w:val="32"/>
          <w:szCs w:val="32"/>
          <w:lang w:bidi="ar"/>
        </w:rPr>
        <w:t>通过完成企业安全生产工作摸排，有效减少园区安全事故率，达到安全生产的效果。</w:t>
      </w:r>
    </w:p>
    <w:p>
      <w:pPr>
        <w:snapToGrid w:val="0"/>
        <w:spacing w:line="560" w:lineRule="exact"/>
        <w:ind w:left="1368" w:hanging="720"/>
        <w:outlineLvl w:val="0"/>
        <w:rPr>
          <w:rFonts w:hint="eastAsia" w:ascii="黑体" w:hAnsi="黑体" w:eastAsia="黑体" w:cs="宋体"/>
          <w:bCs/>
          <w:color w:val="333333"/>
          <w:sz w:val="32"/>
          <w:szCs w:val="32"/>
          <w:lang w:bidi="ar"/>
        </w:rPr>
      </w:pPr>
      <w:bookmarkStart w:id="21" w:name="_Toc7253"/>
      <w:r>
        <w:rPr>
          <w:rFonts w:hint="eastAsia" w:ascii="黑体" w:hAnsi="黑体" w:eastAsia="黑体" w:cs="宋体"/>
          <w:bCs/>
          <w:color w:val="333333"/>
          <w:sz w:val="32"/>
          <w:szCs w:val="32"/>
          <w:lang w:bidi="ar"/>
        </w:rPr>
        <w:t>四、评价结论</w:t>
      </w:r>
      <w:bookmarkEnd w:id="21"/>
    </w:p>
    <w:p>
      <w:pPr>
        <w:spacing w:line="560" w:lineRule="exact"/>
        <w:ind w:firstLine="564" w:firstLineChars="181"/>
        <w:rPr>
          <w:rStyle w:val="5"/>
          <w:rFonts w:hint="eastAsia" w:ascii="仿宋_GB2312" w:hAnsi="楷体" w:eastAsia="仿宋_GB2312"/>
          <w:b w:val="0"/>
          <w:spacing w:val="-4"/>
          <w:sz w:val="32"/>
          <w:szCs w:val="32"/>
        </w:rPr>
      </w:pPr>
      <w:r>
        <w:rPr>
          <w:rStyle w:val="5"/>
          <w:rFonts w:hint="eastAsia" w:eastAsia="仿宋_GB2312"/>
          <w:b w:val="0"/>
          <w:spacing w:val="-4"/>
          <w:sz w:val="32"/>
          <w:szCs w:val="32"/>
        </w:rPr>
        <w:t>20</w:t>
      </w:r>
      <w:r>
        <w:rPr>
          <w:rStyle w:val="5"/>
          <w:rFonts w:hint="eastAsia" w:ascii="仿宋_GB2312" w:hAnsi="楷体" w:eastAsia="仿宋_GB2312"/>
          <w:b w:val="0"/>
          <w:spacing w:val="-4"/>
          <w:sz w:val="32"/>
          <w:szCs w:val="32"/>
        </w:rPr>
        <w:t>24年度部门整体支出绩效评价综合得分</w:t>
      </w:r>
      <w:r>
        <w:rPr>
          <w:rStyle w:val="5"/>
          <w:rFonts w:hint="eastAsia" w:ascii="仿宋_GB2312" w:hAnsi="楷体" w:eastAsia="仿宋_GB2312"/>
          <w:b w:val="0"/>
          <w:spacing w:val="-4"/>
          <w:sz w:val="32"/>
          <w:szCs w:val="32"/>
          <w:lang w:val="en-US" w:eastAsia="zh-CN"/>
        </w:rPr>
        <w:t>99.89</w:t>
      </w:r>
      <w:r>
        <w:rPr>
          <w:rStyle w:val="5"/>
          <w:rFonts w:hint="eastAsia" w:ascii="仿宋_GB2312" w:hAnsi="楷体" w:eastAsia="仿宋_GB2312"/>
          <w:b w:val="0"/>
          <w:spacing w:val="-4"/>
          <w:sz w:val="32"/>
          <w:szCs w:val="32"/>
        </w:rPr>
        <w:t>分，评价结果为“优”。</w:t>
      </w:r>
    </w:p>
    <w:p>
      <w:pPr>
        <w:snapToGrid w:val="0"/>
        <w:spacing w:line="560" w:lineRule="exact"/>
        <w:ind w:left="1368" w:hanging="720"/>
        <w:outlineLvl w:val="0"/>
        <w:rPr>
          <w:rFonts w:hint="eastAsia" w:ascii="黑体" w:hAnsi="黑体" w:eastAsia="黑体" w:cs="宋体"/>
          <w:bCs/>
          <w:color w:val="333333"/>
          <w:sz w:val="32"/>
          <w:szCs w:val="32"/>
          <w:lang w:bidi="ar"/>
        </w:rPr>
      </w:pPr>
      <w:bookmarkStart w:id="22" w:name="_Toc12815"/>
      <w:r>
        <w:rPr>
          <w:rFonts w:hint="eastAsia" w:ascii="黑体" w:hAnsi="黑体" w:eastAsia="黑体" w:cs="宋体"/>
          <w:bCs/>
          <w:color w:val="333333"/>
          <w:sz w:val="32"/>
          <w:szCs w:val="32"/>
          <w:lang w:bidi="ar"/>
        </w:rPr>
        <w:t>五</w:t>
      </w:r>
      <w:r>
        <w:rPr>
          <w:rFonts w:ascii="黑体" w:hAnsi="黑体" w:eastAsia="黑体" w:cs="宋体"/>
          <w:bCs/>
          <w:color w:val="333333"/>
          <w:sz w:val="32"/>
          <w:szCs w:val="32"/>
          <w:lang w:bidi="ar"/>
        </w:rPr>
        <w:t>、</w:t>
      </w:r>
      <w:r>
        <w:rPr>
          <w:rFonts w:hint="eastAsia" w:ascii="黑体" w:hAnsi="黑体" w:eastAsia="黑体" w:cs="宋体"/>
          <w:bCs/>
          <w:color w:val="333333"/>
          <w:sz w:val="32"/>
          <w:szCs w:val="32"/>
          <w:lang w:bidi="ar"/>
        </w:rPr>
        <w:t>存在的主要问题</w:t>
      </w:r>
      <w:bookmarkEnd w:id="22"/>
    </w:p>
    <w:p>
      <w:pPr>
        <w:widowControl/>
        <w:spacing w:line="560" w:lineRule="exact"/>
        <w:ind w:firstLine="643" w:firstLineChars="200"/>
        <w:jc w:val="left"/>
        <w:outlineLvl w:val="1"/>
        <w:rPr>
          <w:rFonts w:hint="eastAsia" w:ascii="楷体" w:hAnsi="楷体" w:eastAsia="楷体" w:cs="楷体"/>
          <w:b/>
          <w:sz w:val="32"/>
          <w:szCs w:val="32"/>
          <w:lang w:bidi="ar"/>
        </w:rPr>
      </w:pPr>
      <w:bookmarkStart w:id="23" w:name="_Toc9758"/>
      <w:r>
        <w:rPr>
          <w:rFonts w:hint="eastAsia" w:ascii="楷体" w:hAnsi="楷体" w:eastAsia="楷体" w:cs="楷体"/>
          <w:b/>
          <w:sz w:val="32"/>
          <w:szCs w:val="32"/>
          <w:lang w:bidi="ar"/>
        </w:rPr>
        <w:t>（一）绩效指标设置不够明确</w:t>
      </w:r>
      <w:bookmarkEnd w:id="23"/>
    </w:p>
    <w:p>
      <w:pPr>
        <w:widowControl/>
        <w:spacing w:line="560" w:lineRule="exact"/>
        <w:ind w:firstLine="640" w:firstLineChars="200"/>
        <w:jc w:val="left"/>
        <w:rPr>
          <w:rFonts w:ascii="仿宋_GB2312" w:hAnsi="仿宋_GB2312" w:eastAsia="仿宋_GB2312" w:cs="仿宋_GB2312"/>
          <w:bCs/>
          <w:sz w:val="32"/>
          <w:szCs w:val="32"/>
          <w:lang w:bidi="ar"/>
        </w:rPr>
      </w:pPr>
      <w:r>
        <w:rPr>
          <w:rFonts w:hint="eastAsia" w:ascii="仿宋_GB2312" w:hAnsi="仿宋_GB2312" w:eastAsia="仿宋_GB2312" w:cs="仿宋_GB2312"/>
          <w:bCs/>
          <w:sz w:val="32"/>
          <w:szCs w:val="32"/>
          <w:lang w:bidi="ar"/>
        </w:rPr>
        <w:t>我单位部分绩效指标设置存在不够精简、指标数据无法统计和指标值设置过低等问题，部分项目绩效指标值设定为定性的指标，指标设置的科学性、合理性有待进一步提高。</w:t>
      </w:r>
    </w:p>
    <w:p>
      <w:pPr>
        <w:snapToGrid w:val="0"/>
        <w:spacing w:line="560" w:lineRule="exact"/>
        <w:ind w:firstLine="643" w:firstLineChars="200"/>
        <w:rPr>
          <w:rFonts w:ascii="楷体" w:hAnsi="楷体" w:eastAsia="楷体" w:cs="楷体"/>
          <w:b/>
          <w:sz w:val="32"/>
          <w:szCs w:val="32"/>
          <w:lang w:bidi="ar"/>
        </w:rPr>
      </w:pPr>
      <w:bookmarkStart w:id="24" w:name="_Toc2729"/>
      <w:r>
        <w:rPr>
          <w:rFonts w:hint="eastAsia" w:ascii="楷体" w:hAnsi="楷体" w:eastAsia="楷体" w:cs="楷体"/>
          <w:b/>
          <w:sz w:val="32"/>
          <w:szCs w:val="32"/>
          <w:lang w:bidi="ar"/>
        </w:rPr>
        <w:t>（二）</w:t>
      </w:r>
      <w:bookmarkEnd w:id="24"/>
      <w:bookmarkStart w:id="25" w:name="_Toc14737"/>
      <w:r>
        <w:rPr>
          <w:rFonts w:ascii="楷体" w:hAnsi="楷体" w:eastAsia="楷体" w:cs="楷体"/>
          <w:b/>
          <w:sz w:val="32"/>
          <w:szCs w:val="32"/>
          <w:lang w:bidi="ar"/>
        </w:rPr>
        <w:t>项目监督工作存在薄弱环节</w:t>
      </w:r>
      <w:bookmarkEnd w:id="25"/>
    </w:p>
    <w:p>
      <w:pPr>
        <w:widowControl/>
        <w:spacing w:line="560" w:lineRule="exact"/>
        <w:ind w:firstLine="640" w:firstLineChars="200"/>
        <w:jc w:val="left"/>
        <w:rPr>
          <w:rFonts w:ascii="仿宋_GB2312" w:hAnsi="仿宋_GB2312" w:eastAsia="仿宋_GB2312" w:cs="仿宋_GB2312"/>
          <w:bCs/>
          <w:sz w:val="32"/>
          <w:szCs w:val="32"/>
          <w:lang w:bidi="ar"/>
        </w:rPr>
      </w:pPr>
      <w:r>
        <w:rPr>
          <w:rFonts w:ascii="仿宋_GB2312" w:hAnsi="仿宋_GB2312" w:eastAsia="仿宋_GB2312" w:cs="仿宋_GB2312"/>
          <w:bCs/>
          <w:sz w:val="32"/>
          <w:szCs w:val="32"/>
          <w:lang w:bidi="ar"/>
        </w:rPr>
        <w:t>项目实施过程中的上报、跟</w:t>
      </w:r>
      <w:r>
        <w:rPr>
          <w:rFonts w:hint="eastAsia" w:ascii="仿宋_GB2312" w:hAnsi="仿宋_GB2312" w:eastAsia="仿宋_GB2312" w:cs="仿宋_GB2312"/>
          <w:bCs/>
          <w:sz w:val="32"/>
          <w:szCs w:val="32"/>
          <w:lang w:bidi="ar"/>
        </w:rPr>
        <w:t>踪、反馈机制尚未真正形成，</w:t>
      </w:r>
      <w:r>
        <w:rPr>
          <w:rFonts w:ascii="仿宋_GB2312" w:hAnsi="仿宋_GB2312" w:eastAsia="仿宋_GB2312" w:cs="仿宋_GB2312"/>
          <w:bCs/>
          <w:sz w:val="32"/>
          <w:szCs w:val="32"/>
          <w:lang w:bidi="ar"/>
        </w:rPr>
        <w:t>资金的使用、实施等监管</w:t>
      </w:r>
      <w:r>
        <w:rPr>
          <w:rFonts w:hint="eastAsia" w:ascii="仿宋_GB2312" w:hAnsi="仿宋_GB2312" w:eastAsia="仿宋_GB2312" w:cs="仿宋_GB2312"/>
          <w:bCs/>
          <w:sz w:val="32"/>
          <w:szCs w:val="32"/>
          <w:lang w:bidi="ar"/>
        </w:rPr>
        <w:t>措施仍然存在改进的空间。</w:t>
      </w:r>
    </w:p>
    <w:p>
      <w:pPr>
        <w:snapToGrid w:val="0"/>
        <w:spacing w:line="560" w:lineRule="exact"/>
        <w:ind w:left="1368" w:hanging="720"/>
        <w:outlineLvl w:val="0"/>
        <w:rPr>
          <w:rFonts w:hint="eastAsia" w:ascii="黑体" w:hAnsi="黑体" w:eastAsia="黑体" w:cs="宋体"/>
          <w:bCs/>
          <w:color w:val="333333"/>
          <w:sz w:val="32"/>
          <w:szCs w:val="32"/>
          <w:lang w:bidi="ar"/>
        </w:rPr>
      </w:pPr>
      <w:bookmarkStart w:id="26" w:name="_Toc31536"/>
      <w:r>
        <w:rPr>
          <w:rFonts w:hint="eastAsia" w:ascii="黑体" w:hAnsi="黑体" w:eastAsia="黑体" w:cs="宋体"/>
          <w:bCs/>
          <w:color w:val="333333"/>
          <w:sz w:val="32"/>
          <w:szCs w:val="32"/>
          <w:lang w:bidi="ar"/>
        </w:rPr>
        <w:t>六</w:t>
      </w:r>
      <w:r>
        <w:rPr>
          <w:rFonts w:ascii="黑体" w:hAnsi="黑体" w:eastAsia="黑体" w:cs="宋体"/>
          <w:bCs/>
          <w:color w:val="333333"/>
          <w:sz w:val="32"/>
          <w:szCs w:val="32"/>
          <w:lang w:bidi="ar"/>
        </w:rPr>
        <w:t>、</w:t>
      </w:r>
      <w:r>
        <w:rPr>
          <w:rFonts w:hint="eastAsia" w:ascii="黑体" w:hAnsi="黑体" w:eastAsia="黑体" w:cs="宋体"/>
          <w:bCs/>
          <w:color w:val="333333"/>
          <w:sz w:val="32"/>
          <w:szCs w:val="32"/>
          <w:lang w:bidi="ar"/>
        </w:rPr>
        <w:t>改进措施和建议</w:t>
      </w:r>
      <w:bookmarkEnd w:id="26"/>
    </w:p>
    <w:p>
      <w:pPr>
        <w:widowControl/>
        <w:spacing w:line="560" w:lineRule="exact"/>
        <w:ind w:firstLine="643" w:firstLineChars="200"/>
        <w:jc w:val="left"/>
        <w:outlineLvl w:val="1"/>
        <w:rPr>
          <w:rFonts w:hint="eastAsia" w:ascii="楷体" w:hAnsi="楷体" w:eastAsia="楷体" w:cs="楷体"/>
          <w:b/>
          <w:sz w:val="32"/>
          <w:szCs w:val="32"/>
          <w:lang w:bidi="ar"/>
        </w:rPr>
      </w:pPr>
      <w:bookmarkStart w:id="27" w:name="_Toc24446"/>
      <w:r>
        <w:rPr>
          <w:rFonts w:hint="eastAsia" w:ascii="楷体" w:hAnsi="楷体" w:eastAsia="楷体" w:cs="楷体"/>
          <w:b/>
          <w:sz w:val="32"/>
          <w:szCs w:val="32"/>
          <w:lang w:bidi="ar"/>
        </w:rPr>
        <w:t>（一）强化部门绩效管理体系建设</w:t>
      </w:r>
      <w:bookmarkEnd w:id="27"/>
    </w:p>
    <w:p>
      <w:pPr>
        <w:widowControl/>
        <w:spacing w:line="560" w:lineRule="exact"/>
        <w:ind w:firstLine="640" w:firstLineChars="200"/>
        <w:rPr>
          <w:rFonts w:hint="eastAsia" w:ascii="仿宋_GB2312" w:hAnsi="仿宋_GB2312" w:eastAsia="仿宋_GB2312" w:cs="仿宋_GB2312"/>
          <w:bCs/>
          <w:sz w:val="32"/>
          <w:szCs w:val="32"/>
          <w:lang w:bidi="ar"/>
        </w:rPr>
      </w:pPr>
      <w:r>
        <w:rPr>
          <w:rFonts w:hint="eastAsia" w:ascii="仿宋_GB2312" w:hAnsi="仿宋_GB2312" w:eastAsia="仿宋_GB2312" w:cs="仿宋_GB2312"/>
          <w:bCs/>
          <w:sz w:val="32"/>
          <w:szCs w:val="32"/>
          <w:lang w:bidi="ar"/>
        </w:rPr>
        <w:t>一是</w:t>
      </w:r>
      <w:r>
        <w:rPr>
          <w:rFonts w:hint="eastAsia" w:ascii="仿宋_GB2312" w:hAnsi="仿宋_GB2312" w:eastAsia="仿宋_GB2312" w:cs="仿宋_GB2312"/>
          <w:bCs/>
          <w:sz w:val="32"/>
          <w:szCs w:val="32"/>
          <w:lang w:eastAsia="zh-CN" w:bidi="ar"/>
        </w:rPr>
        <w:t>加强预算管理和绩效目标管理，严格预算执行，强化资金绩效评价，进一步完善部门预算</w:t>
      </w:r>
      <w:r>
        <w:rPr>
          <w:rFonts w:hint="eastAsia" w:ascii="仿宋_GB2312" w:hAnsi="仿宋_GB2312" w:eastAsia="仿宋_GB2312" w:cs="仿宋_GB2312"/>
          <w:bCs/>
          <w:sz w:val="32"/>
          <w:szCs w:val="32"/>
          <w:lang w:bidi="ar"/>
        </w:rPr>
        <w:t>绩效管理制度，</w:t>
      </w:r>
      <w:r>
        <w:rPr>
          <w:rFonts w:hint="eastAsia" w:ascii="仿宋_GB2312" w:hAnsi="仿宋_GB2312" w:eastAsia="仿宋_GB2312" w:cs="仿宋_GB2312"/>
          <w:bCs/>
          <w:sz w:val="32"/>
          <w:szCs w:val="32"/>
          <w:lang w:eastAsia="zh-CN" w:bidi="ar"/>
        </w:rPr>
        <w:t>规范审批程序，理顺财务处理流程，做到各项支出合规、合理、合法。</w:t>
      </w:r>
      <w:r>
        <w:rPr>
          <w:rFonts w:hint="eastAsia" w:ascii="仿宋_GB2312" w:hAnsi="仿宋_GB2312" w:eastAsia="仿宋_GB2312" w:cs="仿宋_GB2312"/>
          <w:bCs/>
          <w:sz w:val="32"/>
          <w:szCs w:val="32"/>
          <w:lang w:bidi="ar"/>
        </w:rPr>
        <w:t>二是合理设置年度任务。提高各处室对部门中长期规划的重视程度，增强相关规划的落地性、导向性。三是探索符合部门工作特点的评价指标体系。在设定绩效目标时选取相关性强的量化指标，并注重选取符合</w:t>
      </w:r>
      <w:bookmarkStart w:id="31" w:name="_GoBack"/>
      <w:bookmarkEnd w:id="31"/>
      <w:r>
        <w:rPr>
          <w:rFonts w:hint="eastAsia" w:ascii="仿宋_GB2312" w:hAnsi="仿宋_GB2312" w:eastAsia="仿宋_GB2312" w:cs="仿宋_GB2312"/>
          <w:bCs/>
          <w:sz w:val="32"/>
          <w:szCs w:val="32"/>
          <w:lang w:bidi="ar"/>
        </w:rPr>
        <w:t>实际工作情况的指标值</w:t>
      </w:r>
      <w:r>
        <w:rPr>
          <w:rFonts w:hint="eastAsia" w:ascii="仿宋_GB2312" w:hAnsi="仿宋_GB2312" w:eastAsia="仿宋_GB2312" w:cs="仿宋_GB2312"/>
          <w:bCs/>
          <w:sz w:val="32"/>
          <w:szCs w:val="32"/>
          <w:lang w:eastAsia="zh-CN" w:bidi="ar"/>
        </w:rPr>
        <w:t>，进行更准确、更完整的预算编制。</w:t>
      </w:r>
    </w:p>
    <w:p>
      <w:pPr>
        <w:widowControl/>
        <w:spacing w:line="560" w:lineRule="exact"/>
        <w:ind w:firstLine="643" w:firstLineChars="200"/>
        <w:jc w:val="left"/>
        <w:rPr>
          <w:rFonts w:hint="eastAsia" w:ascii="楷体" w:hAnsi="楷体" w:eastAsia="楷体" w:cs="楷体"/>
          <w:b/>
          <w:sz w:val="32"/>
          <w:szCs w:val="32"/>
          <w:lang w:bidi="ar"/>
        </w:rPr>
      </w:pPr>
      <w:bookmarkStart w:id="28" w:name="_Toc14981"/>
      <w:r>
        <w:rPr>
          <w:rFonts w:hint="eastAsia" w:ascii="楷体" w:hAnsi="楷体" w:eastAsia="楷体" w:cs="楷体"/>
          <w:b/>
          <w:sz w:val="32"/>
          <w:szCs w:val="32"/>
          <w:lang w:bidi="ar"/>
        </w:rPr>
        <w:t>（二）</w:t>
      </w:r>
      <w:bookmarkEnd w:id="28"/>
      <w:bookmarkStart w:id="29" w:name="_Toc18250"/>
      <w:r>
        <w:rPr>
          <w:rFonts w:hint="eastAsia" w:ascii="楷体" w:hAnsi="楷体" w:eastAsia="楷体" w:cs="楷体"/>
          <w:b/>
          <w:sz w:val="32"/>
          <w:szCs w:val="32"/>
          <w:lang w:bidi="ar"/>
        </w:rPr>
        <w:t>建立动态分析管理机制，提高项目监管主动性</w:t>
      </w:r>
      <w:bookmarkEnd w:id="29"/>
    </w:p>
    <w:p>
      <w:pPr>
        <w:widowControl/>
        <w:spacing w:line="560" w:lineRule="exact"/>
        <w:ind w:firstLine="640" w:firstLineChars="200"/>
        <w:rPr>
          <w:rFonts w:hint="eastAsia" w:ascii="仿宋_GB2312" w:hAnsi="仿宋_GB2312" w:eastAsia="仿宋_GB2312" w:cs="仿宋_GB2312"/>
          <w:bCs/>
          <w:sz w:val="32"/>
          <w:szCs w:val="32"/>
          <w:lang w:bidi="ar"/>
        </w:rPr>
      </w:pPr>
      <w:r>
        <w:rPr>
          <w:rFonts w:hint="eastAsia" w:ascii="仿宋_GB2312" w:hAnsi="仿宋_GB2312" w:eastAsia="仿宋_GB2312" w:cs="仿宋_GB2312"/>
          <w:bCs/>
          <w:sz w:val="32"/>
          <w:szCs w:val="32"/>
          <w:lang w:bidi="ar"/>
        </w:rPr>
        <w:t>业务部门进行指导、监督和检查时进一步加强主动性，积极探索更有效和积极主动的监管方式。一方面要建立重点项目实施过程的反馈机制，加大对重点部门、重点项目的监控力度，并建立对重点项目实施情况按月度上报机制，及时督促相关地区对政策的落地执行，提高对项目的整体把控能力。另一方面积极主动下基层进行抽查和检查，强化对基层单位和“微权力”的管理监督。同时进一步扩大抽查覆盖面，或聘请专业第三方机构对项目运行情况进行事中、事后监控。</w:t>
      </w:r>
    </w:p>
    <w:p>
      <w:pPr>
        <w:pStyle w:val="6"/>
        <w:snapToGrid w:val="0"/>
        <w:spacing w:line="560" w:lineRule="exact"/>
        <w:ind w:left="1360" w:hanging="720" w:firstLineChars="0"/>
        <w:outlineLvl w:val="0"/>
        <w:rPr>
          <w:rStyle w:val="5"/>
          <w:rFonts w:ascii="仿宋_GB2312" w:hAnsi="仿宋" w:eastAsia="仿宋_GB2312"/>
          <w:b w:val="0"/>
          <w:spacing w:val="-4"/>
          <w:sz w:val="32"/>
          <w:szCs w:val="32"/>
        </w:rPr>
      </w:pPr>
      <w:bookmarkStart w:id="30" w:name="_Toc26203"/>
      <w:r>
        <w:rPr>
          <w:rFonts w:hint="eastAsia" w:ascii="黑体" w:hAnsi="黑体" w:eastAsia="黑体"/>
          <w:bCs/>
          <w:spacing w:val="-4"/>
          <w:sz w:val="32"/>
          <w:szCs w:val="32"/>
        </w:rPr>
        <w:t>七</w:t>
      </w:r>
      <w:r>
        <w:rPr>
          <w:rFonts w:ascii="黑体" w:hAnsi="黑体" w:eastAsia="黑体"/>
          <w:bCs/>
          <w:spacing w:val="-4"/>
          <w:sz w:val="32"/>
          <w:szCs w:val="32"/>
        </w:rPr>
        <w:t>、</w:t>
      </w:r>
      <w:r>
        <w:rPr>
          <w:rStyle w:val="5"/>
          <w:rFonts w:hint="eastAsia" w:ascii="黑体" w:hAnsi="黑体" w:eastAsia="黑体"/>
          <w:b w:val="0"/>
          <w:bCs w:val="0"/>
          <w:spacing w:val="-4"/>
          <w:sz w:val="32"/>
          <w:szCs w:val="32"/>
        </w:rPr>
        <w:t>附表：</w:t>
      </w:r>
      <w:r>
        <w:rPr>
          <w:rStyle w:val="5"/>
          <w:rFonts w:hint="eastAsia" w:ascii="仿宋_GB2312" w:hAnsi="仿宋" w:eastAsia="仿宋_GB2312"/>
          <w:b w:val="0"/>
          <w:spacing w:val="-4"/>
          <w:sz w:val="32"/>
          <w:szCs w:val="32"/>
        </w:rPr>
        <w:t>《</w:t>
      </w:r>
      <w:r>
        <w:rPr>
          <w:rStyle w:val="5"/>
          <w:rFonts w:hint="eastAsia" w:ascii="仿宋_GB2312" w:hAnsi="楷体" w:eastAsia="仿宋_GB2312"/>
          <w:b w:val="0"/>
          <w:bCs w:val="0"/>
          <w:spacing w:val="-4"/>
          <w:sz w:val="32"/>
          <w:szCs w:val="32"/>
        </w:rPr>
        <w:t>部门整体支出绩效目标自评表</w:t>
      </w:r>
      <w:r>
        <w:rPr>
          <w:rStyle w:val="5"/>
          <w:rFonts w:hint="eastAsia" w:ascii="仿宋_GB2312" w:hAnsi="仿宋" w:eastAsia="仿宋_GB2312"/>
          <w:b w:val="0"/>
          <w:spacing w:val="-4"/>
          <w:sz w:val="32"/>
          <w:szCs w:val="32"/>
        </w:rPr>
        <w:t>》</w:t>
      </w:r>
      <w:bookmarkEnd w:id="30"/>
    </w:p>
    <w:p>
      <w:pPr>
        <w:spacing w:line="540" w:lineRule="exact"/>
        <w:rPr>
          <w:rFonts w:ascii="仿宋_GB2312" w:hAnsi="楷体" w:eastAsia="仿宋_GB2312"/>
          <w:b/>
          <w:spacing w:val="-4"/>
          <w:sz w:val="32"/>
          <w:szCs w:val="32"/>
        </w:rPr>
      </w:pPr>
    </w:p>
    <w:p>
      <w:pPr>
        <w:pStyle w:val="2"/>
        <w:ind w:left="0" w:leftChars="0" w:firstLine="0" w:firstLineChars="0"/>
        <w:rPr>
          <w:rFonts w:ascii="仿宋_GB2312" w:hAnsi="楷体" w:eastAsia="仿宋_GB2312"/>
          <w:b/>
          <w:spacing w:val="-4"/>
          <w:sz w:val="32"/>
          <w:szCs w:val="32"/>
        </w:rPr>
      </w:pPr>
    </w:p>
    <w:tbl>
      <w:tblPr>
        <w:tblStyle w:val="3"/>
        <w:tblW w:w="865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950"/>
        <w:gridCol w:w="1200"/>
        <w:gridCol w:w="1213"/>
        <w:gridCol w:w="1159"/>
        <w:gridCol w:w="1132"/>
        <w:gridCol w:w="1132"/>
        <w:gridCol w:w="1050"/>
        <w:gridCol w:w="81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22" w:hRule="atLeast"/>
        </w:trPr>
        <w:tc>
          <w:tcPr>
            <w:tcW w:w="8654"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rPr>
            </w:pPr>
            <w:r>
              <w:rPr>
                <w:rFonts w:hint="eastAsia"/>
                <w:lang w:val="en-US" w:eastAsia="zh-CN"/>
              </w:rPr>
              <w:t>部门（单位）整体支出绩效目标自评表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60" w:hRule="atLeast"/>
        </w:trPr>
        <w:tc>
          <w:tcPr>
            <w:tcW w:w="8654"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rPr>
            </w:pPr>
            <w:r>
              <w:rPr>
                <w:rFonts w:hint="eastAsia"/>
                <w:lang w:val="en-US" w:eastAsia="zh-CN"/>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60" w:hRule="atLeast"/>
        </w:trPr>
        <w:tc>
          <w:tcPr>
            <w:tcW w:w="9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rPr>
            </w:pPr>
            <w:r>
              <w:rPr>
                <w:rFonts w:hint="eastAsia"/>
                <w:lang w:val="en-US" w:eastAsia="zh-CN"/>
              </w:rPr>
              <w:t>部门（单位）名称</w:t>
            </w:r>
          </w:p>
        </w:tc>
        <w:tc>
          <w:tcPr>
            <w:tcW w:w="7704" w:type="dxa"/>
            <w:gridSpan w:val="7"/>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rPr>
            </w:pPr>
            <w:r>
              <w:rPr>
                <w:rFonts w:hint="eastAsia"/>
                <w:lang w:val="en-US" w:eastAsia="zh-CN"/>
              </w:rPr>
              <w:t>霍尔果斯南部产业园区管理委员会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70" w:hRule="atLeast"/>
        </w:trPr>
        <w:tc>
          <w:tcPr>
            <w:tcW w:w="95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rPr>
            </w:pPr>
            <w:r>
              <w:rPr>
                <w:rFonts w:hint="eastAsia"/>
                <w:lang w:val="en-US" w:eastAsia="zh-CN"/>
              </w:rPr>
              <w:t>部门资金（万元）</w:t>
            </w:r>
          </w:p>
        </w:tc>
        <w:tc>
          <w:tcPr>
            <w:tcW w:w="12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rPr>
            </w:pPr>
            <w:r>
              <w:rPr>
                <w:rFonts w:hint="eastAsia"/>
                <w:lang w:val="en-US" w:eastAsia="zh-CN"/>
              </w:rPr>
              <w:t>资金来源</w:t>
            </w:r>
          </w:p>
        </w:tc>
        <w:tc>
          <w:tcPr>
            <w:tcW w:w="12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rPr>
            </w:pPr>
            <w:r>
              <w:rPr>
                <w:rFonts w:hint="eastAsia"/>
                <w:lang w:val="en-US" w:eastAsia="zh-CN"/>
              </w:rPr>
              <w:t>年初预算数</w:t>
            </w:r>
          </w:p>
        </w:tc>
        <w:tc>
          <w:tcPr>
            <w:tcW w:w="11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rPr>
            </w:pPr>
            <w:r>
              <w:rPr>
                <w:rFonts w:hint="eastAsia"/>
                <w:lang w:val="en-US" w:eastAsia="zh-CN"/>
              </w:rPr>
              <w:t>全年预算数</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rPr>
            </w:pPr>
            <w:r>
              <w:rPr>
                <w:rFonts w:hint="eastAsia"/>
                <w:lang w:val="en-US" w:eastAsia="zh-CN"/>
              </w:rPr>
              <w:t>全年执行数</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rPr>
            </w:pPr>
            <w:r>
              <w:rPr>
                <w:rFonts w:hint="eastAsia"/>
                <w:lang w:val="en-US" w:eastAsia="zh-CN"/>
              </w:rPr>
              <w:t>分值权重</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rPr>
            </w:pPr>
            <w:r>
              <w:rPr>
                <w:rFonts w:hint="eastAsia"/>
                <w:lang w:val="en-US" w:eastAsia="zh-CN"/>
              </w:rPr>
              <w:t>执行率</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rPr>
            </w:pPr>
            <w:r>
              <w:rPr>
                <w:rFonts w:hint="eastAsia"/>
                <w:lang w:val="en-US" w:eastAsia="zh-CN"/>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882" w:hRule="atLeast"/>
        </w:trPr>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rPr>
            </w:pPr>
            <w:r>
              <w:rPr>
                <w:rFonts w:hint="eastAsia"/>
                <w:lang w:val="en-US" w:eastAsia="zh-CN"/>
              </w:rPr>
              <w:t>年度总资金</w:t>
            </w:r>
          </w:p>
        </w:tc>
        <w:tc>
          <w:tcPr>
            <w:tcW w:w="12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rPr>
            </w:pPr>
            <w:r>
              <w:rPr>
                <w:rFonts w:hint="eastAsia"/>
                <w:lang w:val="en-US" w:eastAsia="zh-CN"/>
              </w:rPr>
              <w:t>456.89</w:t>
            </w:r>
          </w:p>
        </w:tc>
        <w:tc>
          <w:tcPr>
            <w:tcW w:w="11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lang w:val="en-US"/>
              </w:rPr>
            </w:pPr>
            <w:r>
              <w:rPr>
                <w:rFonts w:hint="eastAsia"/>
                <w:lang w:val="en-US" w:eastAsia="zh-CN"/>
              </w:rPr>
              <w:t>250.87</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rPr>
            </w:pPr>
            <w:r>
              <w:rPr>
                <w:rFonts w:hint="eastAsia"/>
                <w:lang w:val="en-US" w:eastAsia="zh-CN"/>
              </w:rPr>
              <w:t>248.2</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rPr>
            </w:pPr>
            <w:r>
              <w:rPr>
                <w:rFonts w:hint="eastAsia"/>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rPr>
            </w:pPr>
            <w:r>
              <w:rPr>
                <w:rFonts w:hint="eastAsia"/>
                <w:lang w:val="en-US" w:eastAsia="zh-CN"/>
              </w:rPr>
              <w:t>98.94%</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lang w:val="en-US"/>
              </w:rPr>
            </w:pPr>
            <w:r>
              <w:rPr>
                <w:rFonts w:hint="eastAsia"/>
                <w:lang w:val="en-US" w:eastAsia="zh-CN"/>
              </w:rPr>
              <w:t>9.89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82" w:hRule="atLeast"/>
        </w:trPr>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rPr>
            </w:pPr>
            <w:r>
              <w:rPr>
                <w:rFonts w:hint="eastAsia"/>
                <w:lang w:val="en-US" w:eastAsia="zh-CN"/>
              </w:rPr>
              <w:t>上级资金：</w:t>
            </w:r>
          </w:p>
        </w:tc>
        <w:tc>
          <w:tcPr>
            <w:tcW w:w="12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rPr>
            </w:pPr>
            <w:r>
              <w:rPr>
                <w:rFonts w:hint="eastAsia"/>
                <w:lang w:val="en-US" w:eastAsia="zh-CN"/>
              </w:rPr>
              <w:t>0</w:t>
            </w:r>
          </w:p>
        </w:tc>
        <w:tc>
          <w:tcPr>
            <w:tcW w:w="11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rPr>
            </w:pPr>
            <w:r>
              <w:rPr>
                <w:rFonts w:hint="eastAsia"/>
                <w:lang w:val="en-US" w:eastAsia="zh-CN"/>
              </w:rPr>
              <w:t>0</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rPr>
            </w:pPr>
            <w:r>
              <w:rPr>
                <w:rFonts w:hint="eastAsia"/>
                <w:lang w:val="en-US" w:eastAsia="zh-CN"/>
              </w:rPr>
              <w:t>0</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rPr>
            </w:pPr>
            <w:r>
              <w:rPr>
                <w:rFonts w:hint="eastAsia"/>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rPr>
            </w:pPr>
            <w:r>
              <w:rPr>
                <w:rFonts w:hint="eastAsia"/>
                <w:lang w:val="en-US" w:eastAsia="zh-CN"/>
              </w:rPr>
              <w:t>-</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rPr>
            </w:pPr>
            <w:r>
              <w:rPr>
                <w:rFonts w:hint="eastAsia"/>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882" w:hRule="atLeast"/>
        </w:trPr>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rPr>
            </w:pPr>
            <w:r>
              <w:rPr>
                <w:rFonts w:hint="eastAsia"/>
                <w:lang w:val="en-US" w:eastAsia="zh-CN"/>
              </w:rPr>
              <w:t>本级资金：</w:t>
            </w:r>
          </w:p>
        </w:tc>
        <w:tc>
          <w:tcPr>
            <w:tcW w:w="12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rPr>
            </w:pPr>
            <w:r>
              <w:rPr>
                <w:rFonts w:hint="eastAsia"/>
                <w:lang w:val="en-US" w:eastAsia="zh-CN"/>
              </w:rPr>
              <w:t>456.89</w:t>
            </w:r>
          </w:p>
        </w:tc>
        <w:tc>
          <w:tcPr>
            <w:tcW w:w="11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lang w:val="en-US"/>
              </w:rPr>
            </w:pPr>
            <w:r>
              <w:rPr>
                <w:rFonts w:hint="eastAsia"/>
                <w:lang w:val="en-US" w:eastAsia="zh-CN"/>
              </w:rPr>
              <w:t>250.87</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lang w:val="en-US"/>
              </w:rPr>
            </w:pPr>
            <w:r>
              <w:rPr>
                <w:rFonts w:hint="eastAsia"/>
                <w:lang w:val="en-US" w:eastAsia="zh-CN"/>
              </w:rPr>
              <w:t>248.2</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rPr>
            </w:pPr>
            <w:r>
              <w:rPr>
                <w:rFonts w:hint="eastAsia"/>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rPr>
            </w:pPr>
            <w:r>
              <w:rPr>
                <w:rFonts w:hint="eastAsia"/>
                <w:lang w:val="en-US" w:eastAsia="zh-CN"/>
              </w:rPr>
              <w:t>-</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rPr>
            </w:pPr>
            <w:r>
              <w:rPr>
                <w:rFonts w:hint="eastAsia"/>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82" w:hRule="atLeast"/>
        </w:trPr>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rPr>
            </w:pPr>
            <w:r>
              <w:rPr>
                <w:rFonts w:hint="eastAsia"/>
                <w:lang w:val="en-US" w:eastAsia="zh-CN"/>
              </w:rPr>
              <w:t>其他资金：</w:t>
            </w:r>
          </w:p>
        </w:tc>
        <w:tc>
          <w:tcPr>
            <w:tcW w:w="12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rPr>
            </w:pPr>
            <w:r>
              <w:rPr>
                <w:rFonts w:hint="eastAsia"/>
                <w:lang w:val="en-US" w:eastAsia="zh-CN"/>
              </w:rPr>
              <w:t>0</w:t>
            </w:r>
          </w:p>
        </w:tc>
        <w:tc>
          <w:tcPr>
            <w:tcW w:w="11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rPr>
            </w:pPr>
            <w:r>
              <w:rPr>
                <w:rFonts w:hint="eastAsia"/>
                <w:lang w:val="en-US" w:eastAsia="zh-CN"/>
              </w:rPr>
              <w:t>0</w:t>
            </w:r>
          </w:p>
        </w:tc>
        <w:tc>
          <w:tcPr>
            <w:tcW w:w="11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rPr>
            </w:pPr>
            <w:r>
              <w:rPr>
                <w:rFonts w:hint="eastAsia"/>
                <w:lang w:val="en-US" w:eastAsia="zh-CN"/>
              </w:rPr>
              <w:t>0</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rPr>
            </w:pPr>
            <w:r>
              <w:rPr>
                <w:rFonts w:hint="eastAsia"/>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rPr>
            </w:pPr>
            <w:r>
              <w:rPr>
                <w:rFonts w:hint="eastAsia"/>
                <w:lang w:val="en-US" w:eastAsia="zh-CN"/>
              </w:rPr>
              <w:t>-</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rPr>
            </w:pPr>
            <w:r>
              <w:rPr>
                <w:rFonts w:hint="eastAsia"/>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05" w:hRule="atLeast"/>
        </w:trPr>
        <w:tc>
          <w:tcPr>
            <w:tcW w:w="95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rPr>
            </w:pPr>
            <w:r>
              <w:rPr>
                <w:rFonts w:hint="eastAsia"/>
                <w:lang w:val="en-US" w:eastAsia="zh-CN"/>
              </w:rPr>
              <w:t>年度总体目标</w:t>
            </w:r>
          </w:p>
        </w:tc>
        <w:tc>
          <w:tcPr>
            <w:tcW w:w="3572"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rPr>
            </w:pPr>
            <w:r>
              <w:rPr>
                <w:rFonts w:hint="eastAsia"/>
                <w:lang w:val="en-US" w:eastAsia="zh-CN"/>
              </w:rPr>
              <w:t>预期目标</w:t>
            </w:r>
          </w:p>
        </w:tc>
        <w:tc>
          <w:tcPr>
            <w:tcW w:w="4132" w:type="dxa"/>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rPr>
            </w:pPr>
            <w:r>
              <w:rPr>
                <w:rFonts w:hint="eastAsia"/>
                <w:lang w:val="en-US" w:eastAsia="zh-CN"/>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999" w:hRule="atLeast"/>
        </w:trPr>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rPr>
            </w:pPr>
          </w:p>
        </w:tc>
        <w:tc>
          <w:tcPr>
            <w:tcW w:w="357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rPr>
            </w:pPr>
            <w:r>
              <w:rPr>
                <w:rFonts w:hint="eastAsia"/>
                <w:lang w:val="en-US" w:eastAsia="zh-CN"/>
              </w:rPr>
              <w:t>贯彻落实市委、市政府工作要求，一是摸排园区企业安全生产工作，有效提高工程质量。二是开展园区主题党日活动，有效提高党建引领经济高质量发展；三是企业服务管理工作，有效优化园区营商环境；四是协助企业办理前期手续工作，有效助力推动项目建设。</w:t>
            </w:r>
          </w:p>
        </w:tc>
        <w:tc>
          <w:tcPr>
            <w:tcW w:w="413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rPr>
            </w:pPr>
            <w:r>
              <w:rPr>
                <w:rFonts w:hint="eastAsia"/>
                <w:lang w:val="en-US" w:eastAsia="zh-CN"/>
              </w:rPr>
              <w:t>一是已完成摸排园区企业安全生产工作，有效提高了工程质量。二是开展园区主题党日活动12次，有效提高了党建引领经济高质量发展；三是高效完成企业服务管理工作，有效优化园区营商环境；四是协助企业办理前期手续工作16件，有效助力推动项目建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82" w:hRule="atLeast"/>
        </w:trPr>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rPr>
            </w:pPr>
            <w:r>
              <w:rPr>
                <w:rFonts w:hint="eastAsia"/>
                <w:lang w:val="en-US" w:eastAsia="zh-CN"/>
              </w:rPr>
              <w:t>一级指标</w:t>
            </w:r>
          </w:p>
        </w:tc>
        <w:tc>
          <w:tcPr>
            <w:tcW w:w="12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rPr>
            </w:pPr>
            <w:r>
              <w:rPr>
                <w:rFonts w:hint="eastAsia"/>
                <w:lang w:val="en-US" w:eastAsia="zh-CN"/>
              </w:rPr>
              <w:t>二级指标</w:t>
            </w:r>
          </w:p>
        </w:tc>
        <w:tc>
          <w:tcPr>
            <w:tcW w:w="12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rPr>
            </w:pPr>
            <w:r>
              <w:rPr>
                <w:rFonts w:hint="eastAsia"/>
                <w:lang w:val="en-US" w:eastAsia="zh-CN"/>
              </w:rPr>
              <w:t>三级指标</w:t>
            </w:r>
          </w:p>
        </w:tc>
        <w:tc>
          <w:tcPr>
            <w:tcW w:w="11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rPr>
            </w:pPr>
            <w:r>
              <w:rPr>
                <w:rFonts w:hint="eastAsia"/>
                <w:lang w:val="en-US" w:eastAsia="zh-CN"/>
              </w:rPr>
              <w:t>预期指标值</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rPr>
            </w:pPr>
            <w:r>
              <w:rPr>
                <w:rFonts w:hint="eastAsia"/>
                <w:lang w:val="en-US" w:eastAsia="zh-CN"/>
              </w:rPr>
              <w:t>指标值设定依据</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rPr>
            </w:pPr>
            <w:r>
              <w:rPr>
                <w:rFonts w:hint="eastAsia"/>
                <w:lang w:val="en-US" w:eastAsia="zh-CN"/>
              </w:rPr>
              <w:t>分值权重</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rPr>
            </w:pPr>
            <w:r>
              <w:rPr>
                <w:rFonts w:hint="eastAsia"/>
                <w:lang w:val="en-US" w:eastAsia="zh-CN"/>
              </w:rPr>
              <w:t>实际完成指标值</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rPr>
            </w:pPr>
            <w:r>
              <w:rPr>
                <w:rFonts w:hint="eastAsia"/>
                <w:lang w:val="en-US" w:eastAsia="zh-CN"/>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739" w:hRule="atLeast"/>
        </w:trPr>
        <w:tc>
          <w:tcPr>
            <w:tcW w:w="95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rPr>
            </w:pPr>
            <w:r>
              <w:rPr>
                <w:rFonts w:hint="eastAsia"/>
                <w:lang w:val="en-US" w:eastAsia="zh-CN"/>
              </w:rPr>
              <w:t>履职效能</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rPr>
            </w:pPr>
            <w:r>
              <w:rPr>
                <w:rFonts w:hint="eastAsia"/>
                <w:lang w:val="en-US" w:eastAsia="zh-CN"/>
              </w:rPr>
              <w:t>数量指标</w:t>
            </w:r>
          </w:p>
        </w:tc>
        <w:tc>
          <w:tcPr>
            <w:tcW w:w="12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rPr>
            </w:pPr>
            <w:r>
              <w:rPr>
                <w:rFonts w:hint="eastAsia"/>
                <w:lang w:val="en-US" w:eastAsia="zh-CN"/>
              </w:rPr>
              <w:t>协调企业困难诉求</w:t>
            </w:r>
          </w:p>
        </w:tc>
        <w:tc>
          <w:tcPr>
            <w:tcW w:w="11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rPr>
            </w:pPr>
            <w:r>
              <w:rPr>
                <w:rFonts w:hint="eastAsia"/>
                <w:lang w:val="en-US" w:eastAsia="zh-CN"/>
              </w:rPr>
              <w:t>&gt;=60条</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rPr>
            </w:pPr>
            <w:r>
              <w:rPr>
                <w:rFonts w:hint="eastAsia"/>
                <w:lang w:val="en-US" w:eastAsia="zh-CN"/>
              </w:rPr>
              <w:t>南部园区管委会2024年工作计划</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rPr>
            </w:pPr>
            <w:r>
              <w:rPr>
                <w:rFonts w:hint="eastAsia"/>
                <w:lang w:val="en-US" w:eastAsia="zh-CN"/>
              </w:rPr>
              <w:t>25</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rPr>
            </w:pPr>
            <w:r>
              <w:rPr>
                <w:rFonts w:hint="eastAsia"/>
                <w:lang w:val="en-US" w:eastAsia="zh-CN"/>
              </w:rPr>
              <w:t>60条</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rPr>
            </w:pPr>
            <w:r>
              <w:rPr>
                <w:rFonts w:hint="eastAsia"/>
                <w:lang w:val="en-US" w:eastAsia="zh-CN"/>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739" w:hRule="atLeast"/>
        </w:trPr>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rPr>
            </w:pPr>
          </w:p>
        </w:tc>
        <w:tc>
          <w:tcPr>
            <w:tcW w:w="12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rPr>
            </w:pPr>
            <w:r>
              <w:rPr>
                <w:rFonts w:hint="eastAsia"/>
                <w:lang w:val="en-US" w:eastAsia="zh-CN"/>
              </w:rPr>
              <w:t>开展主题党日活动</w:t>
            </w:r>
          </w:p>
        </w:tc>
        <w:tc>
          <w:tcPr>
            <w:tcW w:w="11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rPr>
            </w:pPr>
            <w:r>
              <w:rPr>
                <w:rFonts w:hint="eastAsia"/>
                <w:lang w:val="en-US" w:eastAsia="zh-CN"/>
              </w:rPr>
              <w:t>=12次</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rPr>
            </w:pPr>
            <w:r>
              <w:rPr>
                <w:rFonts w:hint="eastAsia"/>
                <w:lang w:val="en-US" w:eastAsia="zh-CN"/>
              </w:rPr>
              <w:t>南部园区管委会2024年工作计划</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rPr>
            </w:pPr>
            <w:r>
              <w:rPr>
                <w:rFonts w:hint="eastAsia"/>
                <w:lang w:val="en-US" w:eastAsia="zh-CN"/>
              </w:rPr>
              <w:t>25</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rPr>
            </w:pPr>
            <w:r>
              <w:rPr>
                <w:rFonts w:hint="eastAsia"/>
                <w:lang w:val="en-US" w:eastAsia="zh-CN"/>
              </w:rPr>
              <w:t>12次</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rPr>
            </w:pPr>
            <w:r>
              <w:rPr>
                <w:rFonts w:hint="eastAsia"/>
                <w:lang w:val="en-US" w:eastAsia="zh-CN"/>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9" w:hRule="atLeast"/>
        </w:trPr>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rPr>
            </w:pPr>
          </w:p>
        </w:tc>
        <w:tc>
          <w:tcPr>
            <w:tcW w:w="12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rPr>
            </w:pPr>
            <w:r>
              <w:rPr>
                <w:rFonts w:hint="eastAsia"/>
                <w:lang w:val="en-US" w:eastAsia="zh-CN"/>
              </w:rPr>
              <w:t>协助办理前期手续</w:t>
            </w:r>
          </w:p>
        </w:tc>
        <w:tc>
          <w:tcPr>
            <w:tcW w:w="11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rPr>
            </w:pPr>
            <w:r>
              <w:rPr>
                <w:rFonts w:hint="eastAsia"/>
                <w:lang w:val="en-US" w:eastAsia="zh-CN"/>
              </w:rPr>
              <w:t>&gt;=10个</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rPr>
            </w:pPr>
            <w:r>
              <w:rPr>
                <w:rFonts w:hint="eastAsia"/>
                <w:lang w:val="en-US" w:eastAsia="zh-CN"/>
              </w:rPr>
              <w:t>南部园区管委会2024年工作计划</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rPr>
            </w:pPr>
            <w:r>
              <w:rPr>
                <w:rFonts w:hint="eastAsia"/>
                <w:lang w:val="en-US" w:eastAsia="zh-CN"/>
              </w:rPr>
              <w:t>20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rPr>
            </w:pPr>
            <w:r>
              <w:rPr>
                <w:rFonts w:hint="eastAsia"/>
                <w:lang w:val="en-US" w:eastAsia="zh-CN"/>
              </w:rPr>
              <w:t>16个</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rPr>
            </w:pPr>
            <w:r>
              <w:rPr>
                <w:rFonts w:hint="eastAsia"/>
                <w:lang w:val="en-US" w:eastAsia="zh-CN"/>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9" w:hRule="atLeast"/>
        </w:trPr>
        <w:tc>
          <w:tcPr>
            <w:tcW w:w="9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rPr>
            </w:pPr>
            <w:r>
              <w:rPr>
                <w:rFonts w:hint="eastAsia"/>
                <w:lang w:val="en-US" w:eastAsia="zh-CN"/>
              </w:rPr>
              <w:t>社会效益</w:t>
            </w:r>
          </w:p>
        </w:tc>
        <w:tc>
          <w:tcPr>
            <w:tcW w:w="12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rPr>
            </w:pPr>
            <w:r>
              <w:rPr>
                <w:rFonts w:hint="eastAsia"/>
                <w:lang w:val="en-US" w:eastAsia="zh-CN"/>
              </w:rPr>
              <w:t>质量指标</w:t>
            </w:r>
          </w:p>
        </w:tc>
        <w:tc>
          <w:tcPr>
            <w:tcW w:w="12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rPr>
            </w:pPr>
            <w:r>
              <w:rPr>
                <w:rFonts w:hint="eastAsia"/>
                <w:lang w:val="en-US" w:eastAsia="zh-CN"/>
              </w:rPr>
              <w:t>园区安全生产摸排覆盖率</w:t>
            </w:r>
          </w:p>
        </w:tc>
        <w:tc>
          <w:tcPr>
            <w:tcW w:w="11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rPr>
            </w:pPr>
            <w:r>
              <w:rPr>
                <w:rFonts w:hint="eastAsia"/>
                <w:lang w:val="en-US" w:eastAsia="zh-CN"/>
              </w:rPr>
              <w:t>=100%</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rPr>
            </w:pPr>
            <w:r>
              <w:rPr>
                <w:rFonts w:hint="eastAsia"/>
                <w:lang w:val="en-US" w:eastAsia="zh-CN"/>
              </w:rPr>
              <w:t>南部园区管委会2024年工作计划</w:t>
            </w:r>
          </w:p>
        </w:tc>
        <w:tc>
          <w:tcPr>
            <w:tcW w:w="11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rPr>
            </w:pPr>
            <w:r>
              <w:rPr>
                <w:rFonts w:hint="eastAsia"/>
                <w:lang w:val="en-US" w:eastAsia="zh-CN"/>
              </w:rPr>
              <w:t>20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rPr>
            </w:pPr>
            <w:r>
              <w:rPr>
                <w:rFonts w:hint="eastAsia"/>
                <w:lang w:val="en-US" w:eastAsia="zh-CN"/>
              </w:rPr>
              <w:t>100%</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rPr>
            </w:pPr>
            <w:r>
              <w:rPr>
                <w:rFonts w:hint="eastAsia"/>
                <w:lang w:val="en-US" w:eastAsia="zh-CN"/>
              </w:rPr>
              <w:t>20</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Q1NzU1ZDE5MWUyOTliZTgzODE4MzZjMzNmODI4OTMifQ=="/>
  </w:docVars>
  <w:rsids>
    <w:rsidRoot w:val="6A333383"/>
    <w:rsid w:val="1DEA1454"/>
    <w:rsid w:val="22DE7942"/>
    <w:rsid w:val="2DE17CCA"/>
    <w:rsid w:val="36D347C8"/>
    <w:rsid w:val="3D425337"/>
    <w:rsid w:val="3D9B1CEB"/>
    <w:rsid w:val="42771F46"/>
    <w:rsid w:val="43266BCB"/>
    <w:rsid w:val="45214BC1"/>
    <w:rsid w:val="476E7A00"/>
    <w:rsid w:val="57F10A2D"/>
    <w:rsid w:val="5B4C38F6"/>
    <w:rsid w:val="6A333383"/>
    <w:rsid w:val="73140F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character" w:styleId="5">
    <w:name w:val="Strong"/>
    <w:qFormat/>
    <w:uiPriority w:val="0"/>
    <w:rPr>
      <w:b/>
      <w:bCs/>
    </w:rPr>
  </w:style>
  <w:style w:type="paragraph" w:styleId="6">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10</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2025-04-23T09:09:00Z</dcterms:created>
  <dc:creator>Administrator</dc:creator>
  <cp:lastModifiedBy>Administrator</cp:lastModifiedBy>
  <dcterms:modified xsi:type="dcterms:W3CDTF">2025-11-13T03:46:27Z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81BE172BAEAF4DE4A0009BC9DB7F4DDE_13</vt:lpwstr>
  </property>
</Properties>
</file>