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left"/>
        <w:rPr>
          <w:rFonts w:ascii="Times New Roman" w:hAnsi="Times New Roman" w:cs="Times New Roman"/>
          <w:color w:val="333333"/>
          <w:sz w:val="24"/>
        </w:rPr>
      </w:pPr>
    </w:p>
    <w:p>
      <w:pPr>
        <w:spacing w:line="540" w:lineRule="exact"/>
        <w:jc w:val="center"/>
        <w:rPr>
          <w:rFonts w:ascii="Times New Roman" w:hAnsi="Times New Roman" w:eastAsia="华文中宋" w:cs="Times New Roman"/>
          <w:b/>
          <w:kern w:val="0"/>
          <w:sz w:val="52"/>
          <w:szCs w:val="52"/>
        </w:rPr>
      </w:pPr>
    </w:p>
    <w:p>
      <w:pPr>
        <w:spacing w:line="540" w:lineRule="exact"/>
        <w:jc w:val="center"/>
        <w:rPr>
          <w:rFonts w:ascii="Times New Roman" w:hAnsi="Times New Roman" w:eastAsia="华文中宋" w:cs="Times New Roman"/>
          <w:b/>
          <w:kern w:val="0"/>
          <w:sz w:val="52"/>
          <w:szCs w:val="52"/>
        </w:rPr>
      </w:pPr>
    </w:p>
    <w:p>
      <w:pPr>
        <w:spacing w:line="540" w:lineRule="exact"/>
        <w:jc w:val="center"/>
        <w:rPr>
          <w:rFonts w:ascii="Times New Roman" w:hAnsi="Times New Roman" w:eastAsia="华文中宋" w:cs="Times New Roman"/>
          <w:b/>
          <w:kern w:val="0"/>
          <w:sz w:val="52"/>
          <w:szCs w:val="52"/>
        </w:rPr>
      </w:pPr>
    </w:p>
    <w:p>
      <w:pPr>
        <w:spacing w:line="540" w:lineRule="exact"/>
        <w:rPr>
          <w:rFonts w:ascii="Times New Roman" w:hAnsi="Times New Roman" w:eastAsia="华文中宋" w:cs="Times New Roman"/>
          <w:b/>
          <w:kern w:val="0"/>
          <w:sz w:val="52"/>
          <w:szCs w:val="52"/>
        </w:rPr>
      </w:pPr>
    </w:p>
    <w:p>
      <w:pPr>
        <w:spacing w:line="540" w:lineRule="exact"/>
        <w:rPr>
          <w:rFonts w:ascii="Times New Roman" w:hAnsi="Times New Roman" w:eastAsia="华文中宋" w:cs="Times New Roman"/>
          <w:b/>
          <w:kern w:val="0"/>
          <w:sz w:val="52"/>
          <w:szCs w:val="52"/>
        </w:rPr>
      </w:pPr>
    </w:p>
    <w:p>
      <w:pPr>
        <w:spacing w:line="540" w:lineRule="exact"/>
        <w:jc w:val="center"/>
        <w:rPr>
          <w:rFonts w:ascii="Times New Roman" w:hAnsi="Times New Roman" w:eastAsia="方正小标宋_GBK" w:cs="Times New Roman"/>
          <w:b/>
          <w:kern w:val="0"/>
          <w:sz w:val="48"/>
          <w:szCs w:val="48"/>
        </w:rPr>
      </w:pPr>
    </w:p>
    <w:p>
      <w:pPr>
        <w:spacing w:line="540" w:lineRule="exact"/>
        <w:jc w:val="center"/>
        <w:rPr>
          <w:rFonts w:ascii="方正小标宋_GBK" w:hAnsi="华文中宋" w:eastAsia="方正小标宋_GBK" w:cs="宋体"/>
          <w:b/>
          <w:kern w:val="0"/>
          <w:sz w:val="48"/>
          <w:szCs w:val="48"/>
        </w:rPr>
      </w:pPr>
      <w:r>
        <w:rPr>
          <w:rFonts w:ascii="方正小标宋_GBK" w:hAnsi="华文中宋" w:eastAsia="方正小标宋_GBK" w:cs="宋体"/>
          <w:b/>
          <w:kern w:val="0"/>
          <w:sz w:val="48"/>
          <w:szCs w:val="48"/>
        </w:rPr>
        <w:t>霍尔果斯市第三幼儿园整体支出绩效</w:t>
      </w:r>
    </w:p>
    <w:p>
      <w:pPr>
        <w:spacing w:line="540" w:lineRule="exact"/>
        <w:jc w:val="center"/>
        <w:rPr>
          <w:rFonts w:ascii="方正小标宋_GBK" w:hAnsi="华文中宋" w:eastAsia="方正小标宋_GBK" w:cs="宋体"/>
          <w:b/>
          <w:kern w:val="0"/>
          <w:sz w:val="48"/>
          <w:szCs w:val="48"/>
        </w:rPr>
      </w:pPr>
      <w:r>
        <w:rPr>
          <w:rFonts w:ascii="方正小标宋_GBK" w:hAnsi="华文中宋" w:eastAsia="方正小标宋_GBK" w:cs="宋体"/>
          <w:b/>
          <w:kern w:val="0"/>
          <w:sz w:val="48"/>
          <w:szCs w:val="48"/>
        </w:rPr>
        <w:t>自评报告</w:t>
      </w:r>
    </w:p>
    <w:p>
      <w:pPr>
        <w:spacing w:line="540" w:lineRule="exact"/>
        <w:jc w:val="center"/>
        <w:rPr>
          <w:rFonts w:ascii="Times New Roman" w:hAnsi="Times New Roman" w:eastAsia="华文中宋" w:cs="Times New Roman"/>
          <w:b/>
          <w:kern w:val="0"/>
          <w:sz w:val="52"/>
          <w:szCs w:val="52"/>
        </w:rPr>
      </w:pPr>
    </w:p>
    <w:p>
      <w:pPr>
        <w:spacing w:line="540" w:lineRule="exact"/>
        <w:jc w:val="center"/>
        <w:rPr>
          <w:rFonts w:ascii="Times New Roman" w:hAnsi="Times New Roman" w:eastAsia="仿宋_GB2312" w:cs="Times New Roman"/>
          <w:kern w:val="0"/>
          <w:sz w:val="36"/>
          <w:szCs w:val="36"/>
        </w:rPr>
      </w:pPr>
      <w:r>
        <w:rPr>
          <w:rFonts w:ascii="Times New Roman" w:hAnsi="Times New Roman" w:eastAsia="仿宋_GB2312" w:cs="Times New Roman"/>
          <w:kern w:val="0"/>
          <w:sz w:val="36"/>
          <w:szCs w:val="36"/>
        </w:rPr>
        <w:t xml:space="preserve">（ 2024 </w:t>
      </w:r>
      <w:r>
        <w:rPr>
          <w:rFonts w:ascii="Times New Roman" w:hAnsi="宋体" w:eastAsia="仿宋_GB2312" w:cs="宋体"/>
          <w:kern w:val="0"/>
          <w:sz w:val="36"/>
          <w:szCs w:val="36"/>
        </w:rPr>
        <w:t>年度</w:t>
      </w:r>
      <w:r>
        <w:rPr>
          <w:rFonts w:ascii="Times New Roman" w:hAnsi="Times New Roman" w:eastAsia="仿宋_GB2312" w:cs="Times New Roman"/>
          <w:kern w:val="0"/>
          <w:sz w:val="36"/>
          <w:szCs w:val="36"/>
        </w:rPr>
        <w:t>）</w:t>
      </w:r>
    </w:p>
    <w:p>
      <w:pPr>
        <w:spacing w:line="540" w:lineRule="exact"/>
        <w:jc w:val="center"/>
        <w:rPr>
          <w:rFonts w:ascii="Times New Roman" w:hAnsi="Times New Roman" w:eastAsia="仿宋_GB2312" w:cs="Times New Roman"/>
          <w:kern w:val="0"/>
          <w:sz w:val="30"/>
          <w:szCs w:val="30"/>
        </w:rPr>
      </w:pPr>
    </w:p>
    <w:p>
      <w:pPr>
        <w:spacing w:line="540" w:lineRule="exact"/>
        <w:jc w:val="center"/>
        <w:rPr>
          <w:rFonts w:ascii="Times New Roman" w:hAnsi="Times New Roman" w:eastAsia="仿宋_GB2312" w:cs="Times New Roman"/>
          <w:kern w:val="0"/>
          <w:sz w:val="30"/>
          <w:szCs w:val="30"/>
        </w:rPr>
      </w:pPr>
    </w:p>
    <w:p>
      <w:pPr>
        <w:spacing w:line="540" w:lineRule="exact"/>
        <w:jc w:val="center"/>
        <w:rPr>
          <w:rFonts w:ascii="Times New Roman" w:hAnsi="Times New Roman" w:eastAsia="方正小标宋_GBK" w:cs="Times New Roman"/>
          <w:kern w:val="0"/>
          <w:sz w:val="36"/>
          <w:szCs w:val="36"/>
        </w:rPr>
      </w:pPr>
    </w:p>
    <w:p>
      <w:pPr>
        <w:spacing w:line="540" w:lineRule="exact"/>
        <w:jc w:val="center"/>
        <w:rPr>
          <w:rFonts w:ascii="Times New Roman" w:hAnsi="Times New Roman" w:eastAsia="仿宋_GB2312" w:cs="Times New Roman"/>
          <w:kern w:val="0"/>
          <w:sz w:val="30"/>
          <w:szCs w:val="30"/>
        </w:rPr>
      </w:pPr>
    </w:p>
    <w:p>
      <w:pPr>
        <w:spacing w:line="540" w:lineRule="exact"/>
        <w:jc w:val="center"/>
        <w:rPr>
          <w:rFonts w:ascii="Times New Roman" w:hAnsi="Times New Roman" w:eastAsia="仿宋_GB2312" w:cs="Times New Roman"/>
          <w:kern w:val="0"/>
          <w:sz w:val="30"/>
          <w:szCs w:val="30"/>
        </w:rPr>
      </w:pPr>
    </w:p>
    <w:p>
      <w:pPr>
        <w:spacing w:line="540" w:lineRule="exact"/>
        <w:jc w:val="center"/>
        <w:rPr>
          <w:rFonts w:ascii="Times New Roman" w:hAnsi="Times New Roman" w:eastAsia="仿宋_GB2312" w:cs="Times New Roman"/>
          <w:kern w:val="0"/>
          <w:sz w:val="30"/>
          <w:szCs w:val="30"/>
        </w:rPr>
      </w:pPr>
    </w:p>
    <w:p>
      <w:pPr>
        <w:spacing w:line="540" w:lineRule="exact"/>
        <w:rPr>
          <w:rFonts w:ascii="Times New Roman" w:hAnsi="Times New Roman" w:eastAsia="仿宋_GB2312" w:cs="Times New Roman"/>
          <w:kern w:val="0"/>
          <w:sz w:val="30"/>
          <w:szCs w:val="30"/>
        </w:rPr>
      </w:pPr>
    </w:p>
    <w:p>
      <w:pPr>
        <w:spacing w:line="700" w:lineRule="exact"/>
        <w:jc w:val="left"/>
        <w:rPr>
          <w:rFonts w:ascii="Times New Roman" w:hAnsi="Times New Roman" w:eastAsia="仿宋_GB2312" w:cs="Times New Roman"/>
          <w:kern w:val="0"/>
          <w:sz w:val="36"/>
          <w:szCs w:val="36"/>
        </w:rPr>
      </w:pPr>
      <w:r>
        <w:rPr>
          <w:rFonts w:ascii="Times New Roman" w:hAnsi="Times New Roman" w:eastAsia="仿宋_GB2312" w:cs="Times New Roman"/>
          <w:kern w:val="0"/>
          <w:sz w:val="36"/>
          <w:szCs w:val="36"/>
        </w:rPr>
        <w:t xml:space="preserve">  </w:t>
      </w:r>
    </w:p>
    <w:p>
      <w:pPr>
        <w:spacing w:line="700" w:lineRule="exact"/>
        <w:jc w:val="left"/>
        <w:rPr>
          <w:rFonts w:ascii="Times New Roman" w:hAnsi="Times New Roman" w:eastAsia="仿宋_GB2312" w:cs="Times New Roman"/>
          <w:kern w:val="0"/>
          <w:sz w:val="36"/>
          <w:szCs w:val="36"/>
        </w:rPr>
      </w:pPr>
      <w:r>
        <w:rPr>
          <w:rFonts w:ascii="Times New Roman" w:hAnsi="Times New Roman" w:eastAsia="仿宋_GB2312" w:cs="Times New Roman"/>
          <w:kern w:val="0"/>
          <w:sz w:val="36"/>
          <w:szCs w:val="36"/>
        </w:rPr>
        <w:t>部门单位名称（公章）：霍尔果斯市第三幼儿园</w:t>
      </w:r>
    </w:p>
    <w:p>
      <w:pPr>
        <w:spacing w:line="700" w:lineRule="exact"/>
        <w:jc w:val="left"/>
        <w:rPr>
          <w:rFonts w:ascii="Times New Roman" w:hAnsi="Times New Roman" w:eastAsia="仿宋_GB2312" w:cs="Times New Roman"/>
          <w:kern w:val="0"/>
          <w:sz w:val="36"/>
          <w:szCs w:val="36"/>
        </w:rPr>
      </w:pPr>
      <w:r>
        <w:rPr>
          <w:rFonts w:ascii="Times New Roman" w:hAnsi="Times New Roman" w:eastAsia="仿宋_GB2312" w:cs="Times New Roman"/>
          <w:kern w:val="0"/>
          <w:sz w:val="36"/>
          <w:szCs w:val="36"/>
        </w:rPr>
        <w:t>填报时间： 2025 年 4 月 17日</w:t>
      </w:r>
    </w:p>
    <w:p>
      <w:pPr>
        <w:spacing w:line="700" w:lineRule="exact"/>
        <w:ind w:firstLine="849" w:firstLineChars="236"/>
        <w:jc w:val="left"/>
        <w:rPr>
          <w:rFonts w:ascii="Times New Roman" w:hAnsi="Times New Roman" w:eastAsia="仿宋_GB2312" w:cs="Times New Roman"/>
          <w:kern w:val="0"/>
          <w:sz w:val="36"/>
          <w:szCs w:val="36"/>
        </w:rPr>
      </w:pPr>
    </w:p>
    <w:p>
      <w:pPr>
        <w:spacing w:line="700" w:lineRule="exact"/>
        <w:ind w:firstLine="849" w:firstLineChars="236"/>
        <w:jc w:val="left"/>
        <w:rPr>
          <w:rFonts w:ascii="Times New Roman" w:hAnsi="Times New Roman" w:eastAsia="仿宋_GB2312" w:cs="Times New Roman"/>
          <w:kern w:val="0"/>
          <w:sz w:val="36"/>
          <w:szCs w:val="36"/>
        </w:rPr>
      </w:pPr>
    </w:p>
    <w:p>
      <w:pPr>
        <w:spacing w:line="560" w:lineRule="exact"/>
        <w:rPr>
          <w:rFonts w:ascii="Times New Roman" w:hAnsi="Times New Roman" w:eastAsia="黑体" w:cs="Times New Roman"/>
          <w:sz w:val="32"/>
          <w:szCs w:val="32"/>
        </w:rPr>
      </w:pPr>
    </w:p>
    <w:p>
      <w:pPr>
        <w:spacing w:line="560" w:lineRule="exact"/>
        <w:ind w:firstLine="640" w:firstLineChars="200"/>
        <w:rPr>
          <w:rFonts w:ascii="Times New Roman" w:hAnsi="Times New Roman" w:eastAsia="汉仪程行简" w:cs="Times New Roman"/>
          <w:sz w:val="32"/>
          <w:szCs w:val="32"/>
        </w:rPr>
      </w:pPr>
      <w:r>
        <w:rPr>
          <w:rFonts w:ascii="Times New Roman" w:hAnsi="Times New Roman" w:eastAsia="黑体" w:cs="Times New Roman"/>
          <w:sz w:val="32"/>
          <w:szCs w:val="32"/>
        </w:rPr>
        <w:t>一、基本概况</w:t>
      </w:r>
    </w:p>
    <w:p>
      <w:pPr>
        <w:spacing w:line="540" w:lineRule="exact"/>
        <w:ind w:firstLine="567" w:firstLineChars="181"/>
        <w:rPr>
          <w:rStyle w:val="9"/>
          <w:rFonts w:ascii="Times New Roman" w:hAnsi="Times New Roman" w:eastAsia="楷体" w:cs="Times New Roman"/>
          <w:bCs w:val="0"/>
          <w:spacing w:val="-4"/>
          <w:sz w:val="32"/>
          <w:szCs w:val="32"/>
        </w:rPr>
      </w:pPr>
      <w:r>
        <w:rPr>
          <w:rStyle w:val="9"/>
          <w:rFonts w:ascii="Times New Roman" w:hAnsi="Times New Roman" w:eastAsia="楷体" w:cs="Times New Roman"/>
          <w:bCs w:val="0"/>
          <w:spacing w:val="-4"/>
          <w:sz w:val="32"/>
          <w:szCs w:val="32"/>
        </w:rPr>
        <w:t>(一)</w:t>
      </w:r>
      <w:r>
        <w:rPr>
          <w:rFonts w:ascii="Times New Roman" w:hAnsi="Times New Roman" w:eastAsia="楷体" w:cs="Times New Roman"/>
          <w:b/>
          <w:sz w:val="32"/>
          <w:szCs w:val="32"/>
        </w:rPr>
        <w:t>部门单位基本情况</w:t>
      </w:r>
    </w:p>
    <w:p>
      <w:pPr>
        <w:snapToGrid w:val="0"/>
        <w:spacing w:line="560" w:lineRule="exact"/>
        <w:ind w:left="638" w:leftChars="304"/>
        <w:rPr>
          <w:rFonts w:ascii="Times New Roman" w:hAnsi="Times New Roman" w:eastAsia="仿宋_GB2312" w:cs="Times New Roman"/>
          <w:b/>
          <w:spacing w:val="-4"/>
          <w:sz w:val="32"/>
          <w:szCs w:val="32"/>
        </w:rPr>
      </w:pPr>
      <w:r>
        <w:rPr>
          <w:rFonts w:ascii="Times New Roman" w:hAnsi="Times New Roman" w:eastAsia="仿宋_GB2312" w:cs="Times New Roman"/>
          <w:b/>
          <w:sz w:val="32"/>
          <w:szCs w:val="32"/>
        </w:rPr>
        <w:t>1.</w:t>
      </w:r>
      <w:r>
        <w:rPr>
          <w:rFonts w:ascii="Times New Roman" w:hAnsi="Times New Roman" w:eastAsia="仿宋_GB2312" w:cs="Times New Roman"/>
          <w:b/>
          <w:spacing w:val="-4"/>
          <w:sz w:val="32"/>
          <w:szCs w:val="32"/>
        </w:rPr>
        <w:t>主要职能</w:t>
      </w:r>
    </w:p>
    <w:p>
      <w:pPr>
        <w:widowControl/>
        <w:spacing w:line="560" w:lineRule="exact"/>
        <w:ind w:firstLine="624" w:firstLineChars="200"/>
        <w:rPr>
          <w:rStyle w:val="9"/>
          <w:rFonts w:ascii="Times New Roman" w:hAnsi="Times New Roman" w:eastAsia="仿宋_GB2312" w:cs="Times New Roman"/>
          <w:b w:val="0"/>
          <w:color w:val="000000"/>
          <w:spacing w:val="-4"/>
          <w:sz w:val="32"/>
          <w:szCs w:val="32"/>
        </w:rPr>
      </w:pPr>
      <w:r>
        <w:rPr>
          <w:rStyle w:val="9"/>
          <w:rFonts w:ascii="Times New Roman" w:hAnsi="Times New Roman" w:eastAsia="仿宋_GB2312" w:cs="Times New Roman"/>
          <w:b w:val="0"/>
          <w:color w:val="000000"/>
          <w:spacing w:val="-4"/>
          <w:sz w:val="32"/>
          <w:szCs w:val="32"/>
        </w:rPr>
        <w:t>霍尔果斯市第三幼儿园负责本园幼儿的德育、教学、教研、后勤等管理事务，其主要职能：</w:t>
      </w:r>
    </w:p>
    <w:p>
      <w:pPr>
        <w:widowControl/>
        <w:spacing w:line="560" w:lineRule="exact"/>
        <w:ind w:firstLine="624" w:firstLineChars="200"/>
        <w:rPr>
          <w:rStyle w:val="9"/>
          <w:rFonts w:ascii="Times New Roman" w:hAnsi="Times New Roman" w:eastAsia="仿宋_GB2312" w:cs="Times New Roman"/>
          <w:b w:val="0"/>
          <w:color w:val="000000"/>
          <w:spacing w:val="-4"/>
          <w:sz w:val="32"/>
          <w:szCs w:val="32"/>
        </w:rPr>
      </w:pPr>
      <w:r>
        <w:rPr>
          <w:rStyle w:val="9"/>
          <w:rFonts w:ascii="Times New Roman" w:hAnsi="Times New Roman" w:eastAsia="仿宋_GB2312" w:cs="Times New Roman"/>
          <w:b w:val="0"/>
          <w:color w:val="000000"/>
          <w:spacing w:val="-4"/>
          <w:sz w:val="32"/>
          <w:szCs w:val="32"/>
        </w:rPr>
        <w:t>(1)贯彻执行党和国家的教育方针、政策和法规，配合市人民政府制定学校发展规划和年度计划，并抓好组织实施和落实工作。</w:t>
      </w:r>
    </w:p>
    <w:p>
      <w:pPr>
        <w:widowControl/>
        <w:spacing w:line="560" w:lineRule="exact"/>
        <w:ind w:firstLine="624" w:firstLineChars="200"/>
        <w:rPr>
          <w:rStyle w:val="9"/>
          <w:rFonts w:ascii="Times New Roman" w:hAnsi="Times New Roman" w:eastAsia="仿宋_GB2312" w:cs="Times New Roman"/>
          <w:b w:val="0"/>
          <w:color w:val="000000"/>
          <w:spacing w:val="-4"/>
          <w:sz w:val="32"/>
          <w:szCs w:val="32"/>
        </w:rPr>
      </w:pPr>
      <w:r>
        <w:rPr>
          <w:rStyle w:val="9"/>
          <w:rFonts w:ascii="Times New Roman" w:hAnsi="Times New Roman" w:eastAsia="仿宋_GB2312" w:cs="Times New Roman"/>
          <w:b w:val="0"/>
          <w:color w:val="000000"/>
          <w:spacing w:val="-4"/>
          <w:sz w:val="32"/>
          <w:szCs w:val="32"/>
        </w:rPr>
        <w:t>(2)贯彻、执行教育法律法规和政策规定，坚持依法治教、依法治学。巩固提高“两基”工作成果和整体水平，配合人民政府依法动员、组织适龄儿童入园，推进普及学前教育。</w:t>
      </w:r>
    </w:p>
    <w:p>
      <w:pPr>
        <w:widowControl/>
        <w:spacing w:line="560" w:lineRule="exact"/>
        <w:ind w:firstLine="624" w:firstLineChars="200"/>
        <w:rPr>
          <w:rStyle w:val="9"/>
          <w:rFonts w:ascii="Times New Roman" w:hAnsi="Times New Roman" w:eastAsia="仿宋_GB2312" w:cs="Times New Roman"/>
          <w:b w:val="0"/>
          <w:color w:val="000000"/>
          <w:spacing w:val="-4"/>
          <w:sz w:val="32"/>
          <w:szCs w:val="32"/>
        </w:rPr>
      </w:pPr>
      <w:r>
        <w:rPr>
          <w:rStyle w:val="9"/>
          <w:rFonts w:ascii="Times New Roman" w:hAnsi="Times New Roman" w:eastAsia="仿宋_GB2312" w:cs="Times New Roman"/>
          <w:b w:val="0"/>
          <w:color w:val="000000"/>
          <w:spacing w:val="-4"/>
          <w:sz w:val="32"/>
          <w:szCs w:val="32"/>
        </w:rPr>
        <w:t>(3)指导、管理、检查、评价学前教育教学工作，提高办学质量和办学效益。</w:t>
      </w:r>
    </w:p>
    <w:p>
      <w:pPr>
        <w:widowControl/>
        <w:spacing w:line="560" w:lineRule="exact"/>
        <w:ind w:firstLine="624" w:firstLineChars="200"/>
        <w:rPr>
          <w:rStyle w:val="9"/>
          <w:rFonts w:ascii="Times New Roman" w:hAnsi="Times New Roman" w:eastAsia="仿宋_GB2312" w:cs="Times New Roman"/>
          <w:b w:val="0"/>
          <w:color w:val="000000"/>
          <w:spacing w:val="-4"/>
          <w:sz w:val="32"/>
          <w:szCs w:val="32"/>
        </w:rPr>
      </w:pPr>
      <w:r>
        <w:rPr>
          <w:rStyle w:val="9"/>
          <w:rFonts w:ascii="Times New Roman" w:hAnsi="Times New Roman" w:eastAsia="仿宋_GB2312" w:cs="Times New Roman"/>
          <w:b w:val="0"/>
          <w:color w:val="000000"/>
          <w:spacing w:val="-4"/>
          <w:sz w:val="32"/>
          <w:szCs w:val="32"/>
        </w:rPr>
        <w:t>(4)负责教育教学管理及教研教改工作，全力推进素质教育实施。</w:t>
      </w:r>
    </w:p>
    <w:p>
      <w:pPr>
        <w:widowControl/>
        <w:spacing w:line="560" w:lineRule="exact"/>
        <w:ind w:firstLine="624" w:firstLineChars="200"/>
        <w:rPr>
          <w:rStyle w:val="9"/>
          <w:rFonts w:ascii="Times New Roman" w:hAnsi="Times New Roman" w:eastAsia="仿宋_GB2312" w:cs="Times New Roman"/>
          <w:b w:val="0"/>
          <w:color w:val="000000"/>
          <w:spacing w:val="-4"/>
          <w:sz w:val="32"/>
          <w:szCs w:val="32"/>
        </w:rPr>
      </w:pPr>
      <w:r>
        <w:rPr>
          <w:rStyle w:val="9"/>
          <w:rFonts w:ascii="Times New Roman" w:hAnsi="Times New Roman" w:eastAsia="仿宋_GB2312" w:cs="Times New Roman"/>
          <w:b w:val="0"/>
          <w:color w:val="000000"/>
          <w:spacing w:val="-4"/>
          <w:sz w:val="32"/>
          <w:szCs w:val="32"/>
        </w:rPr>
        <w:t>(5)负责抓好学前教育工作，逐步普及幼儿学前一年入园率，逐年提高幼儿学前三年入园率。</w:t>
      </w:r>
    </w:p>
    <w:p>
      <w:pPr>
        <w:ind w:firstLine="640" w:firstLineChars="20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(6)协助上级教育主管单位做好园长的考核任免工作，负责教师人事管理、继续教育、考核考评等工作。</w:t>
      </w:r>
    </w:p>
    <w:p>
      <w:pPr>
        <w:ind w:firstLine="640" w:firstLineChars="20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(7)负责财务管理，筹措资金，改善办学条件等工作。负责幼儿园后勤财务工作。</w:t>
      </w:r>
    </w:p>
    <w:p>
      <w:pPr>
        <w:snapToGrid w:val="0"/>
        <w:spacing w:line="560" w:lineRule="exact"/>
        <w:ind w:left="638" w:leftChars="304"/>
        <w:rPr>
          <w:rFonts w:ascii="Times New Roman" w:hAnsi="Times New Roman" w:eastAsia="仿宋_GB2312" w:cs="Times New Roman"/>
          <w:b/>
          <w:sz w:val="32"/>
          <w:szCs w:val="32"/>
        </w:rPr>
      </w:pPr>
      <w:r>
        <w:rPr>
          <w:rFonts w:ascii="Times New Roman" w:hAnsi="Times New Roman" w:eastAsia="仿宋_GB2312" w:cs="Times New Roman"/>
          <w:b/>
          <w:sz w:val="32"/>
          <w:szCs w:val="32"/>
        </w:rPr>
        <w:t>2.机构设置及人员情况</w:t>
      </w:r>
    </w:p>
    <w:p>
      <w:pPr>
        <w:spacing w:line="560" w:lineRule="exact"/>
        <w:ind w:firstLine="640" w:firstLineChars="20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霍尔果斯市第三幼儿园无下属预算单位，下设11个处室，分别是：教务办公室、教研办公室、德育办公室、团委办公室、平安建设办公室、工会办公室、党建办公室、资助办公室、民族团结办公室、总务办公室、财务办公室。</w:t>
      </w:r>
    </w:p>
    <w:p>
      <w:pPr>
        <w:spacing w:line="560" w:lineRule="exact"/>
        <w:ind w:firstLine="640" w:firstLineChars="20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霍尔果斯市第三幼儿园编制数10名，实有人员59人，其中：在职人员59人，退休0人，离休0人。截止到2024年12月31日，我部门保障实有在职人员为59人，专任教师32人、后勤岗27人、实有离休人员 0 人，实有退休人</w:t>
      </w:r>
      <w:r>
        <w:rPr>
          <w:rFonts w:hint="eastAsia" w:ascii="Times New Roman" w:hAnsi="Times New Roman" w:eastAsia="仿宋_GB2312" w:cs="Times New Roman"/>
          <w:color w:val="000000"/>
          <w:kern w:val="0"/>
          <w:sz w:val="32"/>
          <w:szCs w:val="32"/>
          <w:lang w:eastAsia="zh-CN"/>
        </w:rPr>
        <w:t>员</w:t>
      </w:r>
      <w:r>
        <w:rPr>
          <w:rFonts w:ascii="Times New Roman" w:hAnsi="Times New Roman" w:eastAsia="仿宋_GB2312" w:cs="Times New Roman"/>
          <w:color w:val="000000"/>
          <w:kern w:val="0"/>
          <w:sz w:val="32"/>
          <w:szCs w:val="32"/>
        </w:rPr>
        <w:t>0人, 同比上年增加1人、减少4 人。</w:t>
      </w:r>
    </w:p>
    <w:p>
      <w:pPr>
        <w:snapToGrid w:val="0"/>
        <w:spacing w:line="560" w:lineRule="exact"/>
        <w:ind w:left="638" w:leftChars="304"/>
        <w:outlineLvl w:val="1"/>
        <w:rPr>
          <w:rFonts w:ascii="Times New Roman" w:hAnsi="Times New Roman" w:eastAsia="楷体" w:cs="Times New Roman"/>
          <w:b/>
          <w:sz w:val="32"/>
          <w:szCs w:val="32"/>
        </w:rPr>
      </w:pPr>
      <w:r>
        <w:rPr>
          <w:rFonts w:ascii="Times New Roman" w:hAnsi="Times New Roman" w:eastAsia="楷体" w:cs="Times New Roman"/>
          <w:b/>
          <w:sz w:val="32"/>
          <w:szCs w:val="32"/>
        </w:rPr>
        <w:t>(二)部门单位年度重点工作</w:t>
      </w:r>
    </w:p>
    <w:p>
      <w:pPr>
        <w:spacing w:line="560" w:lineRule="exact"/>
        <w:ind w:firstLine="627" w:firstLineChars="200"/>
        <w:outlineLvl w:val="2"/>
        <w:rPr>
          <w:rFonts w:ascii="Times New Roman" w:hAnsi="Times New Roman" w:eastAsia="仿宋_GB2312" w:cs="Times New Roman"/>
          <w:b/>
          <w:spacing w:val="-4"/>
          <w:sz w:val="32"/>
          <w:szCs w:val="32"/>
        </w:rPr>
      </w:pPr>
      <w:r>
        <w:rPr>
          <w:rFonts w:ascii="Times New Roman" w:hAnsi="Times New Roman" w:eastAsia="仿宋_GB2312" w:cs="Times New Roman"/>
          <w:b/>
          <w:spacing w:val="-4"/>
          <w:sz w:val="32"/>
          <w:szCs w:val="32"/>
        </w:rPr>
        <w:t>1.年度总体目标</w:t>
      </w:r>
    </w:p>
    <w:p>
      <w:pPr>
        <w:spacing w:line="560" w:lineRule="exact"/>
        <w:ind w:firstLine="624" w:firstLineChars="200"/>
        <w:rPr>
          <w:rFonts w:ascii="Times New Roman" w:hAnsi="Times New Roman" w:eastAsia="仿宋_GB2312" w:cs="Times New Roman"/>
          <w:bCs/>
          <w:color w:val="000000"/>
          <w:spacing w:val="-4"/>
          <w:sz w:val="32"/>
          <w:szCs w:val="32"/>
        </w:rPr>
      </w:pPr>
      <w:r>
        <w:rPr>
          <w:rFonts w:ascii="Times New Roman" w:hAnsi="Times New Roman" w:eastAsia="仿宋_GB2312" w:cs="Times New Roman"/>
          <w:bCs/>
          <w:color w:val="000000"/>
          <w:spacing w:val="-4"/>
          <w:sz w:val="32"/>
          <w:szCs w:val="32"/>
        </w:rPr>
        <w:t>坚持以习近平新时代中国特色社会主义思想为指导，坚持以党的二十大精神为引领，深刻领悟党中央关于教育的新定位、新部署和新要求。聚焦重点任务，抓住关键环节，推动学前教育高质量发展取得新进步新成效。深入贯彻党的二十大精神，贯彻落实中央、自治区党委决策部署的各项重大工作决定和安排，扩大学前教育资源，保障学前教育发展、保障教师培训覆盖率，提升幼小衔接巩固率，强化监管，花好每一份钱，把教育经费用到最关键处，切实提高教育经费使用效益。</w:t>
      </w:r>
    </w:p>
    <w:p>
      <w:pPr>
        <w:spacing w:line="560" w:lineRule="exact"/>
        <w:ind w:firstLine="627" w:firstLineChars="200"/>
        <w:outlineLvl w:val="2"/>
        <w:rPr>
          <w:rFonts w:ascii="Times New Roman" w:hAnsi="Times New Roman" w:eastAsia="仿宋_GB2312" w:cs="Times New Roman"/>
          <w:b/>
          <w:spacing w:val="-4"/>
          <w:sz w:val="32"/>
          <w:szCs w:val="32"/>
        </w:rPr>
      </w:pPr>
      <w:r>
        <w:rPr>
          <w:rFonts w:ascii="Times New Roman" w:hAnsi="Times New Roman" w:eastAsia="仿宋_GB2312" w:cs="Times New Roman"/>
          <w:b/>
          <w:spacing w:val="-4"/>
          <w:sz w:val="32"/>
          <w:szCs w:val="32"/>
        </w:rPr>
        <w:t>2.重点工作计划</w:t>
      </w:r>
    </w:p>
    <w:p>
      <w:pPr>
        <w:spacing w:line="560" w:lineRule="exact"/>
        <w:ind w:firstLine="624" w:firstLineChars="200"/>
        <w:rPr>
          <w:rFonts w:ascii="Times New Roman" w:hAnsi="Times New Roman" w:eastAsia="仿宋_GB2312" w:cs="Times New Roman"/>
          <w:bCs/>
          <w:color w:val="000000"/>
          <w:spacing w:val="-4"/>
          <w:sz w:val="32"/>
          <w:szCs w:val="32"/>
        </w:rPr>
      </w:pPr>
      <w:r>
        <w:rPr>
          <w:rFonts w:ascii="Times New Roman" w:hAnsi="Times New Roman" w:eastAsia="仿宋_GB2312" w:cs="Times New Roman"/>
          <w:bCs/>
          <w:color w:val="000000"/>
          <w:spacing w:val="-4"/>
          <w:sz w:val="32"/>
          <w:szCs w:val="32"/>
        </w:rPr>
        <w:t>（1）人员保障支出，计划投入340.3万元完成教师工资、社会保障缴费、住房公积</w:t>
      </w:r>
      <w:r>
        <w:rPr>
          <w:rFonts w:hint="eastAsia" w:ascii="Times New Roman" w:hAnsi="Times New Roman" w:eastAsia="仿宋_GB2312" w:cs="Times New Roman"/>
          <w:bCs/>
          <w:strike w:val="0"/>
          <w:dstrike w:val="0"/>
          <w:color w:val="000000" w:themeColor="text1"/>
          <w:spacing w:val="-4"/>
          <w:sz w:val="32"/>
          <w:szCs w:val="32"/>
          <w:highlight w:val="none"/>
          <w:lang w:val="en-US" w:eastAsia="zh-CN"/>
          <w14:textFill>
            <w14:solidFill>
              <w14:schemeClr w14:val="tx1"/>
            </w14:solidFill>
          </w14:textFill>
        </w:rPr>
        <w:t>金</w:t>
      </w:r>
      <w:r>
        <w:rPr>
          <w:rFonts w:ascii="Times New Roman" w:hAnsi="Times New Roman" w:eastAsia="仿宋_GB2312" w:cs="Times New Roman"/>
          <w:bCs/>
          <w:color w:val="000000"/>
          <w:spacing w:val="-4"/>
          <w:sz w:val="32"/>
          <w:szCs w:val="32"/>
        </w:rPr>
        <w:t>，保障教师工资及待遇，提升教师归属感，为我市教育创造更大效益。</w:t>
      </w:r>
    </w:p>
    <w:p>
      <w:pPr>
        <w:spacing w:line="560" w:lineRule="exact"/>
        <w:ind w:firstLine="624" w:firstLineChars="200"/>
        <w:rPr>
          <w:rFonts w:ascii="Times New Roman" w:hAnsi="Times New Roman" w:eastAsia="仿宋_GB2312" w:cs="Times New Roman"/>
          <w:bCs/>
          <w:color w:val="000000"/>
          <w:spacing w:val="-4"/>
          <w:sz w:val="32"/>
          <w:szCs w:val="32"/>
        </w:rPr>
      </w:pPr>
      <w:r>
        <w:rPr>
          <w:rFonts w:ascii="Times New Roman" w:hAnsi="Times New Roman" w:eastAsia="仿宋_GB2312" w:cs="Times New Roman"/>
          <w:bCs/>
          <w:color w:val="000000"/>
          <w:spacing w:val="-4"/>
          <w:sz w:val="32"/>
          <w:szCs w:val="32"/>
        </w:rPr>
        <w:t>（2）对个人和家庭补助支出46.16万元</w:t>
      </w:r>
    </w:p>
    <w:p>
      <w:pPr>
        <w:spacing w:line="560" w:lineRule="exact"/>
        <w:ind w:firstLine="624" w:firstLineChars="200"/>
        <w:rPr>
          <w:rFonts w:ascii="Times New Roman" w:hAnsi="Times New Roman" w:eastAsia="仿宋_GB2312" w:cs="Times New Roman"/>
          <w:color w:val="000000"/>
          <w:kern w:val="0"/>
          <w:sz w:val="32"/>
          <w:szCs w:val="32"/>
        </w:rPr>
      </w:pPr>
      <w:r>
        <w:rPr>
          <w:rFonts w:ascii="Times New Roman" w:hAnsi="Times New Roman" w:eastAsia="仿宋_GB2312" w:cs="Times New Roman"/>
          <w:bCs/>
          <w:color w:val="000000"/>
          <w:spacing w:val="-4"/>
          <w:sz w:val="32"/>
          <w:szCs w:val="32"/>
        </w:rPr>
        <w:t>（3）运转保障支出，计划投入31.76万元，用于学校日常经费支出，确保学校正常运行运转</w:t>
      </w:r>
      <w:r>
        <w:rPr>
          <w:rFonts w:ascii="Times New Roman" w:hAnsi="Times New Roman" w:eastAsia="仿宋_GB2312" w:cs="Times New Roman"/>
          <w:color w:val="000000"/>
          <w:kern w:val="0"/>
          <w:sz w:val="32"/>
          <w:szCs w:val="32"/>
        </w:rPr>
        <w:t>。</w:t>
      </w:r>
    </w:p>
    <w:p>
      <w:pPr>
        <w:spacing w:line="560" w:lineRule="exact"/>
        <w:ind w:firstLine="624" w:firstLineChars="200"/>
        <w:rPr>
          <w:rFonts w:ascii="Times New Roman" w:hAnsi="Times New Roman" w:eastAsia="仿宋_GB2312" w:cs="Times New Roman"/>
          <w:bCs/>
          <w:color w:val="000000"/>
          <w:spacing w:val="-4"/>
          <w:sz w:val="32"/>
          <w:szCs w:val="32"/>
        </w:rPr>
      </w:pPr>
      <w:r>
        <w:rPr>
          <w:rFonts w:ascii="Times New Roman" w:hAnsi="Times New Roman" w:eastAsia="仿宋_GB2312" w:cs="Times New Roman"/>
          <w:bCs/>
          <w:color w:val="000000"/>
          <w:spacing w:val="-4"/>
          <w:sz w:val="32"/>
          <w:szCs w:val="32"/>
        </w:rPr>
        <w:t>贯彻执行党和国家的教育方针、政策和法规，配合市人民政府制定学校发展规划和年度计划，并抓好组织实施和落实工作。</w:t>
      </w:r>
    </w:p>
    <w:p>
      <w:pPr>
        <w:spacing w:line="560" w:lineRule="exact"/>
        <w:ind w:firstLine="624" w:firstLineChars="200"/>
        <w:rPr>
          <w:rFonts w:ascii="Times New Roman" w:hAnsi="Times New Roman" w:eastAsia="仿宋_GB2312" w:cs="Times New Roman"/>
          <w:bCs/>
          <w:color w:val="000000"/>
          <w:spacing w:val="-4"/>
          <w:sz w:val="32"/>
          <w:szCs w:val="32"/>
        </w:rPr>
      </w:pPr>
      <w:r>
        <w:rPr>
          <w:rFonts w:hint="eastAsia" w:ascii="Times New Roman" w:hAnsi="Times New Roman" w:eastAsia="仿宋_GB2312" w:cs="Times New Roman"/>
          <w:bCs/>
          <w:strike w:val="0"/>
          <w:dstrike w:val="0"/>
          <w:color w:val="000000" w:themeColor="text1"/>
          <w:spacing w:val="-4"/>
          <w:sz w:val="32"/>
          <w:szCs w:val="32"/>
          <w:highlight w:val="none"/>
          <w:lang w:val="en-US" w:eastAsia="zh-CN"/>
          <w14:textFill>
            <w14:solidFill>
              <w14:schemeClr w14:val="tx1"/>
            </w14:solidFill>
          </w14:textFill>
        </w:rPr>
        <w:t>学</w:t>
      </w:r>
      <w:r>
        <w:rPr>
          <w:rFonts w:ascii="Times New Roman" w:hAnsi="Times New Roman" w:eastAsia="仿宋_GB2312" w:cs="Times New Roman"/>
          <w:bCs/>
          <w:color w:val="000000"/>
          <w:spacing w:val="-4"/>
          <w:sz w:val="32"/>
          <w:szCs w:val="32"/>
        </w:rPr>
        <w:t>前教育工作，组织适龄儿童入园，逐步普及幼儿学前一年入园率，逐年提高幼儿学前三年入园率。</w:t>
      </w:r>
    </w:p>
    <w:p>
      <w:pPr>
        <w:snapToGrid w:val="0"/>
        <w:spacing w:line="560" w:lineRule="exact"/>
        <w:ind w:left="638" w:leftChars="304"/>
        <w:outlineLvl w:val="1"/>
        <w:rPr>
          <w:rFonts w:ascii="Times New Roman" w:hAnsi="Times New Roman" w:eastAsia="楷体" w:cs="Times New Roman"/>
          <w:b/>
          <w:sz w:val="32"/>
          <w:szCs w:val="32"/>
        </w:rPr>
      </w:pPr>
      <w:r>
        <w:rPr>
          <w:rFonts w:ascii="Times New Roman" w:hAnsi="Times New Roman" w:eastAsia="楷体" w:cs="Times New Roman"/>
          <w:b/>
          <w:sz w:val="32"/>
          <w:szCs w:val="32"/>
        </w:rPr>
        <w:t>(三)部门单位整体预算规模及安排情况</w:t>
      </w:r>
    </w:p>
    <w:p>
      <w:pPr>
        <w:spacing w:line="560" w:lineRule="exact"/>
        <w:ind w:firstLine="624" w:firstLineChars="200"/>
        <w:rPr>
          <w:rFonts w:ascii="Times New Roman" w:hAnsi="Times New Roman" w:eastAsia="仿宋_GB2312" w:cs="Times New Roman"/>
          <w:bCs/>
          <w:color w:val="000000"/>
          <w:spacing w:val="-4"/>
          <w:sz w:val="32"/>
          <w:szCs w:val="32"/>
        </w:rPr>
      </w:pPr>
      <w:r>
        <w:rPr>
          <w:rFonts w:ascii="Times New Roman" w:hAnsi="Times New Roman" w:eastAsia="仿宋_GB2312" w:cs="Times New Roman"/>
          <w:bCs/>
          <w:color w:val="000000"/>
          <w:spacing w:val="-4"/>
          <w:sz w:val="32"/>
          <w:szCs w:val="32"/>
        </w:rPr>
        <w:t>2024年我部门年初安排预算数为41.75万元，其中:财政拨款41.45万元,其他资金0.3万元，主要用于人员工资，奖金、对个人和家庭补助支出、社会保障缴费、办公经费等方面。</w:t>
      </w:r>
    </w:p>
    <w:p>
      <w:pPr>
        <w:spacing w:line="560" w:lineRule="exact"/>
        <w:ind w:firstLine="624" w:firstLineChars="200"/>
        <w:rPr>
          <w:rFonts w:ascii="Times New Roman" w:hAnsi="Times New Roman" w:eastAsia="仿宋_GB2312" w:cs="Times New Roman"/>
          <w:bCs/>
          <w:color w:val="000000"/>
          <w:spacing w:val="-4"/>
          <w:sz w:val="32"/>
          <w:szCs w:val="32"/>
        </w:rPr>
      </w:pPr>
      <w:r>
        <w:rPr>
          <w:rFonts w:ascii="Times New Roman" w:hAnsi="Times New Roman" w:eastAsia="仿宋_GB2312" w:cs="Times New Roman"/>
          <w:bCs/>
          <w:color w:val="000000"/>
          <w:spacing w:val="-4"/>
          <w:sz w:val="32"/>
          <w:szCs w:val="32"/>
        </w:rPr>
        <w:t>年中调整数37.99万元，调整后全年预算数456.74万元，预算调整率9.07%。调整预算的主要原因为：教职工正常晋升和工资调标。</w:t>
      </w:r>
    </w:p>
    <w:p>
      <w:pPr>
        <w:snapToGrid w:val="0"/>
        <w:spacing w:line="560" w:lineRule="exact"/>
        <w:ind w:left="1368" w:hanging="720"/>
        <w:outlineLvl w:val="0"/>
        <w:rPr>
          <w:rFonts w:ascii="Times New Roman" w:hAnsi="Times New Roman" w:eastAsia="黑体" w:cs="Times New Roman"/>
          <w:bCs/>
          <w:color w:val="333333"/>
          <w:sz w:val="32"/>
          <w:szCs w:val="32"/>
        </w:rPr>
      </w:pPr>
      <w:bookmarkStart w:id="0" w:name="_Toc22484"/>
      <w:r>
        <w:rPr>
          <w:rFonts w:ascii="Times New Roman" w:hAnsi="Times New Roman" w:eastAsia="黑体" w:cs="Times New Roman"/>
          <w:bCs/>
          <w:color w:val="333333"/>
          <w:sz w:val="32"/>
          <w:szCs w:val="32"/>
        </w:rPr>
        <w:t>二、部门单位整体支出管理及使用情况</w:t>
      </w:r>
      <w:bookmarkEnd w:id="0"/>
    </w:p>
    <w:p>
      <w:pPr>
        <w:spacing w:line="560" w:lineRule="exact"/>
        <w:ind w:firstLine="643" w:firstLineChars="200"/>
        <w:jc w:val="left"/>
        <w:outlineLvl w:val="1"/>
        <w:rPr>
          <w:rFonts w:ascii="Times New Roman" w:hAnsi="Times New Roman" w:eastAsia="楷体" w:cs="Times New Roman"/>
          <w:b/>
          <w:sz w:val="32"/>
          <w:szCs w:val="32"/>
        </w:rPr>
      </w:pPr>
      <w:bookmarkStart w:id="1" w:name="_Toc12906"/>
      <w:r>
        <w:rPr>
          <w:rFonts w:ascii="Times New Roman" w:hAnsi="Times New Roman" w:eastAsia="楷体" w:cs="Times New Roman"/>
          <w:b/>
          <w:sz w:val="32"/>
          <w:szCs w:val="32"/>
        </w:rPr>
        <w:t>（一）部门单位整体支出管理情况</w:t>
      </w:r>
      <w:bookmarkEnd w:id="1"/>
    </w:p>
    <w:p>
      <w:pPr>
        <w:spacing w:line="560" w:lineRule="exact"/>
        <w:ind w:firstLine="643" w:firstLineChars="200"/>
        <w:jc w:val="left"/>
        <w:outlineLvl w:val="2"/>
        <w:rPr>
          <w:rFonts w:ascii="Times New Roman" w:hAnsi="Times New Roman" w:eastAsia="仿宋_GB2312" w:cs="Times New Roman"/>
          <w:b/>
          <w:sz w:val="32"/>
          <w:szCs w:val="32"/>
        </w:rPr>
      </w:pPr>
      <w:bookmarkStart w:id="2" w:name="_Toc3057"/>
      <w:r>
        <w:rPr>
          <w:rFonts w:ascii="Times New Roman" w:hAnsi="Times New Roman" w:eastAsia="仿宋_GB2312" w:cs="Times New Roman"/>
          <w:b/>
          <w:sz w:val="32"/>
          <w:szCs w:val="32"/>
        </w:rPr>
        <w:t>1.预算编制</w:t>
      </w:r>
      <w:bookmarkEnd w:id="2"/>
    </w:p>
    <w:p>
      <w:pPr>
        <w:spacing w:line="560" w:lineRule="exact"/>
        <w:ind w:firstLine="624" w:firstLineChars="200"/>
        <w:rPr>
          <w:rFonts w:ascii="Times New Roman" w:hAnsi="Times New Roman" w:eastAsia="仿宋_GB2312" w:cs="Times New Roman"/>
          <w:color w:val="000000"/>
          <w:kern w:val="0"/>
          <w:sz w:val="32"/>
          <w:szCs w:val="32"/>
        </w:rPr>
      </w:pPr>
      <w:r>
        <w:rPr>
          <w:rFonts w:ascii="Times New Roman" w:hAnsi="Times New Roman" w:eastAsia="仿宋_GB2312" w:cs="Times New Roman"/>
          <w:bCs/>
          <w:color w:val="000000"/>
          <w:spacing w:val="-4"/>
          <w:sz w:val="32"/>
          <w:szCs w:val="32"/>
        </w:rPr>
        <w:t>2024年我部门坚持围绕中心工作，科学谋划预算资金安排，依据规定程序和要求，及时完成部门预算编制申报，同时合理设定入库项目绩效指标、年度目标值，科学构建部门整体支出核心绩效指标体系和编报部门整体预算申请绩效报告，推动提高财政资金配置效益。</w:t>
      </w:r>
    </w:p>
    <w:p>
      <w:pPr>
        <w:spacing w:line="560" w:lineRule="exact"/>
        <w:ind w:firstLine="643" w:firstLineChars="200"/>
        <w:jc w:val="left"/>
        <w:outlineLvl w:val="2"/>
        <w:rPr>
          <w:rFonts w:ascii="Times New Roman" w:hAnsi="Times New Roman" w:eastAsia="仿宋_GB2312" w:cs="Times New Roman"/>
          <w:b/>
          <w:sz w:val="32"/>
          <w:szCs w:val="32"/>
        </w:rPr>
      </w:pPr>
      <w:bookmarkStart w:id="3" w:name="_Toc26162"/>
      <w:r>
        <w:rPr>
          <w:rFonts w:ascii="Times New Roman" w:hAnsi="Times New Roman" w:eastAsia="仿宋_GB2312" w:cs="Times New Roman"/>
          <w:b/>
          <w:sz w:val="32"/>
          <w:szCs w:val="32"/>
        </w:rPr>
        <w:t>2.预算执行</w:t>
      </w:r>
      <w:bookmarkEnd w:id="3"/>
    </w:p>
    <w:p>
      <w:pPr>
        <w:spacing w:line="560" w:lineRule="exact"/>
        <w:ind w:firstLine="624" w:firstLineChars="200"/>
        <w:rPr>
          <w:rFonts w:ascii="Times New Roman" w:hAnsi="Times New Roman" w:eastAsia="仿宋_GB2312" w:cs="Times New Roman"/>
          <w:bCs/>
          <w:color w:val="000000"/>
          <w:spacing w:val="-4"/>
          <w:sz w:val="32"/>
          <w:szCs w:val="32"/>
        </w:rPr>
      </w:pPr>
      <w:r>
        <w:rPr>
          <w:rFonts w:ascii="Times New Roman" w:hAnsi="Times New Roman" w:eastAsia="仿宋_GB2312" w:cs="Times New Roman"/>
          <w:bCs/>
          <w:color w:val="000000"/>
          <w:spacing w:val="-4"/>
          <w:sz w:val="32"/>
          <w:szCs w:val="32"/>
        </w:rPr>
        <w:t>霍尔果斯市财政批复预算后，我单位按要求及时制定并报批部门预算支出计划，严格落实预算执行定期分析机制，靠前抓好支出执行，坚持严肃财经纪律，硬化预算约束，持续树牢厉行节约理念，严控一般性支出，努力降低事业运行成本。</w:t>
      </w:r>
    </w:p>
    <w:p>
      <w:pPr>
        <w:spacing w:line="560" w:lineRule="exact"/>
        <w:ind w:firstLine="643" w:firstLineChars="200"/>
        <w:jc w:val="left"/>
        <w:outlineLvl w:val="2"/>
        <w:rPr>
          <w:rFonts w:ascii="Times New Roman" w:hAnsi="Times New Roman" w:eastAsia="仿宋_GB2312" w:cs="Times New Roman"/>
          <w:b/>
          <w:sz w:val="32"/>
          <w:szCs w:val="32"/>
        </w:rPr>
      </w:pPr>
      <w:bookmarkStart w:id="4" w:name="_Toc31456"/>
      <w:r>
        <w:rPr>
          <w:rFonts w:ascii="Times New Roman" w:hAnsi="Times New Roman" w:eastAsia="仿宋_GB2312" w:cs="Times New Roman"/>
          <w:b/>
          <w:sz w:val="32"/>
          <w:szCs w:val="32"/>
        </w:rPr>
        <w:t>3.绩效管理</w:t>
      </w:r>
      <w:bookmarkEnd w:id="4"/>
    </w:p>
    <w:p>
      <w:pPr>
        <w:spacing w:line="560" w:lineRule="exact"/>
        <w:ind w:firstLine="624" w:firstLineChars="200"/>
        <w:rPr>
          <w:rFonts w:ascii="Times New Roman" w:hAnsi="Times New Roman" w:eastAsia="仿宋_GB2312" w:cs="Times New Roman"/>
          <w:bCs/>
          <w:color w:val="000000"/>
          <w:spacing w:val="-4"/>
          <w:sz w:val="32"/>
          <w:szCs w:val="32"/>
        </w:rPr>
      </w:pPr>
      <w:r>
        <w:rPr>
          <w:rFonts w:ascii="Times New Roman" w:hAnsi="Times New Roman" w:eastAsia="仿宋_GB2312" w:cs="Times New Roman"/>
          <w:bCs/>
          <w:color w:val="000000"/>
          <w:spacing w:val="-4"/>
          <w:sz w:val="32"/>
          <w:szCs w:val="32"/>
        </w:rPr>
        <w:t>2024年，我单位严格按照财政要求，落实预算绩效管理全过程，包括①注重绩效目标编制，预算编制环节注重编细编实预算需求，科学选择绩效指标，合理设置绩效目标值，并严格按照财政统一要求，规范编制事前绩效报告，为财政资金发挥效益夯实基础。②落实绩效“双监控”，预算执行过程中，以年度支出计划为基础，定期分析预算执行和绩效目标落实情况，并依托财政预算绩效管理平台分5月、8月对预算执行动态进行实时监控，发现问题及时纠偏，确保绩效目标落地落实。③扎实开展自评工作，年度终了，扎实开展预算绩效目标完成情况部门审核和自评工作。</w:t>
      </w:r>
    </w:p>
    <w:p>
      <w:pPr>
        <w:spacing w:line="560" w:lineRule="exact"/>
        <w:ind w:firstLine="643" w:firstLineChars="200"/>
        <w:jc w:val="left"/>
        <w:outlineLvl w:val="2"/>
        <w:rPr>
          <w:rFonts w:ascii="Times New Roman" w:hAnsi="Times New Roman" w:eastAsia="仿宋_GB2312" w:cs="Times New Roman"/>
          <w:b/>
          <w:sz w:val="32"/>
          <w:szCs w:val="32"/>
        </w:rPr>
      </w:pPr>
      <w:bookmarkStart w:id="5" w:name="_Toc2740"/>
      <w:r>
        <w:rPr>
          <w:rFonts w:ascii="Times New Roman" w:hAnsi="Times New Roman" w:eastAsia="仿宋_GB2312" w:cs="Times New Roman"/>
          <w:b/>
          <w:sz w:val="32"/>
          <w:szCs w:val="32"/>
        </w:rPr>
        <w:t>4.信息公开</w:t>
      </w:r>
      <w:bookmarkEnd w:id="5"/>
    </w:p>
    <w:p>
      <w:pPr>
        <w:spacing w:line="560" w:lineRule="exact"/>
        <w:ind w:firstLine="624" w:firstLineChars="200"/>
        <w:rPr>
          <w:rFonts w:ascii="Times New Roman" w:hAnsi="Times New Roman" w:eastAsia="仿宋_GB2312" w:cs="Times New Roman"/>
          <w:bCs/>
          <w:color w:val="000000"/>
          <w:spacing w:val="-4"/>
          <w:sz w:val="32"/>
          <w:szCs w:val="32"/>
        </w:rPr>
      </w:pPr>
      <w:r>
        <w:rPr>
          <w:rFonts w:ascii="Times New Roman" w:hAnsi="Times New Roman" w:eastAsia="仿宋_GB2312" w:cs="Times New Roman"/>
          <w:bCs/>
          <w:color w:val="000000"/>
          <w:spacing w:val="-4"/>
          <w:sz w:val="32"/>
          <w:szCs w:val="32"/>
        </w:rPr>
        <w:t>我单位已按要求在我市霍尔果斯人民政府、自治区财政厅门户网站公开部门预算信息，同步公开绩效目标表；在我市霍尔果斯人民政府、自治区财政厅门户网站公开部门决算信息，同步公开自评表及自评报告。</w:t>
      </w:r>
    </w:p>
    <w:p>
      <w:pPr>
        <w:spacing w:line="560" w:lineRule="exact"/>
        <w:ind w:firstLine="643" w:firstLineChars="200"/>
        <w:jc w:val="left"/>
        <w:outlineLvl w:val="1"/>
        <w:rPr>
          <w:rFonts w:ascii="Times New Roman" w:hAnsi="Times New Roman" w:eastAsia="楷体" w:cs="Times New Roman"/>
          <w:b/>
          <w:sz w:val="32"/>
          <w:szCs w:val="32"/>
        </w:rPr>
      </w:pPr>
      <w:bookmarkStart w:id="6" w:name="_Toc2315"/>
      <w:r>
        <w:rPr>
          <w:rFonts w:ascii="Times New Roman" w:hAnsi="Times New Roman" w:eastAsia="楷体" w:cs="Times New Roman"/>
          <w:b/>
          <w:sz w:val="32"/>
          <w:szCs w:val="32"/>
        </w:rPr>
        <w:t>（二）部门单位整体支出使用情况</w:t>
      </w:r>
      <w:bookmarkEnd w:id="6"/>
    </w:p>
    <w:p>
      <w:pPr>
        <w:spacing w:line="560" w:lineRule="exact"/>
        <w:ind w:firstLine="627" w:firstLineChars="200"/>
        <w:rPr>
          <w:rStyle w:val="9"/>
          <w:rFonts w:ascii="Times New Roman" w:hAnsi="Times New Roman" w:eastAsia="仿宋_GB2312" w:cs="Times New Roman"/>
          <w:bCs w:val="0"/>
          <w:spacing w:val="-4"/>
          <w:sz w:val="32"/>
          <w:szCs w:val="32"/>
        </w:rPr>
      </w:pPr>
      <w:r>
        <w:rPr>
          <w:rStyle w:val="9"/>
          <w:rFonts w:ascii="Times New Roman" w:hAnsi="Times New Roman" w:eastAsia="仿宋_GB2312" w:cs="Times New Roman"/>
          <w:bCs w:val="0"/>
          <w:spacing w:val="-4"/>
          <w:sz w:val="32"/>
          <w:szCs w:val="32"/>
        </w:rPr>
        <w:t>1.基本支出情况</w:t>
      </w:r>
    </w:p>
    <w:p>
      <w:pPr>
        <w:spacing w:line="560" w:lineRule="exact"/>
        <w:ind w:firstLine="640" w:firstLineChars="200"/>
        <w:jc w:val="left"/>
        <w:rPr>
          <w:rFonts w:ascii="Times New Roman" w:hAnsi="Times New Roman" w:eastAsia="仿宋_GB2312" w:cs="Times New Roman"/>
          <w:bCs/>
          <w:color w:val="000000"/>
          <w:sz w:val="32"/>
          <w:szCs w:val="32"/>
        </w:rPr>
      </w:pPr>
      <w:r>
        <w:rPr>
          <w:rFonts w:ascii="Times New Roman" w:hAnsi="Times New Roman" w:eastAsia="仿宋_GB2312" w:cs="Times New Roman"/>
          <w:bCs/>
          <w:color w:val="000000"/>
          <w:sz w:val="32"/>
          <w:szCs w:val="32"/>
        </w:rPr>
        <w:t>2024年我部门基本支出456.74万元，包括：工资福利支出352.4万元、商品和服务支出63.3万元、对个人和家庭的补助40.52万元、资本性支出0万元。其中：“三公”经费支出0万元，比上年增加0万元，主要原因是</w:t>
      </w:r>
      <w:r>
        <w:rPr>
          <w:rFonts w:hint="eastAsia" w:ascii="Times New Roman" w:hAnsi="Times New Roman" w:eastAsia="仿宋_GB2312" w:cs="Times New Roman"/>
          <w:bCs/>
          <w:color w:val="000000"/>
          <w:sz w:val="32"/>
          <w:szCs w:val="32"/>
          <w:lang w:eastAsia="zh-CN"/>
        </w:rPr>
        <w:t>无</w:t>
      </w:r>
      <w:r>
        <w:rPr>
          <w:rFonts w:ascii="Times New Roman" w:hAnsi="Times New Roman" w:eastAsia="仿宋_GB2312" w:cs="Times New Roman"/>
          <w:bCs/>
          <w:color w:val="000000"/>
          <w:sz w:val="32"/>
          <w:szCs w:val="32"/>
        </w:rPr>
        <w:t>三公经费支出；会议费支出0万元，比上年增加0万元，主要原因是无会议支出；培训费支出0万元，比上年增加0万元，主要原因是无培训支出。</w:t>
      </w:r>
    </w:p>
    <w:p>
      <w:pPr>
        <w:spacing w:line="560" w:lineRule="exact"/>
        <w:ind w:firstLine="643" w:firstLineChars="200"/>
        <w:jc w:val="left"/>
        <w:outlineLvl w:val="2"/>
        <w:rPr>
          <w:rStyle w:val="9"/>
          <w:rFonts w:ascii="Times New Roman" w:hAnsi="Times New Roman" w:eastAsia="仿宋_GB2312" w:cs="Times New Roman"/>
          <w:bCs w:val="0"/>
          <w:spacing w:val="-4"/>
          <w:sz w:val="32"/>
          <w:szCs w:val="32"/>
        </w:rPr>
      </w:pPr>
      <w:bookmarkStart w:id="7" w:name="_Toc8425"/>
      <w:r>
        <w:rPr>
          <w:rFonts w:ascii="Times New Roman" w:hAnsi="Times New Roman" w:eastAsia="仿宋_GB2312" w:cs="Times New Roman"/>
          <w:b/>
          <w:sz w:val="32"/>
          <w:szCs w:val="32"/>
        </w:rPr>
        <w:t>2.专项资金支出情况</w:t>
      </w:r>
      <w:bookmarkEnd w:id="7"/>
    </w:p>
    <w:p>
      <w:pPr>
        <w:spacing w:line="560" w:lineRule="exact"/>
        <w:ind w:firstLine="624" w:firstLineChars="200"/>
        <w:rPr>
          <w:rStyle w:val="9"/>
          <w:rFonts w:ascii="Times New Roman" w:hAnsi="Times New Roman" w:eastAsia="仿宋_GB2312" w:cs="Times New Roman"/>
          <w:b w:val="0"/>
          <w:color w:val="000000"/>
          <w:spacing w:val="-4"/>
          <w:sz w:val="32"/>
          <w:szCs w:val="32"/>
        </w:rPr>
      </w:pPr>
      <w:r>
        <w:rPr>
          <w:rStyle w:val="9"/>
          <w:rFonts w:ascii="Times New Roman" w:hAnsi="Times New Roman" w:eastAsia="仿宋_GB2312" w:cs="Times New Roman"/>
          <w:b w:val="0"/>
          <w:color w:val="000000"/>
          <w:spacing w:val="-4"/>
          <w:sz w:val="32"/>
          <w:szCs w:val="32"/>
        </w:rPr>
        <w:t>2024年专项项目支出0万元，占总支出的0％。</w:t>
      </w:r>
    </w:p>
    <w:p>
      <w:pPr>
        <w:spacing w:line="560" w:lineRule="exact"/>
        <w:ind w:firstLine="643" w:firstLineChars="200"/>
        <w:jc w:val="left"/>
        <w:outlineLvl w:val="2"/>
        <w:rPr>
          <w:rFonts w:ascii="Times New Roman" w:hAnsi="Times New Roman" w:eastAsia="仿宋_GB2312" w:cs="Times New Roman"/>
          <w:b/>
          <w:sz w:val="32"/>
          <w:szCs w:val="32"/>
        </w:rPr>
      </w:pPr>
      <w:bookmarkStart w:id="8" w:name="_Toc31045"/>
      <w:r>
        <w:rPr>
          <w:rFonts w:ascii="Times New Roman" w:hAnsi="Times New Roman" w:eastAsia="仿宋_GB2312" w:cs="Times New Roman"/>
          <w:b/>
          <w:sz w:val="32"/>
          <w:szCs w:val="32"/>
        </w:rPr>
        <w:t>3.部门单位专项组织实施情况</w:t>
      </w:r>
      <w:bookmarkEnd w:id="8"/>
    </w:p>
    <w:p>
      <w:pPr>
        <w:spacing w:line="560" w:lineRule="exact"/>
        <w:ind w:firstLine="624" w:firstLineChars="200"/>
        <w:rPr>
          <w:rStyle w:val="9"/>
          <w:rFonts w:ascii="Times New Roman" w:hAnsi="Times New Roman" w:eastAsia="仿宋_GB2312" w:cs="Times New Roman"/>
          <w:b w:val="0"/>
          <w:spacing w:val="-4"/>
          <w:sz w:val="32"/>
          <w:szCs w:val="32"/>
        </w:rPr>
      </w:pPr>
      <w:r>
        <w:rPr>
          <w:rStyle w:val="9"/>
          <w:rFonts w:ascii="Times New Roman" w:hAnsi="Times New Roman" w:eastAsia="仿宋_GB2312" w:cs="Times New Roman"/>
          <w:b w:val="0"/>
          <w:spacing w:val="-4"/>
          <w:sz w:val="32"/>
          <w:szCs w:val="32"/>
        </w:rPr>
        <w:t>年初我单位下发的专项工作计划，对项目的工作分工、任务分配、资金落实、完成时限等提出了明确、具体的要求，以确保项目保质、保量、按时完成。截至12月31日，完成专项0个，未完成专项0个。</w:t>
      </w:r>
    </w:p>
    <w:p>
      <w:pPr>
        <w:spacing w:line="560" w:lineRule="exact"/>
        <w:ind w:firstLine="624" w:firstLineChars="200"/>
        <w:rPr>
          <w:rStyle w:val="9"/>
          <w:rFonts w:ascii="Times New Roman" w:hAnsi="Times New Roman" w:eastAsia="仿宋_GB2312" w:cs="Times New Roman"/>
          <w:b w:val="0"/>
          <w:spacing w:val="-4"/>
          <w:sz w:val="32"/>
          <w:szCs w:val="32"/>
        </w:rPr>
      </w:pPr>
      <w:r>
        <w:rPr>
          <w:rStyle w:val="9"/>
          <w:rFonts w:ascii="Times New Roman" w:hAnsi="Times New Roman" w:eastAsia="仿宋_GB2312" w:cs="Times New Roman"/>
          <w:b w:val="0"/>
          <w:spacing w:val="-4"/>
          <w:sz w:val="32"/>
          <w:szCs w:val="32"/>
        </w:rPr>
        <w:t>为规范专项资金使用，提高专项资金使用效益，我单位主要采取四项措施。一是制订专项资金管理制度；二是各专项资金建立了专账；三是制定了项目实施方案；四是认真组织项目验收。切实保证专项资金都做到了专款专用。</w:t>
      </w:r>
    </w:p>
    <w:p>
      <w:pPr>
        <w:widowControl/>
        <w:spacing w:line="560" w:lineRule="exact"/>
        <w:ind w:firstLine="624" w:firstLineChars="200"/>
        <w:rPr>
          <w:rFonts w:ascii="Times New Roman" w:hAnsi="Times New Roman" w:eastAsia="仿宋_GB2312" w:cs="Times New Roman"/>
          <w:kern w:val="0"/>
          <w:sz w:val="32"/>
          <w:szCs w:val="32"/>
        </w:rPr>
      </w:pPr>
      <w:r>
        <w:rPr>
          <w:rStyle w:val="9"/>
          <w:rFonts w:ascii="Times New Roman" w:hAnsi="Times New Roman" w:eastAsia="仿宋_GB2312" w:cs="Times New Roman"/>
          <w:b w:val="0"/>
          <w:spacing w:val="-4"/>
          <w:sz w:val="32"/>
          <w:szCs w:val="32"/>
        </w:rPr>
        <w:t>（1）</w:t>
      </w:r>
      <w:r>
        <w:rPr>
          <w:rFonts w:ascii="Times New Roman" w:hAnsi="Times New Roman" w:eastAsia="仿宋_GB2312" w:cs="Times New Roman"/>
          <w:kern w:val="0"/>
          <w:sz w:val="32"/>
          <w:szCs w:val="32"/>
        </w:rPr>
        <w:t>制定了《霍尔果斯市第三幼儿园财务管理制度》专项资金管理办法，各项资金使用审批流程均按规定办理。涉及“三重一大”内容，严格按照规定提请局党组会审议决定，包括项目资金分配、重大项目确定、大额资金支付等。</w:t>
      </w:r>
    </w:p>
    <w:p>
      <w:pPr>
        <w:widowControl/>
        <w:spacing w:line="56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（2）建立专项资金专账，做到有据可依，有据可查。</w:t>
      </w:r>
    </w:p>
    <w:p>
      <w:pPr>
        <w:widowControl/>
        <w:spacing w:line="56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（3）制定了专项项目实施方案，确保项目实施完成。</w:t>
      </w:r>
    </w:p>
    <w:p>
      <w:pPr>
        <w:widowControl/>
        <w:spacing w:line="560" w:lineRule="exact"/>
        <w:ind w:firstLine="640" w:firstLineChars="200"/>
        <w:rPr>
          <w:rFonts w:ascii="Times New Roman" w:hAnsi="Times New Roman" w:eastAsia="仿宋_GB2312" w:cs="Times New Roman"/>
          <w:color w:val="FF0000"/>
          <w:kern w:val="0"/>
          <w:sz w:val="32"/>
          <w:szCs w:val="32"/>
        </w:rPr>
      </w:pPr>
      <w:r>
        <w:rPr>
          <w:rFonts w:ascii="Times New Roman" w:hAnsi="Times New Roman" w:eastAsia="仿宋_GB2312" w:cs="Times New Roman"/>
          <w:kern w:val="0"/>
          <w:sz w:val="32"/>
          <w:szCs w:val="32"/>
        </w:rPr>
        <w:t>（4）认真组织专项项目验收，确保专项资金落实到位</w:t>
      </w:r>
      <w:r>
        <w:rPr>
          <w:rStyle w:val="9"/>
          <w:rFonts w:ascii="Times New Roman" w:hAnsi="Times New Roman" w:eastAsia="仿宋_GB2312" w:cs="Times New Roman"/>
          <w:b w:val="0"/>
          <w:spacing w:val="-4"/>
          <w:sz w:val="32"/>
          <w:szCs w:val="32"/>
        </w:rPr>
        <w:t>。</w:t>
      </w:r>
    </w:p>
    <w:p>
      <w:pPr>
        <w:snapToGrid w:val="0"/>
        <w:spacing w:line="560" w:lineRule="exact"/>
        <w:ind w:left="1368" w:hanging="720"/>
        <w:outlineLvl w:val="0"/>
        <w:rPr>
          <w:rFonts w:ascii="Times New Roman" w:hAnsi="Times New Roman" w:eastAsia="黑体" w:cs="Times New Roman"/>
          <w:bCs/>
          <w:color w:val="333333"/>
          <w:sz w:val="32"/>
          <w:szCs w:val="32"/>
        </w:rPr>
      </w:pPr>
      <w:bookmarkStart w:id="9" w:name="_Toc6552"/>
      <w:r>
        <w:rPr>
          <w:rFonts w:ascii="Times New Roman" w:hAnsi="Times New Roman" w:eastAsia="黑体" w:cs="Times New Roman"/>
          <w:bCs/>
          <w:color w:val="333333"/>
          <w:sz w:val="32"/>
          <w:szCs w:val="32"/>
        </w:rPr>
        <w:t>三、部门单位整体支出绩效情况</w:t>
      </w:r>
      <w:bookmarkEnd w:id="9"/>
    </w:p>
    <w:p>
      <w:pPr>
        <w:spacing w:line="560" w:lineRule="exact"/>
        <w:ind w:firstLine="643" w:firstLineChars="200"/>
        <w:jc w:val="left"/>
        <w:outlineLvl w:val="1"/>
        <w:rPr>
          <w:rFonts w:ascii="Times New Roman" w:hAnsi="Times New Roman" w:eastAsia="楷体" w:cs="Times New Roman"/>
          <w:b/>
          <w:sz w:val="32"/>
          <w:szCs w:val="32"/>
        </w:rPr>
      </w:pPr>
      <w:bookmarkStart w:id="10" w:name="_Toc15638"/>
      <w:r>
        <w:rPr>
          <w:rFonts w:ascii="Times New Roman" w:hAnsi="Times New Roman" w:eastAsia="楷体" w:cs="Times New Roman"/>
          <w:b/>
          <w:sz w:val="32"/>
          <w:szCs w:val="32"/>
        </w:rPr>
        <w:t>（一）预算执行情况</w:t>
      </w:r>
      <w:bookmarkEnd w:id="10"/>
      <w:r>
        <w:rPr>
          <w:rFonts w:ascii="Times New Roman" w:hAnsi="Times New Roman" w:eastAsia="楷体" w:cs="Times New Roman"/>
          <w:b/>
          <w:sz w:val="32"/>
          <w:szCs w:val="32"/>
        </w:rPr>
        <w:t>分析</w:t>
      </w:r>
    </w:p>
    <w:p>
      <w:pPr>
        <w:spacing w:line="560" w:lineRule="exact"/>
        <w:ind w:firstLine="624" w:firstLineChars="200"/>
        <w:rPr>
          <w:rFonts w:ascii="Times New Roman" w:hAnsi="Times New Roman" w:eastAsia="仿宋_GB2312" w:cs="Times New Roman"/>
          <w:bCs/>
          <w:color w:val="000000"/>
          <w:spacing w:val="-4"/>
          <w:sz w:val="32"/>
          <w:szCs w:val="32"/>
        </w:rPr>
      </w:pPr>
      <w:r>
        <w:rPr>
          <w:rFonts w:ascii="Times New Roman" w:hAnsi="Times New Roman" w:eastAsia="仿宋_GB2312" w:cs="Times New Roman"/>
          <w:bCs/>
          <w:color w:val="000000"/>
          <w:spacing w:val="-4"/>
          <w:sz w:val="32"/>
          <w:szCs w:val="32"/>
        </w:rPr>
        <w:t>2024年霍尔果斯市第三幼儿园总支出456.74万元，预算执行率100%，其中205教育支出430.79万元：20</w:t>
      </w:r>
      <w:r>
        <w:rPr>
          <w:rFonts w:hint="eastAsia" w:ascii="Times New Roman" w:hAnsi="Times New Roman" w:eastAsia="仿宋_GB2312" w:cs="Times New Roman"/>
          <w:bCs/>
          <w:color w:val="000000"/>
          <w:spacing w:val="-4"/>
          <w:sz w:val="32"/>
          <w:szCs w:val="32"/>
          <w:lang w:val="en-US" w:eastAsia="zh-CN"/>
        </w:rPr>
        <w:t>8</w:t>
      </w:r>
      <w:r>
        <w:rPr>
          <w:rFonts w:ascii="Times New Roman" w:hAnsi="Times New Roman" w:eastAsia="仿宋_GB2312" w:cs="Times New Roman"/>
          <w:bCs/>
          <w:color w:val="000000"/>
          <w:spacing w:val="-4"/>
          <w:sz w:val="32"/>
          <w:szCs w:val="32"/>
        </w:rPr>
        <w:t>社会保障和就业支出25.94万元。</w:t>
      </w:r>
    </w:p>
    <w:p>
      <w:pPr>
        <w:spacing w:line="560" w:lineRule="exact"/>
        <w:ind w:firstLine="643" w:firstLineChars="200"/>
        <w:jc w:val="left"/>
        <w:outlineLvl w:val="2"/>
        <w:rPr>
          <w:rFonts w:ascii="Times New Roman" w:hAnsi="Times New Roman" w:eastAsia="仿宋_GB2312" w:cs="Times New Roman"/>
          <w:b/>
          <w:sz w:val="32"/>
          <w:szCs w:val="32"/>
        </w:rPr>
      </w:pPr>
      <w:bookmarkStart w:id="11" w:name="_Toc808"/>
      <w:r>
        <w:rPr>
          <w:rFonts w:ascii="Times New Roman" w:hAnsi="Times New Roman" w:eastAsia="仿宋_GB2312" w:cs="Times New Roman"/>
          <w:b/>
          <w:sz w:val="32"/>
          <w:szCs w:val="32"/>
        </w:rPr>
        <w:t>1.基本支出使用情况</w:t>
      </w:r>
      <w:bookmarkEnd w:id="11"/>
    </w:p>
    <w:p>
      <w:pPr>
        <w:spacing w:line="560" w:lineRule="exact"/>
        <w:ind w:firstLine="624" w:firstLineChars="200"/>
        <w:rPr>
          <w:rFonts w:ascii="Times New Roman" w:hAnsi="Times New Roman" w:eastAsia="仿宋_GB2312" w:cs="Times New Roman"/>
          <w:bCs/>
          <w:color w:val="000000"/>
          <w:spacing w:val="-4"/>
          <w:sz w:val="32"/>
          <w:szCs w:val="32"/>
          <w:highlight w:val="yellow"/>
        </w:rPr>
      </w:pPr>
      <w:r>
        <w:rPr>
          <w:rFonts w:ascii="Times New Roman" w:hAnsi="Times New Roman" w:eastAsia="仿宋_GB2312" w:cs="Times New Roman"/>
          <w:bCs/>
          <w:color w:val="000000"/>
          <w:spacing w:val="-4"/>
          <w:sz w:val="32"/>
          <w:szCs w:val="32"/>
        </w:rPr>
        <w:t>2024年，霍尔果斯市第三幼儿园基本支出456.74万元，占总支出的100％，其中：205教育支出支出430.79万元：20社会保障和就业支出25.94万元</w:t>
      </w:r>
    </w:p>
    <w:p>
      <w:pPr>
        <w:spacing w:line="560" w:lineRule="exact"/>
        <w:ind w:firstLine="643" w:firstLineChars="200"/>
        <w:jc w:val="left"/>
        <w:outlineLvl w:val="2"/>
        <w:rPr>
          <w:rFonts w:ascii="Times New Roman" w:hAnsi="Times New Roman" w:eastAsia="仿宋_GB2312" w:cs="Times New Roman"/>
          <w:b/>
          <w:sz w:val="32"/>
          <w:szCs w:val="32"/>
        </w:rPr>
      </w:pPr>
      <w:bookmarkStart w:id="12" w:name="_Toc9601"/>
      <w:r>
        <w:rPr>
          <w:rFonts w:ascii="Times New Roman" w:hAnsi="Times New Roman" w:eastAsia="仿宋_GB2312" w:cs="Times New Roman"/>
          <w:b/>
          <w:sz w:val="32"/>
          <w:szCs w:val="32"/>
        </w:rPr>
        <w:t>2.项目支出使用情况</w:t>
      </w:r>
      <w:bookmarkEnd w:id="12"/>
    </w:p>
    <w:p>
      <w:pPr>
        <w:spacing w:line="560" w:lineRule="exact"/>
        <w:ind w:firstLine="624" w:firstLineChars="200"/>
        <w:rPr>
          <w:rStyle w:val="9"/>
          <w:rFonts w:ascii="Times New Roman" w:hAnsi="Times New Roman" w:eastAsia="仿宋_GB2312" w:cs="Times New Roman"/>
          <w:b w:val="0"/>
          <w:color w:val="000000"/>
          <w:spacing w:val="-4"/>
          <w:sz w:val="32"/>
          <w:szCs w:val="32"/>
          <w:highlight w:val="yellow"/>
        </w:rPr>
      </w:pPr>
      <w:r>
        <w:rPr>
          <w:rFonts w:ascii="Times New Roman" w:hAnsi="Times New Roman" w:eastAsia="仿宋_GB2312" w:cs="Times New Roman"/>
          <w:bCs/>
          <w:color w:val="000000"/>
          <w:spacing w:val="-4"/>
          <w:sz w:val="32"/>
          <w:szCs w:val="32"/>
        </w:rPr>
        <w:t>2024年，霍尔果斯市第三幼儿园项目支出0万元，占总支出的0％。</w:t>
      </w:r>
    </w:p>
    <w:p>
      <w:pPr>
        <w:spacing w:line="560" w:lineRule="exact"/>
        <w:ind w:firstLine="643" w:firstLineChars="200"/>
        <w:jc w:val="left"/>
        <w:outlineLvl w:val="1"/>
        <w:rPr>
          <w:rFonts w:ascii="Times New Roman" w:hAnsi="Times New Roman" w:eastAsia="楷体" w:cs="Times New Roman"/>
          <w:b/>
          <w:sz w:val="32"/>
          <w:szCs w:val="32"/>
        </w:rPr>
      </w:pPr>
      <w:bookmarkStart w:id="13" w:name="_Toc3647"/>
      <w:r>
        <w:rPr>
          <w:rFonts w:ascii="Times New Roman" w:hAnsi="Times New Roman" w:eastAsia="楷体" w:cs="Times New Roman"/>
          <w:b/>
          <w:sz w:val="32"/>
          <w:szCs w:val="32"/>
        </w:rPr>
        <w:t>（二）部门单位整体支出绩效指标完成情况分析</w:t>
      </w:r>
      <w:bookmarkEnd w:id="13"/>
    </w:p>
    <w:p>
      <w:pPr>
        <w:spacing w:line="560" w:lineRule="exact"/>
        <w:ind w:firstLine="624" w:firstLineChars="200"/>
        <w:rPr>
          <w:rStyle w:val="9"/>
          <w:rFonts w:ascii="Times New Roman" w:hAnsi="Times New Roman" w:eastAsia="仿宋_GB2312" w:cs="Times New Roman"/>
          <w:b w:val="0"/>
          <w:spacing w:val="-4"/>
          <w:sz w:val="32"/>
          <w:szCs w:val="32"/>
        </w:rPr>
      </w:pPr>
      <w:r>
        <w:rPr>
          <w:rStyle w:val="9"/>
          <w:rFonts w:ascii="Times New Roman" w:hAnsi="Times New Roman" w:eastAsia="仿宋_GB2312" w:cs="Times New Roman"/>
          <w:b w:val="0"/>
          <w:spacing w:val="-4"/>
          <w:sz w:val="32"/>
          <w:szCs w:val="32"/>
        </w:rPr>
        <w:t>我部门整体绩效目标共设置一级指标1个，二级指标2个，三级指标6个，详细说明如下：</w:t>
      </w:r>
    </w:p>
    <w:p>
      <w:pPr>
        <w:snapToGrid w:val="0"/>
        <w:spacing w:line="560" w:lineRule="exact"/>
        <w:ind w:left="1368" w:hanging="720"/>
        <w:rPr>
          <w:rStyle w:val="9"/>
          <w:rFonts w:ascii="Times New Roman" w:hAnsi="Times New Roman" w:eastAsia="楷体" w:cs="Times New Roman"/>
          <w:bCs w:val="0"/>
          <w:spacing w:val="-4"/>
          <w:sz w:val="32"/>
          <w:szCs w:val="32"/>
        </w:rPr>
      </w:pPr>
      <w:r>
        <w:rPr>
          <w:rFonts w:ascii="Times New Roman" w:hAnsi="Times New Roman" w:eastAsia="楷体" w:cs="Times New Roman"/>
          <w:b/>
          <w:sz w:val="32"/>
          <w:szCs w:val="32"/>
        </w:rPr>
        <w:t>1.履职效能</w:t>
      </w:r>
      <w:r>
        <w:rPr>
          <w:rStyle w:val="9"/>
          <w:rFonts w:ascii="Times New Roman" w:hAnsi="Times New Roman" w:eastAsia="楷体" w:cs="Times New Roman"/>
          <w:bCs w:val="0"/>
          <w:spacing w:val="-4"/>
          <w:sz w:val="32"/>
          <w:szCs w:val="32"/>
        </w:rPr>
        <w:tab/>
      </w:r>
    </w:p>
    <w:p>
      <w:pPr>
        <w:pStyle w:val="13"/>
        <w:snapToGrid w:val="0"/>
        <w:spacing w:line="540" w:lineRule="exact"/>
        <w:ind w:left="640" w:firstLine="0" w:firstLineChars="0"/>
        <w:rPr>
          <w:rStyle w:val="9"/>
          <w:rFonts w:ascii="Times New Roman" w:hAnsi="Times New Roman" w:eastAsia="仿宋_GB2312" w:cs="Times New Roman"/>
          <w:spacing w:val="-4"/>
          <w:sz w:val="32"/>
          <w:szCs w:val="32"/>
        </w:rPr>
      </w:pPr>
      <w:r>
        <w:rPr>
          <w:rStyle w:val="9"/>
          <w:rFonts w:ascii="Times New Roman" w:hAnsi="Times New Roman" w:eastAsia="仿宋_GB2312" w:cs="Times New Roman"/>
          <w:spacing w:val="-4"/>
          <w:sz w:val="32"/>
          <w:szCs w:val="32"/>
        </w:rPr>
        <w:t>（1）数量指标：</w:t>
      </w:r>
    </w:p>
    <w:p>
      <w:pPr>
        <w:pStyle w:val="13"/>
        <w:snapToGrid w:val="0"/>
        <w:spacing w:line="540" w:lineRule="exact"/>
        <w:ind w:firstLine="624"/>
        <w:rPr>
          <w:rStyle w:val="9"/>
          <w:rFonts w:ascii="Times New Roman" w:hAnsi="Times New Roman" w:eastAsia="仿宋_GB2312" w:cs="Times New Roman"/>
          <w:b w:val="0"/>
          <w:spacing w:val="-4"/>
          <w:sz w:val="32"/>
          <w:szCs w:val="32"/>
        </w:rPr>
      </w:pPr>
      <w:r>
        <w:rPr>
          <w:rStyle w:val="9"/>
          <w:rFonts w:ascii="Times New Roman" w:hAnsi="Times New Roman" w:eastAsia="仿宋_GB2312" w:cs="Times New Roman"/>
          <w:b w:val="0"/>
          <w:spacing w:val="-4"/>
          <w:sz w:val="32"/>
          <w:szCs w:val="32"/>
        </w:rPr>
        <w:t>指标1：法制宣传教育次数 ，指标值：4次，年中监控完成值：2次；自评完成值：4次，指标完成率100%，偏差0%偏差原因及改进措施：无，指标成效分析：通过完成法治宣传教育结合教育教学工作，有效提高教师及幼儿的法律知识知晓率，达到师生早期培养法律意识。</w:t>
      </w:r>
    </w:p>
    <w:p>
      <w:pPr>
        <w:pStyle w:val="13"/>
        <w:snapToGrid w:val="0"/>
        <w:spacing w:line="540" w:lineRule="exact"/>
        <w:ind w:firstLine="624"/>
        <w:rPr>
          <w:rStyle w:val="9"/>
          <w:rFonts w:ascii="Times New Roman" w:hAnsi="Times New Roman" w:eastAsia="仿宋_GB2312" w:cs="Times New Roman"/>
          <w:b w:val="0"/>
          <w:spacing w:val="-4"/>
          <w:sz w:val="32"/>
          <w:szCs w:val="32"/>
        </w:rPr>
      </w:pPr>
      <w:r>
        <w:rPr>
          <w:rStyle w:val="9"/>
          <w:rFonts w:ascii="Times New Roman" w:hAnsi="Times New Roman" w:eastAsia="仿宋_GB2312" w:cs="Times New Roman"/>
          <w:b w:val="0"/>
          <w:spacing w:val="-4"/>
          <w:sz w:val="32"/>
          <w:szCs w:val="32"/>
        </w:rPr>
        <w:t>指标2：教研活动开展次数，指标值：4次，年中监控完成值：2次；自评完成值：4次，指标完成率100%，偏差0%偏差原因及改进措施：无，指标成效分析：通过完成教研活动，每周三开展全员教师园本培训，并且以年级组为单位开展小组教研，有效确保教师在教研中得到很好的提升，达到教师提高业务能力。</w:t>
      </w:r>
    </w:p>
    <w:p>
      <w:pPr>
        <w:pStyle w:val="13"/>
        <w:snapToGrid w:val="0"/>
        <w:spacing w:line="540" w:lineRule="exact"/>
        <w:ind w:firstLine="624"/>
        <w:rPr>
          <w:rStyle w:val="9"/>
          <w:rFonts w:ascii="Times New Roman" w:hAnsi="Times New Roman" w:eastAsia="仿宋_GB2312" w:cs="Times New Roman"/>
          <w:b w:val="0"/>
          <w:spacing w:val="-4"/>
          <w:sz w:val="32"/>
          <w:szCs w:val="32"/>
        </w:rPr>
      </w:pPr>
      <w:r>
        <w:rPr>
          <w:rStyle w:val="9"/>
          <w:rFonts w:ascii="Times New Roman" w:hAnsi="Times New Roman" w:eastAsia="仿宋_GB2312" w:cs="Times New Roman"/>
          <w:b w:val="0"/>
          <w:spacing w:val="-4"/>
          <w:sz w:val="32"/>
          <w:szCs w:val="32"/>
        </w:rPr>
        <w:t>指标3：教师普通话达标率，指标值：95%，年中监控完成值：95%；自评完成值：95%，指标完成率100%，偏差0%偏差原因及改进措施：无，指标成效分析：通过完成全园专任教师普通话达标率100%，有效规范教师语言，提高教师普通话水平。</w:t>
      </w:r>
    </w:p>
    <w:p>
      <w:pPr>
        <w:pStyle w:val="13"/>
        <w:snapToGrid w:val="0"/>
        <w:spacing w:line="540" w:lineRule="exact"/>
        <w:ind w:firstLine="624"/>
        <w:rPr>
          <w:rStyle w:val="9"/>
          <w:rFonts w:ascii="Times New Roman" w:hAnsi="Times New Roman" w:eastAsia="仿宋_GB2312" w:cs="Times New Roman"/>
          <w:b w:val="0"/>
          <w:spacing w:val="-4"/>
          <w:sz w:val="32"/>
          <w:szCs w:val="32"/>
        </w:rPr>
      </w:pPr>
      <w:r>
        <w:rPr>
          <w:rStyle w:val="9"/>
          <w:rFonts w:ascii="Times New Roman" w:hAnsi="Times New Roman" w:eastAsia="仿宋_GB2312" w:cs="Times New Roman"/>
          <w:b w:val="0"/>
          <w:spacing w:val="-4"/>
          <w:sz w:val="32"/>
          <w:szCs w:val="32"/>
        </w:rPr>
        <w:t>指标4：联盟捆绑开展次数，指标值：2次，年中监控完成值：1次；自评完成值：2次，指标完成率100%，偏差0%偏差原因及改进措施：无，指标成效分析：通过完成包联伊车中心幼儿园开展各项工作，有效促进两园之间的交流。</w:t>
      </w:r>
    </w:p>
    <w:p>
      <w:pPr>
        <w:pStyle w:val="13"/>
        <w:spacing w:line="540" w:lineRule="exact"/>
        <w:ind w:firstLine="624"/>
        <w:rPr>
          <w:rStyle w:val="9"/>
          <w:rFonts w:ascii="Times New Roman" w:hAnsi="Times New Roman" w:eastAsia="仿宋_GB2312" w:cs="Times New Roman"/>
          <w:b w:val="0"/>
          <w:spacing w:val="-4"/>
          <w:sz w:val="32"/>
          <w:szCs w:val="32"/>
        </w:rPr>
      </w:pPr>
      <w:r>
        <w:rPr>
          <w:rStyle w:val="9"/>
          <w:rFonts w:ascii="Times New Roman" w:hAnsi="Times New Roman" w:eastAsia="仿宋_GB2312" w:cs="Times New Roman"/>
          <w:b w:val="0"/>
          <w:spacing w:val="-4"/>
          <w:sz w:val="32"/>
          <w:szCs w:val="32"/>
        </w:rPr>
        <w:t>2.质量指标：</w:t>
      </w:r>
    </w:p>
    <w:p>
      <w:pPr>
        <w:pStyle w:val="13"/>
        <w:snapToGrid w:val="0"/>
        <w:spacing w:line="540" w:lineRule="exact"/>
        <w:ind w:firstLine="624"/>
        <w:rPr>
          <w:rStyle w:val="9"/>
          <w:rFonts w:ascii="Times New Roman" w:hAnsi="Times New Roman" w:eastAsia="仿宋_GB2312" w:cs="Times New Roman"/>
          <w:b w:val="0"/>
          <w:spacing w:val="-4"/>
          <w:sz w:val="32"/>
          <w:szCs w:val="32"/>
        </w:rPr>
      </w:pPr>
      <w:r>
        <w:rPr>
          <w:rStyle w:val="9"/>
          <w:rFonts w:ascii="Times New Roman" w:hAnsi="Times New Roman" w:eastAsia="仿宋_GB2312" w:cs="Times New Roman"/>
          <w:b w:val="0"/>
          <w:spacing w:val="-4"/>
          <w:sz w:val="32"/>
          <w:szCs w:val="32"/>
        </w:rPr>
        <w:t>指标1：幼小衔接巩固率，指标值：95%，年中监控完成值：95%；自评完成值：95%，指标完成率100%，偏差0%偏差原因及改进措施：无，指标成效分析：通过完成幼小衔接巩固率工作，有效从小班开始奠基自理能力，做到生活准备、学习准备从小班开始着手。</w:t>
      </w:r>
    </w:p>
    <w:p>
      <w:pPr>
        <w:pStyle w:val="13"/>
        <w:snapToGrid w:val="0"/>
        <w:spacing w:line="540" w:lineRule="exact"/>
        <w:ind w:firstLine="624"/>
        <w:rPr>
          <w:rStyle w:val="9"/>
          <w:rFonts w:ascii="Times New Roman" w:hAnsi="Times New Roman" w:eastAsia="仿宋_GB2312" w:cs="Times New Roman"/>
          <w:b w:val="0"/>
          <w:spacing w:val="-4"/>
          <w:sz w:val="32"/>
          <w:szCs w:val="32"/>
        </w:rPr>
      </w:pPr>
      <w:r>
        <w:rPr>
          <w:rStyle w:val="9"/>
          <w:rFonts w:ascii="Times New Roman" w:hAnsi="Times New Roman" w:eastAsia="仿宋_GB2312" w:cs="Times New Roman"/>
          <w:b w:val="0"/>
          <w:spacing w:val="-4"/>
          <w:sz w:val="32"/>
          <w:szCs w:val="32"/>
        </w:rPr>
        <w:t>指标2：教师培训覆盖率，指标值：95%，年中监控完成值：95%；自评完成值：95%，指标完成率100%，偏差0%偏差原因及改进措施：无，指标成效分析：通过完成教师培训工作，有效提高教职工业务能力。</w:t>
      </w:r>
    </w:p>
    <w:p>
      <w:pPr>
        <w:pStyle w:val="13"/>
        <w:snapToGrid w:val="0"/>
        <w:spacing w:line="540" w:lineRule="exact"/>
        <w:ind w:left="640" w:firstLine="0" w:firstLineChars="0"/>
        <w:rPr>
          <w:rStyle w:val="9"/>
          <w:rFonts w:ascii="Times New Roman" w:hAnsi="Times New Roman" w:eastAsia="黑体" w:cs="Times New Roman"/>
          <w:bCs w:val="0"/>
          <w:spacing w:val="-4"/>
          <w:sz w:val="32"/>
          <w:szCs w:val="32"/>
        </w:rPr>
      </w:pPr>
      <w:r>
        <w:rPr>
          <w:rStyle w:val="9"/>
          <w:rFonts w:ascii="Times New Roman" w:hAnsi="Times New Roman" w:eastAsia="黑体" w:cs="Times New Roman"/>
          <w:bCs w:val="0"/>
          <w:spacing w:val="-4"/>
          <w:sz w:val="32"/>
          <w:szCs w:val="32"/>
        </w:rPr>
        <w:t>四、评价结论</w:t>
      </w:r>
    </w:p>
    <w:p>
      <w:pPr>
        <w:spacing w:line="540" w:lineRule="exact"/>
        <w:ind w:firstLine="564" w:firstLineChars="181"/>
        <w:rPr>
          <w:rStyle w:val="9"/>
          <w:rFonts w:ascii="Times New Roman" w:hAnsi="Times New Roman" w:eastAsia="仿宋_GB2312" w:cs="Times New Roman"/>
          <w:b w:val="0"/>
          <w:spacing w:val="-4"/>
          <w:sz w:val="32"/>
          <w:szCs w:val="32"/>
        </w:rPr>
      </w:pPr>
      <w:r>
        <w:rPr>
          <w:rStyle w:val="9"/>
          <w:rFonts w:ascii="Times New Roman" w:hAnsi="Times New Roman" w:eastAsia="仿宋_GB2312" w:cs="Times New Roman"/>
          <w:b w:val="0"/>
          <w:spacing w:val="-4"/>
          <w:sz w:val="32"/>
          <w:szCs w:val="32"/>
        </w:rPr>
        <w:t>2024年度部门整体支出绩效自评综合得分100分，评价结果为“优”。</w:t>
      </w:r>
    </w:p>
    <w:p>
      <w:pPr>
        <w:snapToGrid w:val="0"/>
        <w:spacing w:line="560" w:lineRule="exact"/>
        <w:ind w:left="1368" w:hanging="720"/>
        <w:outlineLvl w:val="0"/>
        <w:rPr>
          <w:rStyle w:val="9"/>
          <w:rFonts w:ascii="Times New Roman" w:hAnsi="Times New Roman" w:eastAsia="黑体" w:cs="Times New Roman"/>
          <w:bCs w:val="0"/>
          <w:spacing w:val="-4"/>
          <w:kern w:val="2"/>
          <w:sz w:val="32"/>
          <w:szCs w:val="32"/>
          <w:lang w:val="en-US" w:eastAsia="zh-CN" w:bidi="ar-SA"/>
        </w:rPr>
      </w:pPr>
      <w:bookmarkStart w:id="14" w:name="_Toc12815"/>
      <w:r>
        <w:rPr>
          <w:rStyle w:val="9"/>
          <w:rFonts w:ascii="Times New Roman" w:hAnsi="Times New Roman" w:eastAsia="黑体" w:cs="Times New Roman"/>
          <w:bCs w:val="0"/>
          <w:spacing w:val="-4"/>
          <w:kern w:val="2"/>
          <w:sz w:val="32"/>
          <w:szCs w:val="32"/>
          <w:lang w:val="en-US" w:eastAsia="zh-CN" w:bidi="ar-SA"/>
        </w:rPr>
        <w:t>五、存在的主要问题</w:t>
      </w:r>
      <w:bookmarkEnd w:id="14"/>
    </w:p>
    <w:p>
      <w:pPr>
        <w:widowControl/>
        <w:spacing w:line="560" w:lineRule="exact"/>
        <w:ind w:firstLine="643" w:firstLineChars="200"/>
        <w:jc w:val="left"/>
        <w:outlineLvl w:val="1"/>
        <w:rPr>
          <w:rFonts w:ascii="Times New Roman" w:hAnsi="Times New Roman" w:eastAsia="楷体" w:cs="Times New Roman"/>
          <w:b/>
          <w:sz w:val="32"/>
          <w:szCs w:val="32"/>
        </w:rPr>
      </w:pPr>
      <w:bookmarkStart w:id="15" w:name="_Toc9758"/>
      <w:r>
        <w:rPr>
          <w:rFonts w:ascii="Times New Roman" w:hAnsi="Times New Roman" w:eastAsia="楷体" w:cs="Times New Roman"/>
          <w:b/>
          <w:sz w:val="32"/>
          <w:szCs w:val="32"/>
        </w:rPr>
        <w:t>（一）</w:t>
      </w:r>
      <w:bookmarkEnd w:id="15"/>
      <w:bookmarkStart w:id="16" w:name="_Toc2729"/>
      <w:r>
        <w:rPr>
          <w:rFonts w:ascii="Times New Roman" w:hAnsi="Times New Roman" w:eastAsia="楷体" w:cs="Times New Roman"/>
          <w:b/>
          <w:sz w:val="32"/>
          <w:szCs w:val="32"/>
        </w:rPr>
        <w:t>固定资产账务管理不够细致、严谨</w:t>
      </w:r>
      <w:bookmarkEnd w:id="16"/>
    </w:p>
    <w:p>
      <w:pPr>
        <w:snapToGrid w:val="0"/>
        <w:spacing w:line="560" w:lineRule="exact"/>
        <w:ind w:firstLine="640" w:firstLineChars="200"/>
        <w:rPr>
          <w:rFonts w:ascii="Times New Roman" w:hAnsi="Times New Roman" w:eastAsia="仿宋_GB2312" w:cs="Times New Roman"/>
          <w:bCs/>
          <w:color w:val="FF0000"/>
          <w:sz w:val="32"/>
          <w:szCs w:val="32"/>
        </w:rPr>
      </w:pPr>
      <w:r>
        <w:rPr>
          <w:rFonts w:ascii="Times New Roman" w:hAnsi="Times New Roman" w:eastAsia="仿宋_GB2312" w:cs="Times New Roman"/>
          <w:bCs/>
          <w:sz w:val="32"/>
          <w:szCs w:val="32"/>
        </w:rPr>
        <w:t>抽查发现，各单位固定资产账务管理普遍存在入账不及时、漏入、入账信息、金额不准确或资产台账未登记到具体使用人等问题。</w:t>
      </w:r>
    </w:p>
    <w:p>
      <w:pPr>
        <w:widowControl/>
        <w:spacing w:line="560" w:lineRule="exact"/>
        <w:ind w:firstLine="643" w:firstLineChars="200"/>
        <w:jc w:val="left"/>
        <w:outlineLvl w:val="1"/>
        <w:rPr>
          <w:rFonts w:ascii="Times New Roman" w:hAnsi="Times New Roman" w:eastAsia="楷体" w:cs="Times New Roman"/>
          <w:b/>
          <w:sz w:val="32"/>
          <w:szCs w:val="32"/>
        </w:rPr>
      </w:pPr>
      <w:bookmarkStart w:id="17" w:name="_Toc14737"/>
      <w:r>
        <w:rPr>
          <w:rFonts w:ascii="Times New Roman" w:hAnsi="Times New Roman" w:eastAsia="楷体" w:cs="Times New Roman"/>
          <w:b/>
          <w:sz w:val="32"/>
          <w:szCs w:val="32"/>
        </w:rPr>
        <w:t>（</w:t>
      </w:r>
      <w:r>
        <w:rPr>
          <w:rFonts w:hint="eastAsia" w:ascii="Times New Roman" w:hAnsi="Times New Roman" w:eastAsia="楷体" w:cs="Times New Roman"/>
          <w:b/>
          <w:sz w:val="32"/>
          <w:szCs w:val="32"/>
          <w:lang w:eastAsia="zh-CN"/>
        </w:rPr>
        <w:t>二</w:t>
      </w:r>
      <w:r>
        <w:rPr>
          <w:rFonts w:ascii="Times New Roman" w:hAnsi="Times New Roman" w:eastAsia="楷体" w:cs="Times New Roman"/>
          <w:b/>
          <w:sz w:val="32"/>
          <w:szCs w:val="32"/>
        </w:rPr>
        <w:t>）项目监督工作存在薄弱环节</w:t>
      </w:r>
      <w:bookmarkEnd w:id="17"/>
    </w:p>
    <w:p>
      <w:pPr>
        <w:widowControl/>
        <w:spacing w:line="560" w:lineRule="exact"/>
        <w:ind w:firstLine="640" w:firstLineChars="200"/>
        <w:jc w:val="left"/>
        <w:rPr>
          <w:rFonts w:ascii="Times New Roman" w:hAnsi="Times New Roman" w:eastAsia="黑体" w:cs="Times New Roman"/>
          <w:bCs/>
          <w:sz w:val="32"/>
          <w:szCs w:val="32"/>
        </w:rPr>
      </w:pPr>
      <w:r>
        <w:rPr>
          <w:rFonts w:ascii="Times New Roman" w:hAnsi="Times New Roman" w:eastAsia="仿宋_GB2312" w:cs="Times New Roman"/>
          <w:bCs/>
          <w:sz w:val="32"/>
          <w:szCs w:val="32"/>
        </w:rPr>
        <w:t>项目实施过程中的上报、跟踪、反馈机制尚未真正形成，对项目资金的使用、实施等监管措施仍然存在改进的空间。</w:t>
      </w:r>
    </w:p>
    <w:p>
      <w:pPr>
        <w:snapToGrid w:val="0"/>
        <w:spacing w:line="560" w:lineRule="exact"/>
        <w:ind w:left="1368" w:hanging="720"/>
        <w:outlineLvl w:val="0"/>
        <w:rPr>
          <w:rFonts w:ascii="Times New Roman" w:hAnsi="Times New Roman" w:eastAsia="黑体" w:cs="Times New Roman"/>
          <w:bCs/>
          <w:color w:val="333333"/>
          <w:sz w:val="32"/>
          <w:szCs w:val="32"/>
        </w:rPr>
      </w:pPr>
      <w:bookmarkStart w:id="18" w:name="_Toc31536"/>
      <w:r>
        <w:rPr>
          <w:rFonts w:ascii="Times New Roman" w:hAnsi="Times New Roman" w:eastAsia="黑体" w:cs="Times New Roman"/>
          <w:bCs/>
          <w:color w:val="333333"/>
          <w:sz w:val="32"/>
          <w:szCs w:val="32"/>
        </w:rPr>
        <w:t>六、改进措施和建议</w:t>
      </w:r>
      <w:bookmarkEnd w:id="18"/>
    </w:p>
    <w:p>
      <w:pPr>
        <w:widowControl/>
        <w:spacing w:line="560" w:lineRule="exact"/>
        <w:ind w:firstLine="643" w:firstLineChars="200"/>
        <w:jc w:val="left"/>
        <w:outlineLvl w:val="1"/>
        <w:rPr>
          <w:rFonts w:ascii="Times New Roman" w:hAnsi="Times New Roman" w:eastAsia="楷体" w:cs="Times New Roman"/>
          <w:b/>
          <w:sz w:val="32"/>
          <w:szCs w:val="32"/>
        </w:rPr>
      </w:pPr>
      <w:bookmarkStart w:id="19" w:name="_Toc24446"/>
      <w:r>
        <w:rPr>
          <w:rFonts w:ascii="Times New Roman" w:hAnsi="Times New Roman" w:eastAsia="楷体" w:cs="Times New Roman"/>
          <w:b/>
          <w:sz w:val="32"/>
          <w:szCs w:val="32"/>
        </w:rPr>
        <w:t>（一）</w:t>
      </w:r>
      <w:bookmarkEnd w:id="19"/>
      <w:bookmarkStart w:id="20" w:name="_Toc14981"/>
      <w:r>
        <w:rPr>
          <w:rFonts w:ascii="Times New Roman" w:hAnsi="Times New Roman" w:eastAsia="楷体" w:cs="Times New Roman"/>
          <w:b/>
          <w:sz w:val="32"/>
          <w:szCs w:val="32"/>
        </w:rPr>
        <w:t>加强固定资产账务管理，确保账实相符</w:t>
      </w:r>
      <w:bookmarkEnd w:id="20"/>
    </w:p>
    <w:p>
      <w:pPr>
        <w:widowControl/>
        <w:spacing w:line="560" w:lineRule="exact"/>
        <w:ind w:firstLine="640" w:firstLineChars="200"/>
        <w:jc w:val="left"/>
        <w:rPr>
          <w:rFonts w:ascii="Times New Roman" w:hAnsi="Times New Roman" w:eastAsia="仿宋_GB2312" w:cs="Times New Roman"/>
          <w:bCs/>
          <w:sz w:val="32"/>
          <w:szCs w:val="32"/>
        </w:rPr>
      </w:pPr>
      <w:r>
        <w:rPr>
          <w:rFonts w:ascii="Times New Roman" w:hAnsi="Times New Roman" w:eastAsia="仿宋_GB2312" w:cs="Times New Roman"/>
          <w:bCs/>
          <w:sz w:val="32"/>
          <w:szCs w:val="32"/>
        </w:rPr>
        <w:t>针对抽查发现的问题，查找根源并改进，建议：一是加强年度政府采购台账和固定资产台账信息的比对，避免资产漏入、少入或录入不及时，二是资产领用应尽可能明确到具体使用人。三是资产入账时相关人员应再次确认发票、合同信息，避免基础信息录入错误</w:t>
      </w:r>
    </w:p>
    <w:p>
      <w:pPr>
        <w:widowControl/>
        <w:spacing w:line="560" w:lineRule="exact"/>
        <w:ind w:firstLine="643" w:firstLineChars="200"/>
        <w:outlineLvl w:val="1"/>
        <w:rPr>
          <w:rFonts w:ascii="Times New Roman" w:hAnsi="Times New Roman" w:eastAsia="楷体" w:cs="Times New Roman"/>
          <w:b/>
          <w:sz w:val="32"/>
          <w:szCs w:val="32"/>
        </w:rPr>
      </w:pPr>
      <w:bookmarkStart w:id="21" w:name="_Toc18250"/>
      <w:r>
        <w:rPr>
          <w:rFonts w:ascii="Times New Roman" w:hAnsi="Times New Roman" w:eastAsia="楷体" w:cs="Times New Roman"/>
          <w:b/>
          <w:sz w:val="32"/>
          <w:szCs w:val="32"/>
        </w:rPr>
        <w:t>（二）建立动态分析管理机制，提高项目监管主动性</w:t>
      </w:r>
      <w:bookmarkEnd w:id="21"/>
    </w:p>
    <w:p>
      <w:pPr>
        <w:widowControl/>
        <w:spacing w:line="560" w:lineRule="exact"/>
        <w:ind w:firstLine="640" w:firstLineChars="200"/>
        <w:rPr>
          <w:rStyle w:val="9"/>
          <w:rFonts w:ascii="Times New Roman" w:hAnsi="Times New Roman" w:eastAsia="仿宋_GB2312" w:cs="Times New Roman"/>
          <w:b w:val="0"/>
          <w:sz w:val="32"/>
          <w:szCs w:val="32"/>
        </w:rPr>
      </w:pPr>
      <w:r>
        <w:rPr>
          <w:rFonts w:ascii="Times New Roman" w:hAnsi="Times New Roman" w:eastAsia="仿宋_GB2312" w:cs="Times New Roman"/>
          <w:bCs/>
          <w:sz w:val="32"/>
          <w:szCs w:val="32"/>
        </w:rPr>
        <w:t>业务部门进行指导、监督和检查时进一步加强主动性，积极探索更有效和积极主动的监管方式。一方面要建立重点项目实施过程的反馈机制，依托相关信息平台，加大对重点部门、重点项目的监控力度，并建立对重点项目实施情况按月度上报机制，及时督促相关地区对政策的落地执行，提高对项目的整体把控能力。另一方面积极主动下基层进行抽查和检查，强化对基层单位和“微权力”的管理监督。同时进一步扩大抽查覆盖面，或聘请专业第三方机构对项目运行情况进行事中、事后监控。</w:t>
      </w:r>
    </w:p>
    <w:p>
      <w:pPr>
        <w:pStyle w:val="13"/>
        <w:numPr>
          <w:ilvl w:val="0"/>
          <w:numId w:val="0"/>
        </w:numPr>
        <w:snapToGrid w:val="0"/>
        <w:spacing w:line="540" w:lineRule="exact"/>
        <w:ind w:left="640" w:leftChars="0"/>
        <w:rPr>
          <w:rStyle w:val="9"/>
          <w:rFonts w:ascii="Times New Roman" w:hAnsi="Times New Roman" w:eastAsia="仿宋_GB2312" w:cs="Times New Roman"/>
          <w:b w:val="0"/>
          <w:spacing w:val="-4"/>
          <w:sz w:val="32"/>
          <w:szCs w:val="32"/>
        </w:rPr>
      </w:pPr>
      <w:r>
        <w:rPr>
          <w:rStyle w:val="9"/>
          <w:rFonts w:hint="eastAsia" w:ascii="Times New Roman" w:hAnsi="Times New Roman" w:eastAsia="黑体" w:cs="Times New Roman"/>
          <w:b w:val="0"/>
          <w:bCs w:val="0"/>
          <w:spacing w:val="-4"/>
          <w:sz w:val="32"/>
          <w:szCs w:val="32"/>
          <w:lang w:eastAsia="zh-CN"/>
        </w:rPr>
        <w:t>七、</w:t>
      </w:r>
      <w:r>
        <w:rPr>
          <w:rStyle w:val="9"/>
          <w:rFonts w:ascii="Times New Roman" w:hAnsi="Times New Roman" w:eastAsia="黑体" w:cs="Times New Roman"/>
          <w:b w:val="0"/>
          <w:bCs w:val="0"/>
          <w:spacing w:val="-4"/>
          <w:sz w:val="32"/>
          <w:szCs w:val="32"/>
        </w:rPr>
        <w:t>附表：</w:t>
      </w:r>
      <w:r>
        <w:rPr>
          <w:rStyle w:val="9"/>
          <w:rFonts w:ascii="Times New Roman" w:hAnsi="Times New Roman" w:eastAsia="仿宋_GB2312" w:cs="Times New Roman"/>
          <w:b w:val="0"/>
          <w:spacing w:val="-4"/>
          <w:sz w:val="32"/>
          <w:szCs w:val="32"/>
        </w:rPr>
        <w:t>《</w:t>
      </w:r>
      <w:r>
        <w:rPr>
          <w:rStyle w:val="9"/>
          <w:rFonts w:ascii="Times New Roman" w:hAnsi="Times New Roman" w:eastAsia="仿宋_GB2312" w:cs="Times New Roman"/>
          <w:b w:val="0"/>
          <w:bCs w:val="0"/>
          <w:spacing w:val="-4"/>
          <w:sz w:val="32"/>
          <w:szCs w:val="32"/>
        </w:rPr>
        <w:t>部门整体支出绩效自评表</w:t>
      </w:r>
      <w:r>
        <w:rPr>
          <w:rStyle w:val="9"/>
          <w:rFonts w:ascii="Times New Roman" w:hAnsi="Times New Roman" w:eastAsia="仿宋_GB2312" w:cs="Times New Roman"/>
          <w:b w:val="0"/>
          <w:spacing w:val="-4"/>
          <w:sz w:val="32"/>
          <w:szCs w:val="32"/>
        </w:rPr>
        <w:t>》</w:t>
      </w:r>
    </w:p>
    <w:p>
      <w:pPr>
        <w:pStyle w:val="13"/>
        <w:numPr>
          <w:ilvl w:val="0"/>
          <w:numId w:val="0"/>
        </w:numPr>
        <w:snapToGrid w:val="0"/>
        <w:spacing w:line="540" w:lineRule="exact"/>
        <w:ind w:left="640" w:leftChars="0"/>
        <w:rPr>
          <w:rStyle w:val="9"/>
          <w:rFonts w:hint="eastAsia" w:ascii="Times New Roman" w:hAnsi="Times New Roman" w:eastAsia="仿宋_GB2312" w:cs="Times New Roman"/>
          <w:b w:val="0"/>
          <w:spacing w:val="-4"/>
          <w:sz w:val="32"/>
          <w:szCs w:val="32"/>
        </w:rPr>
      </w:pPr>
    </w:p>
    <w:p>
      <w:pPr>
        <w:pStyle w:val="13"/>
        <w:numPr>
          <w:ilvl w:val="0"/>
          <w:numId w:val="0"/>
        </w:numPr>
        <w:snapToGrid w:val="0"/>
        <w:spacing w:line="540" w:lineRule="exact"/>
        <w:ind w:left="640" w:leftChars="0"/>
        <w:rPr>
          <w:rStyle w:val="9"/>
          <w:rFonts w:hint="eastAsia" w:ascii="Times New Roman" w:hAnsi="Times New Roman" w:eastAsia="仿宋_GB2312" w:cs="Times New Roman"/>
          <w:b w:val="0"/>
          <w:spacing w:val="-4"/>
          <w:sz w:val="32"/>
          <w:szCs w:val="32"/>
        </w:rPr>
      </w:pPr>
    </w:p>
    <w:p>
      <w:pPr>
        <w:pStyle w:val="13"/>
        <w:numPr>
          <w:ilvl w:val="0"/>
          <w:numId w:val="0"/>
        </w:numPr>
        <w:snapToGrid w:val="0"/>
        <w:spacing w:line="540" w:lineRule="exact"/>
        <w:ind w:left="640" w:leftChars="0"/>
        <w:rPr>
          <w:rStyle w:val="9"/>
          <w:rFonts w:hint="eastAsia" w:ascii="Times New Roman" w:hAnsi="Times New Roman" w:eastAsia="仿宋_GB2312" w:cs="Times New Roman"/>
          <w:b w:val="0"/>
          <w:spacing w:val="-4"/>
          <w:sz w:val="32"/>
          <w:szCs w:val="32"/>
        </w:rPr>
      </w:pPr>
    </w:p>
    <w:tbl>
      <w:tblPr>
        <w:tblStyle w:val="7"/>
        <w:tblW w:w="960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206"/>
        <w:gridCol w:w="1755"/>
        <w:gridCol w:w="1575"/>
        <w:gridCol w:w="1305"/>
        <w:gridCol w:w="1228"/>
        <w:gridCol w:w="943"/>
        <w:gridCol w:w="824"/>
        <w:gridCol w:w="7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39" w:hRule="atLeast"/>
          <w:jc w:val="center"/>
        </w:trPr>
        <w:tc>
          <w:tcPr>
            <w:tcW w:w="9600"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部门（单位）整体支出绩效目标自评表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79" w:hRule="atLeast"/>
          <w:jc w:val="center"/>
        </w:trPr>
        <w:tc>
          <w:tcPr>
            <w:tcW w:w="9600" w:type="dxa"/>
            <w:gridSpan w:val="8"/>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75" w:hRule="atLeast"/>
          <w:jc w:val="center"/>
        </w:trPr>
        <w:tc>
          <w:tcPr>
            <w:tcW w:w="120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部门（单位）名称</w:t>
            </w:r>
          </w:p>
        </w:tc>
        <w:tc>
          <w:tcPr>
            <w:tcW w:w="8394"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霍尔果斯市第三幼儿园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6" w:hRule="atLeast"/>
          <w:jc w:val="center"/>
        </w:trPr>
        <w:tc>
          <w:tcPr>
            <w:tcW w:w="12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部门资金（万元）</w:t>
            </w:r>
          </w:p>
        </w:tc>
        <w:tc>
          <w:tcPr>
            <w:tcW w:w="1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资金来源</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年初预算数</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全年预算数</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全年执行数</w:t>
            </w:r>
          </w:p>
        </w:tc>
        <w:tc>
          <w:tcPr>
            <w:tcW w:w="9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分值权重</w:t>
            </w:r>
          </w:p>
        </w:tc>
        <w:tc>
          <w:tcPr>
            <w:tcW w:w="8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执行率</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93" w:hRule="atLeast"/>
          <w:jc w:val="center"/>
        </w:trPr>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17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年度总资金</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429.05</w:t>
            </w:r>
          </w:p>
        </w:tc>
        <w:tc>
          <w:tcPr>
            <w:tcW w:w="13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456.74</w:t>
            </w:r>
          </w:p>
        </w:tc>
        <w:tc>
          <w:tcPr>
            <w:tcW w:w="12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456.74</w:t>
            </w:r>
          </w:p>
        </w:tc>
        <w:tc>
          <w:tcPr>
            <w:tcW w:w="9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10</w:t>
            </w:r>
          </w:p>
        </w:tc>
        <w:tc>
          <w:tcPr>
            <w:tcW w:w="8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93" w:hRule="atLeast"/>
          <w:jc w:val="center"/>
        </w:trPr>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1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上级资金：</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10</w:t>
            </w:r>
          </w:p>
        </w:tc>
        <w:tc>
          <w:tcPr>
            <w:tcW w:w="13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9.77</w:t>
            </w:r>
          </w:p>
        </w:tc>
        <w:tc>
          <w:tcPr>
            <w:tcW w:w="12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9.77</w:t>
            </w:r>
          </w:p>
        </w:tc>
        <w:tc>
          <w:tcPr>
            <w:tcW w:w="9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93" w:hRule="atLeast"/>
          <w:jc w:val="center"/>
        </w:trPr>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1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本级资金：</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418.75</w:t>
            </w:r>
          </w:p>
        </w:tc>
        <w:tc>
          <w:tcPr>
            <w:tcW w:w="13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446.67</w:t>
            </w:r>
          </w:p>
        </w:tc>
        <w:tc>
          <w:tcPr>
            <w:tcW w:w="12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446.67</w:t>
            </w:r>
          </w:p>
        </w:tc>
        <w:tc>
          <w:tcPr>
            <w:tcW w:w="9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93" w:hRule="atLeast"/>
          <w:jc w:val="center"/>
        </w:trPr>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1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其他资金：</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0.3</w:t>
            </w:r>
          </w:p>
        </w:tc>
        <w:tc>
          <w:tcPr>
            <w:tcW w:w="13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0.3</w:t>
            </w:r>
          </w:p>
        </w:tc>
        <w:tc>
          <w:tcPr>
            <w:tcW w:w="122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0.3</w:t>
            </w:r>
          </w:p>
        </w:tc>
        <w:tc>
          <w:tcPr>
            <w:tcW w:w="9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19" w:hRule="atLeast"/>
          <w:jc w:val="center"/>
        </w:trPr>
        <w:tc>
          <w:tcPr>
            <w:tcW w:w="12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年度总体目标</w:t>
            </w:r>
          </w:p>
        </w:tc>
        <w:tc>
          <w:tcPr>
            <w:tcW w:w="46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预期目标</w:t>
            </w:r>
          </w:p>
        </w:tc>
        <w:tc>
          <w:tcPr>
            <w:tcW w:w="3759"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482" w:hRule="atLeast"/>
          <w:jc w:val="center"/>
        </w:trPr>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46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坚持以习近平新时代中国特色社会主义思想为指导，坚持以党的二十大精神为引领，深刻领悟党中央关于教育的新定位、新部署和新要求。聚焦重点任务，抓住关键环节，推动学前教育高质量发展取得新进步新成效。深入贯彻党的二十大精神，贯彻落实中央、自治区党委决策部署的各项重大工作决定和安排，扩大学前教育资源，保障学前教育发展、</w:t>
            </w:r>
            <w:r>
              <w:rPr>
                <w:rFonts w:hint="eastAsia" w:ascii="宋体" w:hAnsi="宋体" w:eastAsia="宋体" w:cs="宋体"/>
                <w:i w:val="0"/>
                <w:color w:val="000000" w:themeColor="text1"/>
                <w:kern w:val="0"/>
                <w:sz w:val="18"/>
                <w:szCs w:val="18"/>
                <w:highlight w:val="none"/>
                <w:u w:val="none"/>
                <w:lang w:val="en-US" w:eastAsia="zh-CN" w:bidi="ar"/>
                <w14:textFill>
                  <w14:solidFill>
                    <w14:schemeClr w14:val="tx1"/>
                  </w14:solidFill>
                </w14:textFill>
              </w:rPr>
              <w:t>保障</w:t>
            </w:r>
            <w:r>
              <w:rPr>
                <w:rFonts w:hint="eastAsia" w:ascii="宋体" w:hAnsi="宋体" w:eastAsia="宋体" w:cs="宋体"/>
                <w:i w:val="0"/>
                <w:color w:val="000000"/>
                <w:kern w:val="0"/>
                <w:sz w:val="18"/>
                <w:szCs w:val="18"/>
                <w:u w:val="none"/>
                <w:lang w:val="en-US" w:eastAsia="zh-CN" w:bidi="ar"/>
              </w:rPr>
              <w:t>保障教师培训覆盖率，提升幼小衔接巩固率，强化监管，花好每一</w:t>
            </w:r>
            <w:bookmarkStart w:id="22" w:name="_GoBack"/>
            <w:r>
              <w:rPr>
                <w:rFonts w:hint="eastAsia" w:ascii="宋体" w:hAnsi="宋体" w:eastAsia="宋体" w:cs="宋体"/>
                <w:i w:val="0"/>
                <w:color w:val="000000" w:themeColor="text1"/>
                <w:kern w:val="0"/>
                <w:sz w:val="18"/>
                <w:szCs w:val="18"/>
                <w:highlight w:val="none"/>
                <w:u w:val="none"/>
                <w:lang w:val="en-US" w:eastAsia="zh-CN" w:bidi="ar"/>
                <w14:textFill>
                  <w14:solidFill>
                    <w14:schemeClr w14:val="tx1"/>
                  </w14:solidFill>
                </w14:textFill>
              </w:rPr>
              <w:t>分</w:t>
            </w:r>
            <w:bookmarkEnd w:id="22"/>
            <w:r>
              <w:rPr>
                <w:rFonts w:hint="eastAsia" w:ascii="宋体" w:hAnsi="宋体" w:eastAsia="宋体" w:cs="宋体"/>
                <w:i w:val="0"/>
                <w:color w:val="000000"/>
                <w:kern w:val="0"/>
                <w:sz w:val="18"/>
                <w:szCs w:val="18"/>
                <w:u w:val="none"/>
                <w:lang w:val="en-US" w:eastAsia="zh-CN" w:bidi="ar"/>
              </w:rPr>
              <w:t>钱，把教育经费用到最关键处，切实提高教育经费使用效益。</w:t>
            </w:r>
          </w:p>
        </w:tc>
        <w:tc>
          <w:tcPr>
            <w:tcW w:w="3759"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了法制宣传教育次数4次，教研活动开展次数4次，教师普通话达标率95%，联盟捆绑开展次数2次，幼小街接巩固率95%，教师培训覆盖率95%，完成此项活动后提高幼儿园保教质量，加强教育教学技能，提高老师的业务素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39" w:hRule="atLeast"/>
          <w:jc w:val="center"/>
        </w:trPr>
        <w:tc>
          <w:tcPr>
            <w:tcW w:w="12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一级指标</w:t>
            </w:r>
          </w:p>
        </w:tc>
        <w:tc>
          <w:tcPr>
            <w:tcW w:w="1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二级指标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三级指标</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预期指标值</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指标值设定依据</w:t>
            </w:r>
          </w:p>
        </w:tc>
        <w:tc>
          <w:tcPr>
            <w:tcW w:w="9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分值权重</w:t>
            </w:r>
          </w:p>
        </w:tc>
        <w:tc>
          <w:tcPr>
            <w:tcW w:w="8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实际完成指标值</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54" w:hRule="atLeast"/>
          <w:jc w:val="center"/>
        </w:trPr>
        <w:tc>
          <w:tcPr>
            <w:tcW w:w="12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履职效能</w:t>
            </w:r>
          </w:p>
        </w:tc>
        <w:tc>
          <w:tcPr>
            <w:tcW w:w="175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法制宣传教育次数</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&gt;=4次</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霍尔果斯市第三幼儿园2024年园务工作计划</w:t>
            </w:r>
          </w:p>
        </w:tc>
        <w:tc>
          <w:tcPr>
            <w:tcW w:w="9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8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4次</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54" w:hRule="atLeast"/>
          <w:jc w:val="center"/>
        </w:trPr>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教研活动开展次数</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&gt;=4次</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霍尔果斯市第三幼儿园2024年园务工作计划</w:t>
            </w:r>
          </w:p>
        </w:tc>
        <w:tc>
          <w:tcPr>
            <w:tcW w:w="9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8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4次</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54" w:hRule="atLeast"/>
          <w:jc w:val="center"/>
        </w:trPr>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教师普通话达标率</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&gt;=95%</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霍尔果斯市第三幼儿园2024年园务工作计划</w:t>
            </w:r>
          </w:p>
        </w:tc>
        <w:tc>
          <w:tcPr>
            <w:tcW w:w="9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8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54" w:hRule="atLeast"/>
          <w:jc w:val="center"/>
        </w:trPr>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联盟捆绑开展次数</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&gt;=2次</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霍尔果斯市第三幼儿园2024园务工作计划</w:t>
            </w:r>
          </w:p>
        </w:tc>
        <w:tc>
          <w:tcPr>
            <w:tcW w:w="9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8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2次</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54" w:hRule="atLeast"/>
          <w:jc w:val="center"/>
        </w:trPr>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5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幼小街接巩固率</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&gt;=95%</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霍尔果斯市第三幼儿园2024年园务工作计划</w:t>
            </w:r>
          </w:p>
        </w:tc>
        <w:tc>
          <w:tcPr>
            <w:tcW w:w="9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8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263" w:hRule="atLeast"/>
          <w:jc w:val="center"/>
        </w:trPr>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教师培训覆盖率</w:t>
            </w:r>
          </w:p>
        </w:tc>
        <w:tc>
          <w:tcPr>
            <w:tcW w:w="13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&gt;=95%</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霍尔果斯市第三幼儿园2024年园务工作计划</w:t>
            </w:r>
          </w:p>
        </w:tc>
        <w:tc>
          <w:tcPr>
            <w:tcW w:w="9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8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7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r>
    </w:tbl>
    <w:p>
      <w:pPr>
        <w:pStyle w:val="13"/>
        <w:numPr>
          <w:ilvl w:val="0"/>
          <w:numId w:val="0"/>
        </w:numPr>
        <w:snapToGrid w:val="0"/>
        <w:spacing w:line="540" w:lineRule="exact"/>
        <w:ind w:left="640" w:leftChars="0"/>
        <w:rPr>
          <w:rStyle w:val="9"/>
          <w:rFonts w:hint="eastAsia" w:ascii="Times New Roman" w:hAnsi="Times New Roman" w:eastAsia="仿宋_GB2312" w:cs="Times New Roman"/>
          <w:b w:val="0"/>
          <w:spacing w:val="-4"/>
          <w:sz w:val="32"/>
          <w:szCs w:val="32"/>
        </w:rPr>
      </w:pPr>
    </w:p>
    <w:p>
      <w:pPr>
        <w:pStyle w:val="13"/>
        <w:snapToGrid w:val="0"/>
        <w:spacing w:line="540" w:lineRule="exact"/>
        <w:ind w:left="640" w:firstLine="0" w:firstLineChars="0"/>
        <w:rPr>
          <w:rStyle w:val="9"/>
          <w:rFonts w:ascii="Times New Roman" w:hAnsi="Times New Roman" w:eastAsia="仿宋_GB2312" w:cs="Times New Roman"/>
          <w:b w:val="0"/>
          <w:spacing w:val="-4"/>
          <w:sz w:val="32"/>
          <w:szCs w:val="32"/>
        </w:rPr>
      </w:pPr>
    </w:p>
    <w:sectPr>
      <w:pgSz w:w="11906" w:h="16838"/>
      <w:pgMar w:top="1440" w:right="1800" w:bottom="1440" w:left="1800" w:header="851" w:footer="992" w:gutter="0"/>
      <w:pgNumType w:fmt="numberInDash" w:start="25"/>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078E036-8953-4722-82E5-503D7635401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0000000000000000000"/>
    <w:charset w:val="86"/>
    <w:family w:val="auto"/>
    <w:pitch w:val="default"/>
    <w:sig w:usb0="00000000" w:usb1="00000000" w:usb2="00000000" w:usb3="00000000" w:csb0="00000000" w:csb1="00000000"/>
    <w:embedRegular r:id="rId2" w:fontKey="{79FE5F28-A191-4076-A6A3-39E48EF03AE9}"/>
  </w:font>
  <w:font w:name="方正小标宋_GBK">
    <w:altName w:val="微软雅黑"/>
    <w:panose1 w:val="00000000000000000000"/>
    <w:charset w:val="86"/>
    <w:family w:val="script"/>
    <w:pitch w:val="default"/>
    <w:sig w:usb0="00000000" w:usb1="00000000" w:usb2="00000000" w:usb3="00000000" w:csb0="00000000" w:csb1="00000000"/>
    <w:embedRegular r:id="rId3" w:fontKey="{2F3CCF92-5439-487C-9B4C-2E96E0D742B9}"/>
  </w:font>
  <w:font w:name="仿宋_GB2312">
    <w:panose1 w:val="02010609030101010101"/>
    <w:charset w:val="86"/>
    <w:family w:val="modern"/>
    <w:pitch w:val="default"/>
    <w:sig w:usb0="00000001" w:usb1="080E0000" w:usb2="00000000" w:usb3="00000000" w:csb0="00040000" w:csb1="00000000"/>
    <w:embedRegular r:id="rId4" w:fontKey="{9DD71A5C-C0AB-4C67-BE86-C252A2FE6C1B}"/>
  </w:font>
  <w:font w:name="汉仪程行简">
    <w:altName w:val="宋体"/>
    <w:panose1 w:val="00000000000000000000"/>
    <w:charset w:val="86"/>
    <w:family w:val="auto"/>
    <w:pitch w:val="default"/>
    <w:sig w:usb0="00000000" w:usb1="00000000" w:usb2="00000016" w:usb3="00000000" w:csb0="0004009F" w:csb1="DFD70000"/>
    <w:embedRegular r:id="rId5" w:fontKey="{92F19562-B4CD-45E0-AF7F-10D635B3F4BC}"/>
  </w:font>
  <w:font w:name="楷体">
    <w:panose1 w:val="02010609060101010101"/>
    <w:charset w:val="86"/>
    <w:family w:val="modern"/>
    <w:pitch w:val="default"/>
    <w:sig w:usb0="800002BF" w:usb1="38CF7CFA" w:usb2="00000016" w:usb3="00000000" w:csb0="00040001" w:csb1="00000000"/>
    <w:embedRegular r:id="rId6" w:fontKey="{8896392D-2F24-4DA1-AD7C-811C44687A64}"/>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jNThmMzdmMGNhODEzYjJlYTBmOGYwYmQwNjZmMjEifQ=="/>
    <w:docVar w:name="KSO_WPS_MARK_KEY" w:val="40e95650-004b-4697-ae2b-25bffeeac740"/>
  </w:docVars>
  <w:rsids>
    <w:rsidRoot w:val="00633862"/>
    <w:rsid w:val="0007293C"/>
    <w:rsid w:val="000D3AFA"/>
    <w:rsid w:val="0015416B"/>
    <w:rsid w:val="00185D01"/>
    <w:rsid w:val="00191BA3"/>
    <w:rsid w:val="001A1D39"/>
    <w:rsid w:val="0022744B"/>
    <w:rsid w:val="0024154C"/>
    <w:rsid w:val="003D2A05"/>
    <w:rsid w:val="00407CE9"/>
    <w:rsid w:val="00415D7D"/>
    <w:rsid w:val="0046546D"/>
    <w:rsid w:val="0053243F"/>
    <w:rsid w:val="005B1250"/>
    <w:rsid w:val="005C02A2"/>
    <w:rsid w:val="006009FB"/>
    <w:rsid w:val="00633862"/>
    <w:rsid w:val="0069663D"/>
    <w:rsid w:val="006A71DA"/>
    <w:rsid w:val="006C5BED"/>
    <w:rsid w:val="00702D4A"/>
    <w:rsid w:val="007115C8"/>
    <w:rsid w:val="00785D7C"/>
    <w:rsid w:val="00790BB1"/>
    <w:rsid w:val="007A5BDB"/>
    <w:rsid w:val="0084743E"/>
    <w:rsid w:val="00867FFD"/>
    <w:rsid w:val="008729C2"/>
    <w:rsid w:val="00882198"/>
    <w:rsid w:val="0097614B"/>
    <w:rsid w:val="009B040A"/>
    <w:rsid w:val="00A5177D"/>
    <w:rsid w:val="00A83709"/>
    <w:rsid w:val="00AA5126"/>
    <w:rsid w:val="00AD16CD"/>
    <w:rsid w:val="00BC24B3"/>
    <w:rsid w:val="00CB2ECA"/>
    <w:rsid w:val="00CD2F35"/>
    <w:rsid w:val="00D4372F"/>
    <w:rsid w:val="00DB1085"/>
    <w:rsid w:val="00DF207F"/>
    <w:rsid w:val="00E01E51"/>
    <w:rsid w:val="00E25667"/>
    <w:rsid w:val="00EA14FA"/>
    <w:rsid w:val="00ED3E98"/>
    <w:rsid w:val="00EE7E17"/>
    <w:rsid w:val="00F07844"/>
    <w:rsid w:val="00F33D7C"/>
    <w:rsid w:val="00F80B31"/>
    <w:rsid w:val="00F84215"/>
    <w:rsid w:val="010E0C0C"/>
    <w:rsid w:val="01211D57"/>
    <w:rsid w:val="016D0077"/>
    <w:rsid w:val="02355837"/>
    <w:rsid w:val="02610413"/>
    <w:rsid w:val="02F019DF"/>
    <w:rsid w:val="02F163A2"/>
    <w:rsid w:val="02FE786C"/>
    <w:rsid w:val="03341650"/>
    <w:rsid w:val="036F2FCB"/>
    <w:rsid w:val="03B2599D"/>
    <w:rsid w:val="043C5F8E"/>
    <w:rsid w:val="049941F3"/>
    <w:rsid w:val="04A60F90"/>
    <w:rsid w:val="04BF425F"/>
    <w:rsid w:val="04D2103C"/>
    <w:rsid w:val="04D550AF"/>
    <w:rsid w:val="053E6CFD"/>
    <w:rsid w:val="06B83B39"/>
    <w:rsid w:val="06DE29E2"/>
    <w:rsid w:val="07702E6D"/>
    <w:rsid w:val="07A86AAB"/>
    <w:rsid w:val="07C65825"/>
    <w:rsid w:val="09067414"/>
    <w:rsid w:val="09170A81"/>
    <w:rsid w:val="095E6E11"/>
    <w:rsid w:val="0AC27E84"/>
    <w:rsid w:val="0B0F5B25"/>
    <w:rsid w:val="0BD256C9"/>
    <w:rsid w:val="0C281F69"/>
    <w:rsid w:val="0D3F0613"/>
    <w:rsid w:val="0D617282"/>
    <w:rsid w:val="0F661726"/>
    <w:rsid w:val="0F772EC6"/>
    <w:rsid w:val="0F877334"/>
    <w:rsid w:val="0FB14459"/>
    <w:rsid w:val="0FC00CEF"/>
    <w:rsid w:val="10182B28"/>
    <w:rsid w:val="1044378A"/>
    <w:rsid w:val="109160DD"/>
    <w:rsid w:val="10947BCD"/>
    <w:rsid w:val="114B3E5E"/>
    <w:rsid w:val="115E3FEE"/>
    <w:rsid w:val="11653435"/>
    <w:rsid w:val="116B384E"/>
    <w:rsid w:val="11D53B5C"/>
    <w:rsid w:val="11DD16C8"/>
    <w:rsid w:val="130A20A3"/>
    <w:rsid w:val="13352CE1"/>
    <w:rsid w:val="13E07D60"/>
    <w:rsid w:val="150177FB"/>
    <w:rsid w:val="15875F52"/>
    <w:rsid w:val="15B73666"/>
    <w:rsid w:val="15C42D02"/>
    <w:rsid w:val="168A2EA6"/>
    <w:rsid w:val="17D5194F"/>
    <w:rsid w:val="180A4FDB"/>
    <w:rsid w:val="1840056E"/>
    <w:rsid w:val="192177D8"/>
    <w:rsid w:val="196A001E"/>
    <w:rsid w:val="198331C0"/>
    <w:rsid w:val="19C92FDD"/>
    <w:rsid w:val="19DB061A"/>
    <w:rsid w:val="19DC1600"/>
    <w:rsid w:val="19E576EB"/>
    <w:rsid w:val="19FF664E"/>
    <w:rsid w:val="1A0676BB"/>
    <w:rsid w:val="1A091F78"/>
    <w:rsid w:val="1A6D6D72"/>
    <w:rsid w:val="1AEB4D61"/>
    <w:rsid w:val="1B1C4C0F"/>
    <w:rsid w:val="1B5E1360"/>
    <w:rsid w:val="1C230AC0"/>
    <w:rsid w:val="1C615CEF"/>
    <w:rsid w:val="1CDA72AF"/>
    <w:rsid w:val="1CFF5D2E"/>
    <w:rsid w:val="1D632B53"/>
    <w:rsid w:val="1D7602A9"/>
    <w:rsid w:val="1DC83D3D"/>
    <w:rsid w:val="1E613949"/>
    <w:rsid w:val="1EAE0073"/>
    <w:rsid w:val="1F195A2C"/>
    <w:rsid w:val="205102FB"/>
    <w:rsid w:val="20762FC4"/>
    <w:rsid w:val="212C60E2"/>
    <w:rsid w:val="21D221EA"/>
    <w:rsid w:val="21DE15EF"/>
    <w:rsid w:val="227847A0"/>
    <w:rsid w:val="23021A8B"/>
    <w:rsid w:val="2320540D"/>
    <w:rsid w:val="236E0539"/>
    <w:rsid w:val="23E6478B"/>
    <w:rsid w:val="241112CA"/>
    <w:rsid w:val="2422471A"/>
    <w:rsid w:val="245970EC"/>
    <w:rsid w:val="24A85EE5"/>
    <w:rsid w:val="24DB72C2"/>
    <w:rsid w:val="271745F0"/>
    <w:rsid w:val="276460F3"/>
    <w:rsid w:val="27660FAF"/>
    <w:rsid w:val="277166D1"/>
    <w:rsid w:val="277B4318"/>
    <w:rsid w:val="27B7194D"/>
    <w:rsid w:val="27E37B45"/>
    <w:rsid w:val="280600C8"/>
    <w:rsid w:val="28081174"/>
    <w:rsid w:val="28481571"/>
    <w:rsid w:val="28722F64"/>
    <w:rsid w:val="289B5D70"/>
    <w:rsid w:val="28A4093D"/>
    <w:rsid w:val="290A1EBC"/>
    <w:rsid w:val="296B40D0"/>
    <w:rsid w:val="29980ADF"/>
    <w:rsid w:val="29B460DC"/>
    <w:rsid w:val="29D532D8"/>
    <w:rsid w:val="29DA41DF"/>
    <w:rsid w:val="29E74DB9"/>
    <w:rsid w:val="2A0B6FEB"/>
    <w:rsid w:val="2A2A3694"/>
    <w:rsid w:val="2A6B1740"/>
    <w:rsid w:val="2AB71864"/>
    <w:rsid w:val="2AD30362"/>
    <w:rsid w:val="2B161A0E"/>
    <w:rsid w:val="2B1D67DB"/>
    <w:rsid w:val="2B2D4A4E"/>
    <w:rsid w:val="2BCA3DF7"/>
    <w:rsid w:val="2BFA5278"/>
    <w:rsid w:val="2C3F44FD"/>
    <w:rsid w:val="2C8903AA"/>
    <w:rsid w:val="2CE43832"/>
    <w:rsid w:val="2DAA6B58"/>
    <w:rsid w:val="2DC02E1D"/>
    <w:rsid w:val="2E4A4A48"/>
    <w:rsid w:val="2F8715FA"/>
    <w:rsid w:val="2FB372EA"/>
    <w:rsid w:val="2FB43990"/>
    <w:rsid w:val="2FC040E2"/>
    <w:rsid w:val="30143D58"/>
    <w:rsid w:val="30240D0F"/>
    <w:rsid w:val="308158E7"/>
    <w:rsid w:val="30824D27"/>
    <w:rsid w:val="309817B5"/>
    <w:rsid w:val="30A86679"/>
    <w:rsid w:val="31505F30"/>
    <w:rsid w:val="3177520D"/>
    <w:rsid w:val="31C7249B"/>
    <w:rsid w:val="31FB7654"/>
    <w:rsid w:val="32565D7D"/>
    <w:rsid w:val="336E47B8"/>
    <w:rsid w:val="337D2302"/>
    <w:rsid w:val="33935522"/>
    <w:rsid w:val="33DE0EF4"/>
    <w:rsid w:val="3416678C"/>
    <w:rsid w:val="34486A39"/>
    <w:rsid w:val="347F7ACD"/>
    <w:rsid w:val="34C13400"/>
    <w:rsid w:val="34F32864"/>
    <w:rsid w:val="35386E11"/>
    <w:rsid w:val="35612ABD"/>
    <w:rsid w:val="375B2943"/>
    <w:rsid w:val="38086A4E"/>
    <w:rsid w:val="38C32119"/>
    <w:rsid w:val="38EE054F"/>
    <w:rsid w:val="39440A0C"/>
    <w:rsid w:val="398443D3"/>
    <w:rsid w:val="39A60AF6"/>
    <w:rsid w:val="3AA12D62"/>
    <w:rsid w:val="3B2319C9"/>
    <w:rsid w:val="3B5D5890"/>
    <w:rsid w:val="3BA6683D"/>
    <w:rsid w:val="3BC431AC"/>
    <w:rsid w:val="3C012639"/>
    <w:rsid w:val="3DA52B6A"/>
    <w:rsid w:val="3E833FCF"/>
    <w:rsid w:val="3EE3321B"/>
    <w:rsid w:val="3EE93EED"/>
    <w:rsid w:val="3F177A97"/>
    <w:rsid w:val="3FF57BF1"/>
    <w:rsid w:val="41590DEA"/>
    <w:rsid w:val="416C231C"/>
    <w:rsid w:val="41C31810"/>
    <w:rsid w:val="41D659E7"/>
    <w:rsid w:val="424D096E"/>
    <w:rsid w:val="428A15BF"/>
    <w:rsid w:val="42BB7663"/>
    <w:rsid w:val="432A3936"/>
    <w:rsid w:val="434765EB"/>
    <w:rsid w:val="43A3164E"/>
    <w:rsid w:val="43C43532"/>
    <w:rsid w:val="44332E1A"/>
    <w:rsid w:val="44692B43"/>
    <w:rsid w:val="44BF2CE3"/>
    <w:rsid w:val="44BF6C07"/>
    <w:rsid w:val="462C7B1B"/>
    <w:rsid w:val="46BF2EEE"/>
    <w:rsid w:val="47013FF5"/>
    <w:rsid w:val="47D71483"/>
    <w:rsid w:val="484A2C8B"/>
    <w:rsid w:val="48500FEB"/>
    <w:rsid w:val="49284D7B"/>
    <w:rsid w:val="49543DC1"/>
    <w:rsid w:val="4A0F39E7"/>
    <w:rsid w:val="4A654AD6"/>
    <w:rsid w:val="4B364032"/>
    <w:rsid w:val="4B3B68BB"/>
    <w:rsid w:val="4B443785"/>
    <w:rsid w:val="4B537C75"/>
    <w:rsid w:val="4C431ECB"/>
    <w:rsid w:val="4CC33C9F"/>
    <w:rsid w:val="4E4E1BE2"/>
    <w:rsid w:val="4E760D0B"/>
    <w:rsid w:val="4E8F65E3"/>
    <w:rsid w:val="4EC80245"/>
    <w:rsid w:val="4ED65AC3"/>
    <w:rsid w:val="4F596A69"/>
    <w:rsid w:val="50063DD3"/>
    <w:rsid w:val="505863A4"/>
    <w:rsid w:val="50591CBD"/>
    <w:rsid w:val="50A240F7"/>
    <w:rsid w:val="51971C1E"/>
    <w:rsid w:val="519A53EE"/>
    <w:rsid w:val="51FF2E33"/>
    <w:rsid w:val="525877BC"/>
    <w:rsid w:val="5272504D"/>
    <w:rsid w:val="52CA50F4"/>
    <w:rsid w:val="52FB52AE"/>
    <w:rsid w:val="543D24BF"/>
    <w:rsid w:val="548754B8"/>
    <w:rsid w:val="54CA318A"/>
    <w:rsid w:val="55517AB0"/>
    <w:rsid w:val="57192BB8"/>
    <w:rsid w:val="5734671F"/>
    <w:rsid w:val="57423EBA"/>
    <w:rsid w:val="57813298"/>
    <w:rsid w:val="57BB500C"/>
    <w:rsid w:val="58753EBA"/>
    <w:rsid w:val="58E426FC"/>
    <w:rsid w:val="58FC3B2E"/>
    <w:rsid w:val="59063548"/>
    <w:rsid w:val="5A6776CD"/>
    <w:rsid w:val="5ADD1E8F"/>
    <w:rsid w:val="5AE6303A"/>
    <w:rsid w:val="5B155A7C"/>
    <w:rsid w:val="5B442B97"/>
    <w:rsid w:val="5B977B3E"/>
    <w:rsid w:val="5C5B0B6B"/>
    <w:rsid w:val="5CB643E4"/>
    <w:rsid w:val="5D8D11F8"/>
    <w:rsid w:val="5DF91A9D"/>
    <w:rsid w:val="5E2D5305"/>
    <w:rsid w:val="5F1D65AC"/>
    <w:rsid w:val="5F230066"/>
    <w:rsid w:val="5F814D8D"/>
    <w:rsid w:val="5FA47678"/>
    <w:rsid w:val="5FE455B0"/>
    <w:rsid w:val="60504E56"/>
    <w:rsid w:val="60535261"/>
    <w:rsid w:val="627A5057"/>
    <w:rsid w:val="62A033DD"/>
    <w:rsid w:val="62B113CD"/>
    <w:rsid w:val="62D376AD"/>
    <w:rsid w:val="63002758"/>
    <w:rsid w:val="63886101"/>
    <w:rsid w:val="63E072F9"/>
    <w:rsid w:val="63E738F2"/>
    <w:rsid w:val="648B2856"/>
    <w:rsid w:val="64AD2180"/>
    <w:rsid w:val="64F46001"/>
    <w:rsid w:val="6536789A"/>
    <w:rsid w:val="655E76C4"/>
    <w:rsid w:val="658E5B0E"/>
    <w:rsid w:val="65D86017"/>
    <w:rsid w:val="65E6594A"/>
    <w:rsid w:val="660E1EAC"/>
    <w:rsid w:val="661600DA"/>
    <w:rsid w:val="663A7AE6"/>
    <w:rsid w:val="668820C8"/>
    <w:rsid w:val="66DF5346"/>
    <w:rsid w:val="66E14AAB"/>
    <w:rsid w:val="6736630B"/>
    <w:rsid w:val="67AC2776"/>
    <w:rsid w:val="67EE0E11"/>
    <w:rsid w:val="68DF3109"/>
    <w:rsid w:val="68FA0C93"/>
    <w:rsid w:val="693F2885"/>
    <w:rsid w:val="699F5DE9"/>
    <w:rsid w:val="6A9776F8"/>
    <w:rsid w:val="6AAF0A00"/>
    <w:rsid w:val="6AEF34F2"/>
    <w:rsid w:val="6B234F4A"/>
    <w:rsid w:val="6B6F5FA2"/>
    <w:rsid w:val="6C5F0204"/>
    <w:rsid w:val="6C69186D"/>
    <w:rsid w:val="6C7D443F"/>
    <w:rsid w:val="6C8851EE"/>
    <w:rsid w:val="6CCF1622"/>
    <w:rsid w:val="6CE7035E"/>
    <w:rsid w:val="6D300CAA"/>
    <w:rsid w:val="6DB1246A"/>
    <w:rsid w:val="6EAE5472"/>
    <w:rsid w:val="6FF50315"/>
    <w:rsid w:val="702F5608"/>
    <w:rsid w:val="708F2CC4"/>
    <w:rsid w:val="709444F0"/>
    <w:rsid w:val="71182116"/>
    <w:rsid w:val="71205936"/>
    <w:rsid w:val="71477CCB"/>
    <w:rsid w:val="7178018F"/>
    <w:rsid w:val="71BA40BB"/>
    <w:rsid w:val="71CD052F"/>
    <w:rsid w:val="73740A39"/>
    <w:rsid w:val="742B746E"/>
    <w:rsid w:val="74736F42"/>
    <w:rsid w:val="74CA7F29"/>
    <w:rsid w:val="752B1D3E"/>
    <w:rsid w:val="75913D16"/>
    <w:rsid w:val="763C0048"/>
    <w:rsid w:val="77135965"/>
    <w:rsid w:val="77262B54"/>
    <w:rsid w:val="772D4414"/>
    <w:rsid w:val="773A5C43"/>
    <w:rsid w:val="775947BB"/>
    <w:rsid w:val="77AD276B"/>
    <w:rsid w:val="77B87094"/>
    <w:rsid w:val="77C96E08"/>
    <w:rsid w:val="79500F4C"/>
    <w:rsid w:val="7986195D"/>
    <w:rsid w:val="79E005EE"/>
    <w:rsid w:val="7A044DC4"/>
    <w:rsid w:val="7A865511"/>
    <w:rsid w:val="7AA20E97"/>
    <w:rsid w:val="7AAA4D40"/>
    <w:rsid w:val="7ABC4A73"/>
    <w:rsid w:val="7AC10876"/>
    <w:rsid w:val="7B2F16E9"/>
    <w:rsid w:val="7B334ED0"/>
    <w:rsid w:val="7BA26513"/>
    <w:rsid w:val="7C4B6886"/>
    <w:rsid w:val="7C71236F"/>
    <w:rsid w:val="7C7B25BC"/>
    <w:rsid w:val="7C8D2B6B"/>
    <w:rsid w:val="7D55069E"/>
    <w:rsid w:val="7D670C49"/>
    <w:rsid w:val="7D711B45"/>
    <w:rsid w:val="7D840F0D"/>
    <w:rsid w:val="7E5F5E41"/>
    <w:rsid w:val="7E78432D"/>
    <w:rsid w:val="7E8E02D3"/>
    <w:rsid w:val="7EA902C5"/>
    <w:rsid w:val="7EAA3560"/>
    <w:rsid w:val="7ECF553C"/>
    <w:rsid w:val="7EF10E29"/>
    <w:rsid w:val="7FB364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annotation text"/>
    <w:basedOn w:val="1"/>
    <w:semiHidden/>
    <w:unhideWhenUsed/>
    <w:qFormat/>
    <w:uiPriority w:val="99"/>
    <w:pPr>
      <w:jc w:val="left"/>
    </w:pPr>
  </w:style>
  <w:style w:type="paragraph" w:styleId="4">
    <w:name w:val="Balloon Text"/>
    <w:basedOn w:val="1"/>
    <w:link w:val="14"/>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Strong"/>
    <w:basedOn w:val="8"/>
    <w:qFormat/>
    <w:uiPriority w:val="0"/>
    <w:rPr>
      <w:b/>
      <w:bCs/>
    </w:rPr>
  </w:style>
  <w:style w:type="character" w:styleId="10">
    <w:name w:val="annotation reference"/>
    <w:basedOn w:val="8"/>
    <w:semiHidden/>
    <w:unhideWhenUsed/>
    <w:qFormat/>
    <w:uiPriority w:val="99"/>
    <w:rPr>
      <w:sz w:val="21"/>
      <w:szCs w:val="21"/>
    </w:rPr>
  </w:style>
  <w:style w:type="character" w:customStyle="1" w:styleId="11">
    <w:name w:val="页眉 Char"/>
    <w:basedOn w:val="8"/>
    <w:link w:val="6"/>
    <w:qFormat/>
    <w:uiPriority w:val="99"/>
    <w:rPr>
      <w:sz w:val="18"/>
      <w:szCs w:val="18"/>
    </w:rPr>
  </w:style>
  <w:style w:type="character" w:customStyle="1" w:styleId="12">
    <w:name w:val="页脚 Char"/>
    <w:basedOn w:val="8"/>
    <w:link w:val="5"/>
    <w:qFormat/>
    <w:uiPriority w:val="99"/>
    <w:rPr>
      <w:sz w:val="18"/>
      <w:szCs w:val="18"/>
    </w:rPr>
  </w:style>
  <w:style w:type="paragraph" w:styleId="13">
    <w:name w:val="List Paragraph"/>
    <w:basedOn w:val="1"/>
    <w:unhideWhenUsed/>
    <w:qFormat/>
    <w:uiPriority w:val="99"/>
    <w:pPr>
      <w:ind w:firstLine="420" w:firstLineChars="200"/>
    </w:pPr>
  </w:style>
  <w:style w:type="character" w:customStyle="1" w:styleId="14">
    <w:name w:val="批注框文本 Char"/>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18</Pages>
  <Words>1186</Words>
  <Characters>6765</Characters>
  <Lines>56</Lines>
  <Paragraphs>15</Paragraphs>
  <TotalTime>49</TotalTime>
  <ScaleCrop>false</ScaleCrop>
  <LinksUpToDate>false</LinksUpToDate>
  <CharactersWithSpaces>7936</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2025-04-25T02:58:00Z</dcterms:created>
  <dc:creator>jc</dc:creator>
  <cp:lastModifiedBy>Administrator</cp:lastModifiedBy>
  <cp:lastPrinted>2024-03-04T11:32:00Z</cp:lastPrinted>
  <dcterms:modified xsi:type="dcterms:W3CDTF">2025-11-13T03:03:10Z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7AEB81AC93854E66B5A2C8A1946BC61C_13</vt:lpwstr>
  </property>
  <property fmtid="{D5CDD505-2E9C-101B-9397-08002B2CF9AE}" pid="4" name="KSOTemplateDocerSaveRecord">
    <vt:lpwstr>eyJoZGlkIjoiNjA0MzQ4ZWY1ZWM2OTgyYWNhOTRjNDVhNjc5MmYzMmEiLCJ1c2VySWQiOiIzOTAzNDM5MjQifQ==</vt:lpwstr>
  </property>
</Properties>
</file>