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asciiTheme="minorEastAsia" w:hAnsiTheme="minorEastAsia" w:cstheme="minorEastAsia"/>
          <w:color w:val="333333"/>
          <w:sz w:val="24"/>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霍尔果斯市第一幼儿园整体支出绩效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2024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部门单位名称（公章）：霍尔果斯市第一幼儿园</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2025 年 4 月 17日</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560" w:lineRule="exact"/>
        <w:rPr>
          <w:rFonts w:ascii="黑体" w:hAnsi="黑体" w:eastAsia="黑体" w:cs="黑体"/>
          <w:sz w:val="32"/>
          <w:szCs w:val="32"/>
        </w:rPr>
      </w:pPr>
    </w:p>
    <w:p>
      <w:pPr>
        <w:spacing w:line="560" w:lineRule="exact"/>
        <w:ind w:firstLine="640" w:firstLineChars="200"/>
        <w:rPr>
          <w:rFonts w:ascii="汉仪程行简" w:hAnsi="汉仪程行简" w:eastAsia="汉仪程行简" w:cs="汉仪程行简"/>
          <w:sz w:val="32"/>
          <w:szCs w:val="32"/>
        </w:rPr>
      </w:pPr>
      <w:r>
        <w:rPr>
          <w:rFonts w:hint="eastAsia" w:ascii="黑体" w:hAnsi="黑体" w:eastAsia="黑体" w:cs="黑体"/>
          <w:sz w:val="32"/>
          <w:szCs w:val="32"/>
        </w:rPr>
        <w:t>一、基本概况</w:t>
      </w:r>
    </w:p>
    <w:p>
      <w:pPr>
        <w:spacing w:line="540" w:lineRule="exact"/>
        <w:ind w:firstLine="567" w:firstLineChars="181"/>
        <w:rPr>
          <w:rStyle w:val="10"/>
          <w:rFonts w:ascii="楷体" w:hAnsi="楷体" w:eastAsia="楷体" w:cs="楷体"/>
          <w:bCs w:val="0"/>
          <w:spacing w:val="-4"/>
          <w:sz w:val="32"/>
          <w:szCs w:val="32"/>
        </w:rPr>
      </w:pPr>
      <w:r>
        <w:rPr>
          <w:rStyle w:val="10"/>
          <w:rFonts w:hint="eastAsia" w:ascii="楷体" w:hAnsi="楷体" w:eastAsia="楷体" w:cs="楷体"/>
          <w:bCs w:val="0"/>
          <w:spacing w:val="-4"/>
          <w:sz w:val="32"/>
          <w:szCs w:val="32"/>
        </w:rPr>
        <w:t>(一)部门单位基本情况</w:t>
      </w:r>
    </w:p>
    <w:p>
      <w:pPr>
        <w:spacing w:line="540" w:lineRule="exact"/>
        <w:ind w:firstLine="581" w:firstLineChars="181"/>
        <w:rPr>
          <w:rFonts w:ascii="仿宋_GB2312" w:hAnsi="仿宋_GB2312" w:eastAsia="仿宋_GB2312" w:cs="仿宋_GB2312"/>
          <w:b/>
          <w:sz w:val="32"/>
          <w:szCs w:val="32"/>
        </w:rPr>
      </w:pPr>
      <w:r>
        <w:rPr>
          <w:rFonts w:hint="eastAsia" w:ascii="仿宋_GB2312" w:hAnsi="仿宋_GB2312" w:eastAsia="仿宋_GB2312" w:cs="仿宋_GB2312"/>
          <w:b/>
          <w:sz w:val="32"/>
          <w:szCs w:val="32"/>
        </w:rPr>
        <w:t>1.主要职能</w:t>
      </w:r>
    </w:p>
    <w:p>
      <w:pPr>
        <w:ind w:firstLine="640" w:firstLineChars="200"/>
        <w:rPr>
          <w:rFonts w:ascii="仿宋_GB2312" w:hAnsi="仿宋_GB2312" w:eastAsia="仿宋_GB2312" w:cs="仿宋_GB2312"/>
          <w:b/>
          <w:sz w:val="32"/>
          <w:szCs w:val="32"/>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霍尔果斯市第一幼儿园负责本园幼儿的德育、教学、教研、后勤等管理事务，其主要职能：</w:t>
      </w:r>
      <w:r>
        <w:rPr>
          <w:rFonts w:hint="eastAsia" w:ascii="方正仿宋简体" w:hAnsi="方正仿宋简体" w:eastAsia="方正仿宋简体" w:cs="方正仿宋简体"/>
          <w:color w:val="000000" w:themeColor="text1"/>
          <w:sz w:val="32"/>
          <w:szCs w:val="32"/>
          <w14:textFill>
            <w14:solidFill>
              <w14:schemeClr w14:val="tx1"/>
            </w14:solidFill>
          </w14:textFill>
        </w:rPr>
        <w:br w:type="textWrapping"/>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(一)贯彻执行党和国家的教育方针、政策和法规，配合市人民政府制定学校发展规划和年度计划，并抓好组织实施和落实工作。</w:t>
      </w:r>
      <w:r>
        <w:rPr>
          <w:rFonts w:hint="eastAsia" w:ascii="方正仿宋简体" w:hAnsi="方正仿宋简体" w:eastAsia="方正仿宋简体" w:cs="方正仿宋简体"/>
          <w:color w:val="000000" w:themeColor="text1"/>
          <w:sz w:val="32"/>
          <w:szCs w:val="32"/>
          <w14:textFill>
            <w14:solidFill>
              <w14:schemeClr w14:val="tx1"/>
            </w14:solidFill>
          </w14:textFill>
        </w:rPr>
        <w:br w:type="textWrapping"/>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(二)贯彻、执行教育法律法规和政策规定，坚持依法治教、依法治学。配合人民政府依法动员、组织适龄儿童入园，推进普及学前教育。</w:t>
      </w:r>
      <w:r>
        <w:rPr>
          <w:rFonts w:hint="eastAsia" w:ascii="方正仿宋简体" w:hAnsi="方正仿宋简体" w:eastAsia="方正仿宋简体" w:cs="方正仿宋简体"/>
          <w:color w:val="000000" w:themeColor="text1"/>
          <w:sz w:val="32"/>
          <w:szCs w:val="32"/>
          <w14:textFill>
            <w14:solidFill>
              <w14:schemeClr w14:val="tx1"/>
            </w14:solidFill>
          </w14:textFill>
        </w:rPr>
        <w:br w:type="textWrapping"/>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(三)指导、管理、检查、评价学前教育教学工作，提高办学质量和办学效益。</w:t>
      </w:r>
      <w:r>
        <w:rPr>
          <w:rFonts w:hint="eastAsia" w:ascii="方正仿宋简体" w:hAnsi="方正仿宋简体" w:eastAsia="方正仿宋简体" w:cs="方正仿宋简体"/>
          <w:color w:val="000000" w:themeColor="text1"/>
          <w:sz w:val="32"/>
          <w:szCs w:val="32"/>
          <w14:textFill>
            <w14:solidFill>
              <w14:schemeClr w14:val="tx1"/>
            </w14:solidFill>
          </w14:textFill>
        </w:rPr>
        <w:br w:type="textWrapping"/>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(四)负责教育教学管理及教研教改工作，全力推进素质教育实施。</w:t>
      </w:r>
      <w:r>
        <w:rPr>
          <w:rFonts w:hint="eastAsia" w:ascii="方正仿宋简体" w:hAnsi="方正仿宋简体" w:eastAsia="方正仿宋简体" w:cs="方正仿宋简体"/>
          <w:color w:val="000000" w:themeColor="text1"/>
          <w:sz w:val="32"/>
          <w:szCs w:val="32"/>
          <w14:textFill>
            <w14:solidFill>
              <w14:schemeClr w14:val="tx1"/>
            </w14:solidFill>
          </w14:textFill>
        </w:rPr>
        <w:br w:type="textWrapping"/>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(五)负责抓好学前教育工作，逐步普及幼儿学前一年入园率，逐年提高幼儿学前三年入园率。</w:t>
      </w:r>
      <w:r>
        <w:rPr>
          <w:rFonts w:hint="eastAsia" w:ascii="方正仿宋简体" w:hAnsi="方正仿宋简体" w:eastAsia="方正仿宋简体" w:cs="方正仿宋简体"/>
          <w:color w:val="000000" w:themeColor="text1"/>
          <w:sz w:val="32"/>
          <w:szCs w:val="32"/>
          <w14:textFill>
            <w14:solidFill>
              <w14:schemeClr w14:val="tx1"/>
            </w14:solidFill>
          </w14:textFill>
        </w:rPr>
        <w:br w:type="textWrapping"/>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(六)协助上级教育主管单位做好园长的考核任免工作，负责教师人事管理、继续教育、考核考评等工作。</w:t>
      </w:r>
      <w:r>
        <w:rPr>
          <w:rFonts w:hint="eastAsia" w:ascii="方正仿宋简体" w:hAnsi="方正仿宋简体" w:eastAsia="方正仿宋简体" w:cs="方正仿宋简体"/>
          <w:color w:val="000000" w:themeColor="text1"/>
          <w:sz w:val="32"/>
          <w:szCs w:val="32"/>
          <w14:textFill>
            <w14:solidFill>
              <w14:schemeClr w14:val="tx1"/>
            </w14:solidFill>
          </w14:textFill>
        </w:rPr>
        <w:br w:type="textWrapping"/>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(七)负责财务管理，筹措资金，改善办学条件等工作。负责幼儿园后勤财务工作。</w:t>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2.</w:t>
      </w:r>
      <w:r>
        <w:rPr>
          <w:rFonts w:hint="eastAsia" w:ascii="仿宋_GB2312" w:hAnsi="仿宋_GB2312" w:eastAsia="仿宋_GB2312" w:cs="仿宋_GB2312"/>
          <w:b/>
          <w:sz w:val="32"/>
          <w:szCs w:val="32"/>
        </w:rPr>
        <w:t>机构设置及人员情况</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霍尔果斯市第一幼儿园无直属二级单位构成。内设5个科室</w:t>
      </w:r>
      <w:r>
        <w:rPr>
          <w:rFonts w:hint="eastAsia" w:ascii="方正仿宋简体" w:hAnsi="方正仿宋简体" w:eastAsia="方正仿宋简体" w:cs="方正仿宋简体"/>
          <w:color w:val="000000" w:themeColor="text1"/>
          <w:sz w:val="32"/>
          <w:szCs w:val="32"/>
          <w:highlight w:val="none"/>
          <w14:textFill>
            <w14:solidFill>
              <w14:schemeClr w14:val="tx1"/>
            </w14:solidFill>
          </w14:textFill>
        </w:rPr>
        <w:t>（办公室2个、3个科室）</w:t>
      </w:r>
      <w:r>
        <w:rPr>
          <w:rFonts w:hint="eastAsia" w:ascii="方正仿宋简体" w:hAnsi="方正仿宋简体" w:eastAsia="方正仿宋简体" w:cs="方正仿宋简体"/>
          <w:color w:val="000000" w:themeColor="text1"/>
          <w:sz w:val="32"/>
          <w:szCs w:val="32"/>
          <w14:textFill>
            <w14:solidFill>
              <w14:schemeClr w14:val="tx1"/>
            </w14:solidFill>
          </w14:textFill>
        </w:rPr>
        <w:t>。部门编制15名，实有人员24人，其中：在职人员24人，退休0人，离休0人。</w:t>
      </w:r>
    </w:p>
    <w:p>
      <w:pPr>
        <w:snapToGrid w:val="0"/>
        <w:spacing w:line="560" w:lineRule="exact"/>
        <w:ind w:left="638" w:leftChars="304"/>
        <w:outlineLvl w:val="1"/>
        <w:rPr>
          <w:rFonts w:ascii="楷体" w:hAnsi="楷体" w:eastAsia="楷体" w:cs="楷体"/>
          <w:b/>
          <w:sz w:val="32"/>
          <w:szCs w:val="32"/>
        </w:rPr>
      </w:pPr>
      <w:r>
        <w:rPr>
          <w:rFonts w:hint="eastAsia" w:ascii="楷体" w:hAnsi="楷体" w:eastAsia="楷体" w:cs="楷体"/>
          <w:b/>
          <w:sz w:val="32"/>
          <w:szCs w:val="32"/>
        </w:rPr>
        <w:t>(二)部门单位年度重点工作</w:t>
      </w:r>
    </w:p>
    <w:p>
      <w:pPr>
        <w:snapToGrid w:val="0"/>
        <w:spacing w:line="560" w:lineRule="exact"/>
        <w:ind w:left="638" w:leftChars="304"/>
        <w:outlineLvl w:val="1"/>
        <w:rPr>
          <w:rFonts w:ascii="楷体" w:hAnsi="楷体" w:eastAsia="楷体" w:cs="楷体"/>
          <w:b/>
          <w:sz w:val="32"/>
          <w:szCs w:val="32"/>
        </w:rPr>
      </w:pPr>
      <w:r>
        <w:rPr>
          <w:rFonts w:hint="eastAsia" w:ascii="楷体" w:hAnsi="楷体" w:eastAsia="楷体" w:cs="楷体"/>
          <w:b/>
          <w:sz w:val="32"/>
          <w:szCs w:val="32"/>
        </w:rPr>
        <w:t>1.年度总体目标</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坚持以习近平新时代中国特色社会主义思想为指导，坚持以党的二十大精神为引领，深刻领悟党中央关于教育的新定位、新部署和新要求。聚焦重点任务，抓住关键环节，推动学前教育高质量发展取得新进步新成效</w:t>
      </w:r>
      <w:bookmarkStart w:id="25" w:name="_GoBack"/>
      <w:bookmarkEnd w:id="25"/>
      <w:r>
        <w:rPr>
          <w:rFonts w:hint="eastAsia" w:ascii="方正仿宋简体" w:hAnsi="方正仿宋简体" w:eastAsia="方正仿宋简体" w:cs="方正仿宋简体"/>
          <w:color w:val="000000" w:themeColor="text1"/>
          <w:sz w:val="32"/>
          <w:szCs w:val="32"/>
          <w14:textFill>
            <w14:solidFill>
              <w14:schemeClr w14:val="tx1"/>
            </w14:solidFill>
          </w14:textFill>
        </w:rPr>
        <w:t>。深入贯彻党的二十大精神，贯彻落实中央、自治区党委决策部署的各项重大工作决定和安排，扩大学前教育资源，保障学前教育发展、保障保障教师培训覆盖率，提升幼小衔接巩固率，强化监管，花好每一份钱，把教育经费用到最关键处，切实提高教育经费使用效益。</w:t>
      </w:r>
    </w:p>
    <w:p>
      <w:pPr>
        <w:spacing w:line="560" w:lineRule="exact"/>
        <w:ind w:firstLine="627" w:firstLineChars="200"/>
        <w:outlineLvl w:val="2"/>
        <w:rPr>
          <w:rFonts w:ascii="Times New Roman" w:hAnsi="Times New Roman" w:eastAsia="仿宋_GB2312" w:cs="Times New Roman"/>
          <w:b/>
          <w:spacing w:val="-4"/>
          <w:sz w:val="32"/>
          <w:szCs w:val="32"/>
        </w:rPr>
      </w:pPr>
      <w:r>
        <w:rPr>
          <w:rFonts w:hint="eastAsia" w:ascii="Times New Roman" w:hAnsi="Times New Roman" w:eastAsia="仿宋_GB2312" w:cs="Times New Roman"/>
          <w:b/>
          <w:spacing w:val="-4"/>
          <w:sz w:val="32"/>
          <w:szCs w:val="32"/>
        </w:rPr>
        <w:t>2.重点工作计划</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（1）人员保障支出，计划投入万元完成教师工资、社会保障缴费、住房公积</w:t>
      </w:r>
      <w:r>
        <w:rPr>
          <w:rFonts w:hint="eastAsia" w:ascii="方正仿宋简体" w:hAnsi="方正仿宋简体" w:eastAsia="方正仿宋简体" w:cs="方正仿宋简体"/>
          <w:color w:val="C00000"/>
          <w:sz w:val="32"/>
          <w:szCs w:val="32"/>
          <w:lang w:val="en-US" w:eastAsia="zh-CN"/>
        </w:rPr>
        <w:t>金</w:t>
      </w:r>
      <w:r>
        <w:rPr>
          <w:rFonts w:hint="eastAsia" w:ascii="方正仿宋简体" w:hAnsi="方正仿宋简体" w:eastAsia="方正仿宋简体" w:cs="方正仿宋简体"/>
          <w:color w:val="000000" w:themeColor="text1"/>
          <w:sz w:val="32"/>
          <w:szCs w:val="32"/>
          <w14:textFill>
            <w14:solidFill>
              <w14:schemeClr w14:val="tx1"/>
            </w14:solidFill>
          </w14:textFill>
        </w:rPr>
        <w:t>，保障教师工资及待遇，提升教师归属感，为我市教育创造更大效益。</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（2）对个人和家庭补助支出47.73万元</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（3）运转保障支出，计划投入531.71万元，用于学校日常经费支出，确保学校正常运行运转。</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贯彻执行党和国家的教育方针、政策和法规，配合市人民政府制定学校发展规划和年度计划，并抓好组织实施和落实工作。</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C00000"/>
          <w:sz w:val="32"/>
          <w:szCs w:val="32"/>
          <w:lang w:val="en-US" w:eastAsia="zh-CN"/>
        </w:rPr>
        <w:t>学</w:t>
      </w:r>
      <w:r>
        <w:rPr>
          <w:rFonts w:hint="eastAsia" w:ascii="方正仿宋简体" w:hAnsi="方正仿宋简体" w:eastAsia="方正仿宋简体" w:cs="方正仿宋简体"/>
          <w:color w:val="000000" w:themeColor="text1"/>
          <w:sz w:val="32"/>
          <w:szCs w:val="32"/>
          <w14:textFill>
            <w14:solidFill>
              <w14:schemeClr w14:val="tx1"/>
            </w14:solidFill>
          </w14:textFill>
        </w:rPr>
        <w:t>前教育工作，组织适龄儿童入园，逐步普及幼儿学前一年入园率，逐年提高幼儿学前三年入园率。</w:t>
      </w:r>
    </w:p>
    <w:p>
      <w:pPr>
        <w:snapToGrid w:val="0"/>
        <w:spacing w:line="560" w:lineRule="exact"/>
        <w:ind w:left="638" w:leftChars="304"/>
        <w:outlineLvl w:val="1"/>
        <w:rPr>
          <w:rFonts w:ascii="楷体" w:hAnsi="楷体" w:eastAsia="楷体" w:cs="楷体"/>
          <w:b/>
          <w:sz w:val="32"/>
          <w:szCs w:val="32"/>
        </w:rPr>
      </w:pPr>
      <w:r>
        <w:rPr>
          <w:rFonts w:hint="eastAsia" w:ascii="楷体" w:hAnsi="楷体" w:eastAsia="楷体" w:cs="楷体"/>
          <w:b/>
          <w:sz w:val="32"/>
          <w:szCs w:val="32"/>
        </w:rPr>
        <w:t>(三)部门单位整体预算规模及安排情况</w:t>
      </w:r>
    </w:p>
    <w:p>
      <w:pPr>
        <w:spacing w:line="560" w:lineRule="exact"/>
        <w:ind w:firstLine="579" w:firstLineChars="181"/>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2024年我部门年初安排预算数为568.51万元，其中:财政拨款568.51万元,本级安排0万元，其他资金0.7万元，主要用于人员工资，奖金、对个人和家庭补助支出、社会保障缴费、办公经费等方面。</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年中调整数6.69万元，调整后全年预算数575.20万元，预算调整率9.07%。调整预算的主要原因为：教职工正常晋升和工资调标。</w:t>
      </w:r>
    </w:p>
    <w:p>
      <w:pPr>
        <w:snapToGrid w:val="0"/>
        <w:spacing w:line="560" w:lineRule="exact"/>
        <w:ind w:left="1368" w:hanging="720"/>
        <w:outlineLvl w:val="0"/>
        <w:rPr>
          <w:rFonts w:ascii="黑体" w:hAnsi="黑体" w:eastAsia="黑体" w:cs="宋体"/>
          <w:bCs/>
          <w:color w:val="333333"/>
          <w:sz w:val="32"/>
          <w:szCs w:val="32"/>
        </w:rPr>
      </w:pPr>
      <w:bookmarkStart w:id="0" w:name="_Toc22484"/>
      <w:r>
        <w:rPr>
          <w:rFonts w:hint="eastAsia" w:ascii="黑体" w:hAnsi="黑体" w:eastAsia="黑体" w:cs="宋体"/>
          <w:bCs/>
          <w:color w:val="333333"/>
          <w:sz w:val="32"/>
          <w:szCs w:val="32"/>
        </w:rPr>
        <w:t>二、部门单位整体支出管理及使用情况</w:t>
      </w:r>
      <w:bookmarkEnd w:id="0"/>
    </w:p>
    <w:p>
      <w:pPr>
        <w:spacing w:line="560" w:lineRule="exact"/>
        <w:ind w:firstLine="643" w:firstLineChars="200"/>
        <w:jc w:val="left"/>
        <w:outlineLvl w:val="1"/>
        <w:rPr>
          <w:rFonts w:ascii="楷体" w:hAnsi="楷体" w:eastAsia="楷体" w:cs="楷体"/>
          <w:b/>
          <w:sz w:val="32"/>
          <w:szCs w:val="32"/>
        </w:rPr>
      </w:pPr>
      <w:bookmarkStart w:id="1" w:name="_Toc12906"/>
      <w:r>
        <w:rPr>
          <w:rFonts w:hint="eastAsia" w:ascii="楷体" w:hAnsi="楷体" w:eastAsia="楷体" w:cs="楷体"/>
          <w:b/>
          <w:sz w:val="32"/>
          <w:szCs w:val="32"/>
        </w:rPr>
        <w:t>（一）部门单位整体支出管理情况</w:t>
      </w:r>
      <w:bookmarkEnd w:id="1"/>
    </w:p>
    <w:p>
      <w:pPr>
        <w:spacing w:line="560" w:lineRule="exact"/>
        <w:ind w:firstLine="643" w:firstLineChars="200"/>
        <w:jc w:val="left"/>
        <w:outlineLvl w:val="2"/>
        <w:rPr>
          <w:rFonts w:ascii="仿宋_GB2312" w:hAnsi="仿宋_GB2312" w:eastAsia="仿宋_GB2312" w:cs="仿宋_GB2312"/>
          <w:b/>
          <w:sz w:val="32"/>
          <w:szCs w:val="32"/>
        </w:rPr>
      </w:pPr>
      <w:bookmarkStart w:id="2" w:name="_Toc3057"/>
      <w:r>
        <w:rPr>
          <w:rFonts w:hint="eastAsia" w:ascii="Times New Roman" w:hAnsi="Times New Roman" w:eastAsia="仿宋_GB2312" w:cs="仿宋_GB2312"/>
          <w:b/>
          <w:sz w:val="32"/>
          <w:szCs w:val="32"/>
        </w:rPr>
        <w:t>1</w:t>
      </w:r>
      <w:r>
        <w:rPr>
          <w:rFonts w:hint="eastAsia" w:ascii="仿宋_GB2312" w:hAnsi="仿宋_GB2312" w:eastAsia="仿宋_GB2312" w:cs="仿宋_GB2312"/>
          <w:b/>
          <w:sz w:val="32"/>
          <w:szCs w:val="32"/>
        </w:rPr>
        <w:t>.预算编制</w:t>
      </w:r>
      <w:bookmarkEnd w:id="2"/>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我部门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w:t>
      </w:r>
    </w:p>
    <w:p>
      <w:pPr>
        <w:spacing w:line="560" w:lineRule="exact"/>
        <w:ind w:firstLine="643" w:firstLineChars="200"/>
        <w:jc w:val="left"/>
        <w:outlineLvl w:val="2"/>
        <w:rPr>
          <w:rFonts w:ascii="仿宋_GB2312" w:hAnsi="仿宋_GB2312" w:eastAsia="仿宋_GB2312" w:cs="仿宋_GB2312"/>
          <w:b/>
          <w:sz w:val="32"/>
          <w:szCs w:val="32"/>
        </w:rPr>
      </w:pPr>
      <w:bookmarkStart w:id="3" w:name="_Toc26162"/>
      <w:r>
        <w:rPr>
          <w:rFonts w:hint="eastAsia" w:ascii="Times New Roman" w:hAnsi="Times New Roman" w:eastAsia="仿宋_GB2312" w:cs="仿宋_GB2312"/>
          <w:b/>
          <w:sz w:val="32"/>
          <w:szCs w:val="32"/>
        </w:rPr>
        <w:t>2</w:t>
      </w:r>
      <w:r>
        <w:rPr>
          <w:rFonts w:hint="eastAsia" w:ascii="仿宋_GB2312" w:hAnsi="仿宋_GB2312" w:eastAsia="仿宋_GB2312" w:cs="仿宋_GB2312"/>
          <w:b/>
          <w:sz w:val="32"/>
          <w:szCs w:val="32"/>
        </w:rPr>
        <w:t>.预算执行</w:t>
      </w:r>
      <w:bookmarkEnd w:id="3"/>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霍尔果斯市财政批复预算后，我单位按要求及时制定并报批部门预算支出计划，严格落实预算执行定期分析机制，靠前抓好支出执行，坚持严肃财经纪律，硬化预算约束，持续树牢厉行节约理念，严控一般性支出，努力降低事业运行成本。</w:t>
      </w:r>
    </w:p>
    <w:p>
      <w:pPr>
        <w:spacing w:line="560" w:lineRule="exact"/>
        <w:ind w:firstLine="643" w:firstLineChars="200"/>
        <w:jc w:val="left"/>
        <w:outlineLvl w:val="2"/>
        <w:rPr>
          <w:rFonts w:ascii="仿宋_GB2312" w:hAnsi="仿宋_GB2312" w:eastAsia="仿宋_GB2312" w:cs="仿宋_GB2312"/>
          <w:b/>
          <w:sz w:val="32"/>
          <w:szCs w:val="32"/>
        </w:rPr>
      </w:pPr>
      <w:bookmarkStart w:id="4" w:name="_Toc31456"/>
      <w:r>
        <w:rPr>
          <w:rFonts w:hint="eastAsia" w:ascii="Times New Roman" w:hAnsi="Times New Roman" w:eastAsia="仿宋_GB2312" w:cs="仿宋_GB2312"/>
          <w:b/>
          <w:sz w:val="32"/>
          <w:szCs w:val="32"/>
        </w:rPr>
        <w:t>3</w:t>
      </w:r>
      <w:r>
        <w:rPr>
          <w:rFonts w:hint="eastAsia" w:ascii="仿宋_GB2312" w:hAnsi="仿宋_GB2312" w:eastAsia="仿宋_GB2312" w:cs="仿宋_GB2312"/>
          <w:b/>
          <w:sz w:val="32"/>
          <w:szCs w:val="32"/>
        </w:rPr>
        <w:t>.绩效管理</w:t>
      </w:r>
      <w:bookmarkEnd w:id="4"/>
    </w:p>
    <w:p>
      <w:pPr>
        <w:spacing w:line="560" w:lineRule="exact"/>
        <w:ind w:firstLine="579" w:firstLineChars="181"/>
        <w:rPr>
          <w:rFonts w:ascii="仿宋_GB2312" w:hAnsi="宋体" w:eastAsia="仿宋_GB2312" w:cs="宋体"/>
          <w:color w:val="000000"/>
          <w:kern w:val="0"/>
          <w:sz w:val="32"/>
          <w:szCs w:val="32"/>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w:t>
      </w:r>
    </w:p>
    <w:p>
      <w:pPr>
        <w:spacing w:line="560" w:lineRule="exact"/>
        <w:ind w:firstLine="643" w:firstLineChars="200"/>
        <w:jc w:val="left"/>
        <w:outlineLvl w:val="2"/>
        <w:rPr>
          <w:rFonts w:ascii="仿宋_GB2312" w:hAnsi="仿宋_GB2312" w:eastAsia="仿宋_GB2312" w:cs="仿宋_GB2312"/>
          <w:b/>
          <w:sz w:val="32"/>
          <w:szCs w:val="32"/>
        </w:rPr>
      </w:pPr>
      <w:bookmarkStart w:id="5" w:name="_Toc2740"/>
      <w:r>
        <w:rPr>
          <w:rFonts w:hint="eastAsia" w:ascii="Times New Roman" w:hAnsi="Times New Roman" w:eastAsia="仿宋_GB2312" w:cs="仿宋_GB2312"/>
          <w:b/>
          <w:sz w:val="32"/>
          <w:szCs w:val="32"/>
        </w:rPr>
        <w:t>4</w:t>
      </w:r>
      <w:r>
        <w:rPr>
          <w:rFonts w:hint="eastAsia" w:ascii="仿宋_GB2312" w:hAnsi="仿宋_GB2312" w:eastAsia="仿宋_GB2312" w:cs="仿宋_GB2312"/>
          <w:b/>
          <w:sz w:val="32"/>
          <w:szCs w:val="32"/>
        </w:rPr>
        <w:t>.信息公开</w:t>
      </w:r>
      <w:bookmarkEnd w:id="5"/>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我单位已按要求在我市霍尔果斯人民政府、自治区财政厅门户网站公开部门预算信息，同步公开绩效目标表；在我市霍尔果斯人民政府、自治区财政厅门户网站公开部门决算信息，同步公开自评表及自评报告。</w:t>
      </w:r>
    </w:p>
    <w:p>
      <w:pPr>
        <w:spacing w:line="560" w:lineRule="exact"/>
        <w:ind w:firstLine="643" w:firstLineChars="200"/>
        <w:jc w:val="left"/>
        <w:outlineLvl w:val="1"/>
        <w:rPr>
          <w:rFonts w:ascii="楷体" w:hAnsi="楷体" w:eastAsia="楷体" w:cs="楷体"/>
          <w:b/>
          <w:sz w:val="32"/>
          <w:szCs w:val="32"/>
        </w:rPr>
      </w:pPr>
      <w:bookmarkStart w:id="6" w:name="_Toc2315"/>
      <w:r>
        <w:rPr>
          <w:rFonts w:hint="eastAsia" w:ascii="楷体" w:hAnsi="楷体" w:eastAsia="楷体" w:cs="楷体"/>
          <w:b/>
          <w:sz w:val="32"/>
          <w:szCs w:val="32"/>
        </w:rPr>
        <w:t>（二）部门单位整体支出使用情况</w:t>
      </w:r>
      <w:bookmarkEnd w:id="6"/>
    </w:p>
    <w:p>
      <w:pPr>
        <w:spacing w:line="560" w:lineRule="exact"/>
        <w:ind w:firstLine="627" w:firstLineChars="200"/>
        <w:rPr>
          <w:rStyle w:val="10"/>
          <w:rFonts w:ascii="仿宋_GB2312" w:hAnsi="楷体" w:eastAsia="仿宋_GB2312"/>
          <w:bCs w:val="0"/>
          <w:spacing w:val="-4"/>
          <w:sz w:val="32"/>
          <w:szCs w:val="32"/>
        </w:rPr>
      </w:pPr>
      <w:r>
        <w:rPr>
          <w:rStyle w:val="10"/>
          <w:rFonts w:hint="eastAsia" w:ascii="仿宋_GB2312" w:hAnsi="楷体" w:eastAsia="仿宋_GB2312"/>
          <w:bCs w:val="0"/>
          <w:spacing w:val="-4"/>
          <w:sz w:val="32"/>
          <w:szCs w:val="32"/>
        </w:rPr>
        <w:t>1.基本支出情况</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2024年我部门基本支出5</w:t>
      </w:r>
      <w:r>
        <w:rPr>
          <w:rFonts w:ascii="方正仿宋简体" w:hAnsi="方正仿宋简体" w:eastAsia="方正仿宋简体" w:cs="方正仿宋简体"/>
          <w:color w:val="000000" w:themeColor="text1"/>
          <w:sz w:val="32"/>
          <w:szCs w:val="32"/>
          <w14:textFill>
            <w14:solidFill>
              <w14:schemeClr w14:val="tx1"/>
            </w14:solidFill>
          </w14:textFill>
        </w:rPr>
        <w:t>73.21</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万元，包括：工资福利支出4</w:t>
      </w:r>
      <w:r>
        <w:rPr>
          <w:rFonts w:ascii="方正仿宋简体" w:hAnsi="方正仿宋简体" w:eastAsia="方正仿宋简体" w:cs="方正仿宋简体"/>
          <w:color w:val="000000" w:themeColor="text1"/>
          <w:sz w:val="32"/>
          <w:szCs w:val="32"/>
          <w14:textFill>
            <w14:solidFill>
              <w14:schemeClr w14:val="tx1"/>
            </w14:solidFill>
          </w14:textFill>
        </w:rPr>
        <w:t>73.97</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万元、商品和服务支出</w:t>
      </w:r>
      <w:r>
        <w:rPr>
          <w:rFonts w:ascii="方正仿宋简体" w:hAnsi="方正仿宋简体" w:eastAsia="方正仿宋简体" w:cs="方正仿宋简体"/>
          <w:color w:val="000000" w:themeColor="text1"/>
          <w:sz w:val="32"/>
          <w:szCs w:val="32"/>
          <w14:textFill>
            <w14:solidFill>
              <w14:schemeClr w14:val="tx1"/>
            </w14:solidFill>
          </w14:textFill>
        </w:rPr>
        <w:t>55.29</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万元、对个人和家庭的补助4</w:t>
      </w:r>
      <w:r>
        <w:rPr>
          <w:rFonts w:ascii="方正仿宋简体" w:hAnsi="方正仿宋简体" w:eastAsia="方正仿宋简体" w:cs="方正仿宋简体"/>
          <w:color w:val="000000" w:themeColor="text1"/>
          <w:sz w:val="32"/>
          <w:szCs w:val="32"/>
          <w14:textFill>
            <w14:solidFill>
              <w14:schemeClr w14:val="tx1"/>
            </w14:solidFill>
          </w14:textFill>
        </w:rPr>
        <w:t>3.94</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资本性支出0万元。其中：“三公”经费支出0万元，比上年增加0万元，主要原因是没有三公经费支出；会议费支出0万元，比上年增加0万元，主要原因是无会议支出；培训费支出0万元，比上年增加0万元，主要原因是无培训支出。</w:t>
      </w:r>
    </w:p>
    <w:p>
      <w:pPr>
        <w:spacing w:line="560" w:lineRule="exact"/>
        <w:ind w:firstLine="643" w:firstLineChars="200"/>
        <w:jc w:val="left"/>
        <w:outlineLvl w:val="2"/>
        <w:rPr>
          <w:rStyle w:val="10"/>
          <w:rFonts w:ascii="仿宋_GB2312" w:hAnsi="楷体" w:eastAsia="仿宋_GB2312"/>
          <w:bCs w:val="0"/>
          <w:spacing w:val="-4"/>
          <w:sz w:val="32"/>
          <w:szCs w:val="32"/>
        </w:rPr>
      </w:pPr>
      <w:bookmarkStart w:id="7" w:name="_Toc8425"/>
      <w:r>
        <w:rPr>
          <w:rFonts w:hint="eastAsia" w:ascii="Times New Roman" w:hAnsi="Times New Roman" w:eastAsia="仿宋_GB2312" w:cs="Times New Roman"/>
          <w:b/>
          <w:sz w:val="32"/>
          <w:szCs w:val="32"/>
        </w:rPr>
        <w:t>2</w:t>
      </w:r>
      <w:r>
        <w:rPr>
          <w:rFonts w:hint="eastAsia" w:ascii="仿宋_GB2312" w:hAnsi="宋体" w:eastAsia="仿宋_GB2312" w:cs="Times New Roman"/>
          <w:b/>
          <w:sz w:val="32"/>
          <w:szCs w:val="32"/>
        </w:rPr>
        <w:t>.专项资金支出情况</w:t>
      </w:r>
      <w:bookmarkEnd w:id="7"/>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2024年专项项目支出2万元，占总支出的0.35％，主要用于</w:t>
      </w:r>
      <w:bookmarkStart w:id="8" w:name="OLE_LINK9"/>
      <w:r>
        <w:rPr>
          <w:rFonts w:hint="eastAsia" w:ascii="方正仿宋简体" w:hAnsi="方正仿宋简体" w:eastAsia="方正仿宋简体" w:cs="方正仿宋简体"/>
          <w:color w:val="000000" w:themeColor="text1"/>
          <w:sz w:val="32"/>
          <w:szCs w:val="32"/>
          <w14:textFill>
            <w14:solidFill>
              <w14:schemeClr w14:val="tx1"/>
            </w14:solidFill>
          </w14:textFill>
        </w:rPr>
        <w:t>1.学前幼儿园资助经费（伙食费、取暖、公用经费）；2.霍尔果斯市第一幼儿园园舍维修资金；3.霍尔果斯市第一幼儿园自有资金工会费。</w:t>
      </w:r>
      <w:bookmarkEnd w:id="8"/>
    </w:p>
    <w:p>
      <w:pPr>
        <w:spacing w:line="560" w:lineRule="exact"/>
        <w:ind w:firstLine="643" w:firstLineChars="200"/>
        <w:jc w:val="left"/>
        <w:outlineLvl w:val="2"/>
        <w:rPr>
          <w:rFonts w:ascii="仿宋_GB2312" w:hAnsi="宋体" w:eastAsia="仿宋_GB2312" w:cs="Times New Roman"/>
          <w:b/>
          <w:sz w:val="32"/>
          <w:szCs w:val="32"/>
        </w:rPr>
      </w:pPr>
      <w:bookmarkStart w:id="9" w:name="_Toc31045"/>
      <w:r>
        <w:rPr>
          <w:rFonts w:hint="eastAsia" w:ascii="Times New Roman" w:hAnsi="Times New Roman" w:eastAsia="仿宋_GB2312" w:cs="Times New Roman"/>
          <w:b/>
          <w:sz w:val="32"/>
          <w:szCs w:val="32"/>
        </w:rPr>
        <w:t>3</w:t>
      </w:r>
      <w:r>
        <w:rPr>
          <w:rFonts w:hint="eastAsia" w:ascii="仿宋_GB2312" w:hAnsi="宋体" w:eastAsia="仿宋_GB2312" w:cs="Times New Roman"/>
          <w:b/>
          <w:sz w:val="32"/>
          <w:szCs w:val="32"/>
        </w:rPr>
        <w:t>.部门单位专项组织实施情况</w:t>
      </w:r>
      <w:bookmarkEnd w:id="9"/>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年初我单位下发的专项工作计划，对学前幼儿园资助经费（伙食费、取暖、公用经费）；霍尔果斯市第一幼儿园园舍维修资金；霍尔果斯市第一幼儿园自有资金工会费项目的工作分工、任务分配、资金落实、完成时限等提出了明确、具体的要求，以确保项目保质、保量、按时完成。截至12月31日，完成专项</w:t>
      </w:r>
      <w:r>
        <w:rPr>
          <w:rFonts w:ascii="方正仿宋简体" w:hAnsi="方正仿宋简体" w:eastAsia="方正仿宋简体" w:cs="方正仿宋简体"/>
          <w:color w:val="000000" w:themeColor="text1"/>
          <w:sz w:val="32"/>
          <w:szCs w:val="32"/>
          <w14:textFill>
            <w14:solidFill>
              <w14:schemeClr w14:val="tx1"/>
            </w14:solidFill>
          </w14:textFill>
        </w:rPr>
        <w:t>3</w:t>
      </w:r>
      <w:r>
        <w:rPr>
          <w:rFonts w:hint="eastAsia" w:ascii="方正仿宋简体" w:hAnsi="方正仿宋简体" w:eastAsia="方正仿宋简体" w:cs="方正仿宋简体"/>
          <w:color w:val="000000" w:themeColor="text1"/>
          <w:sz w:val="32"/>
          <w:szCs w:val="32"/>
          <w14:textFill>
            <w14:solidFill>
              <w14:schemeClr w14:val="tx1"/>
            </w14:solidFill>
          </w14:textFill>
        </w:rPr>
        <w:t>个，未完成专项0个。</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为规范专项资金使用，提高专项资金使用效益，我单位主要采取四项措施。一是制订专项资金管理制度；二是各专项资金建立了专账；三是制定了项目实施方案；四是认真组织项目验收。切实保证专项资金都做到了专款专用。</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1）制定了《霍尔果斯市第三幼儿园财务管理制度》专项资金管理办法，各项资金使用审批流程均按规定办理。涉及“三重一大”内容，严格按照规定提请局党组会审议决定，包括项目资金分配、重大项目确定、大额资金支付等。</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（2）建立学前幼儿园资助经费（伙食费、取暖、公用经费）；霍尔果斯市第一幼儿园园舍维修资金；霍尔果斯市第一幼儿园自有资金工会费项目专项资金专账，做到有据可依，有据可查。</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（3）制定了学前幼儿园资助经费（伙食费、取暖、公用经费）；霍尔果斯市第一幼儿园园舍维修资金；霍尔果斯市第一幼儿园自有资金工会费专项项目实施方案，确保项目实施完成。</w:t>
      </w:r>
    </w:p>
    <w:p>
      <w:pPr>
        <w:spacing w:line="560" w:lineRule="exact"/>
        <w:ind w:firstLine="579" w:firstLineChars="181"/>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（4）认真组织学前幼儿园资助经费（伙食费、取暖、公用经费）；霍尔果斯市第一幼儿园园舍维修资金；霍尔果斯市第一幼儿园自有资金工会费专项项目验收，确保专项资金落实到位。</w:t>
      </w:r>
    </w:p>
    <w:p>
      <w:pPr>
        <w:snapToGrid w:val="0"/>
        <w:spacing w:line="560" w:lineRule="exact"/>
        <w:ind w:left="1368" w:hanging="720"/>
        <w:outlineLvl w:val="0"/>
        <w:rPr>
          <w:rFonts w:ascii="黑体" w:hAnsi="黑体" w:eastAsia="黑体" w:cs="宋体"/>
          <w:bCs/>
          <w:color w:val="333333"/>
          <w:sz w:val="32"/>
          <w:szCs w:val="32"/>
        </w:rPr>
      </w:pPr>
      <w:bookmarkStart w:id="10" w:name="_Toc6552"/>
      <w:r>
        <w:rPr>
          <w:rFonts w:hint="eastAsia" w:ascii="黑体" w:hAnsi="黑体" w:eastAsia="黑体" w:cs="宋体"/>
          <w:bCs/>
          <w:color w:val="333333"/>
          <w:sz w:val="32"/>
          <w:szCs w:val="32"/>
        </w:rPr>
        <w:t>三</w:t>
      </w:r>
      <w:r>
        <w:rPr>
          <w:rFonts w:ascii="黑体" w:hAnsi="黑体" w:eastAsia="黑体" w:cs="宋体"/>
          <w:bCs/>
          <w:color w:val="333333"/>
          <w:sz w:val="32"/>
          <w:szCs w:val="32"/>
        </w:rPr>
        <w:t>、</w:t>
      </w:r>
      <w:r>
        <w:rPr>
          <w:rFonts w:hint="eastAsia" w:ascii="黑体" w:hAnsi="黑体" w:eastAsia="黑体" w:cs="宋体"/>
          <w:bCs/>
          <w:color w:val="333333"/>
          <w:sz w:val="32"/>
          <w:szCs w:val="32"/>
        </w:rPr>
        <w:t>部门单位整体支出绩效情况</w:t>
      </w:r>
      <w:bookmarkEnd w:id="10"/>
    </w:p>
    <w:p>
      <w:pPr>
        <w:spacing w:line="560" w:lineRule="exact"/>
        <w:ind w:firstLine="643" w:firstLineChars="200"/>
        <w:jc w:val="left"/>
        <w:outlineLvl w:val="1"/>
        <w:rPr>
          <w:rFonts w:ascii="楷体" w:hAnsi="楷体" w:eastAsia="楷体" w:cs="楷体"/>
          <w:b/>
          <w:sz w:val="32"/>
          <w:szCs w:val="32"/>
        </w:rPr>
      </w:pPr>
      <w:bookmarkStart w:id="11" w:name="_Toc15638"/>
      <w:r>
        <w:rPr>
          <w:rFonts w:hint="eastAsia" w:ascii="楷体" w:hAnsi="楷体" w:eastAsia="楷体" w:cs="楷体"/>
          <w:b/>
          <w:sz w:val="32"/>
          <w:szCs w:val="32"/>
        </w:rPr>
        <w:t>（一）预算执行情况</w:t>
      </w:r>
      <w:bookmarkEnd w:id="11"/>
      <w:r>
        <w:rPr>
          <w:rFonts w:hint="eastAsia" w:ascii="楷体" w:hAnsi="楷体" w:eastAsia="楷体" w:cs="楷体"/>
          <w:b/>
          <w:sz w:val="32"/>
          <w:szCs w:val="32"/>
        </w:rPr>
        <w:t>分析</w:t>
      </w:r>
    </w:p>
    <w:p>
      <w:pPr>
        <w:spacing w:line="560" w:lineRule="exact"/>
        <w:ind w:firstLine="624"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Times New Roman" w:hAnsi="Times New Roman" w:eastAsia="仿宋_GB2312"/>
          <w:bCs/>
          <w:color w:val="000000"/>
          <w:spacing w:val="-4"/>
          <w:sz w:val="32"/>
          <w:szCs w:val="32"/>
        </w:rPr>
        <w:t>2</w:t>
      </w:r>
      <w:r>
        <w:rPr>
          <w:rFonts w:hint="eastAsia" w:ascii="方正仿宋简体" w:hAnsi="方正仿宋简体" w:eastAsia="方正仿宋简体" w:cs="方正仿宋简体"/>
          <w:color w:val="000000" w:themeColor="text1"/>
          <w:sz w:val="32"/>
          <w:szCs w:val="32"/>
          <w14:textFill>
            <w14:solidFill>
              <w14:schemeClr w14:val="tx1"/>
            </w14:solidFill>
          </w14:textFill>
        </w:rPr>
        <w:t>024年霍尔果斯市第一幼儿园总支出575.21万元，预算执行率100%，其中205（教育支出支出）539.93万元：208（社会保障和就业支出）35.2</w:t>
      </w:r>
      <w:r>
        <w:rPr>
          <w:rFonts w:ascii="方正仿宋简体" w:hAnsi="方正仿宋简体" w:eastAsia="方正仿宋简体" w:cs="方正仿宋简体"/>
          <w:color w:val="000000" w:themeColor="text1"/>
          <w:sz w:val="32"/>
          <w:szCs w:val="32"/>
          <w14:textFill>
            <w14:solidFill>
              <w14:schemeClr w14:val="tx1"/>
            </w14:solidFill>
          </w14:textFill>
        </w:rPr>
        <w:t>8</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w:t>
      </w:r>
    </w:p>
    <w:p>
      <w:pPr>
        <w:spacing w:line="560" w:lineRule="exact"/>
        <w:ind w:firstLine="643" w:firstLineChars="200"/>
        <w:jc w:val="left"/>
        <w:outlineLvl w:val="2"/>
        <w:rPr>
          <w:rFonts w:ascii="仿宋_GB2312" w:hAnsi="宋体" w:eastAsia="仿宋_GB2312"/>
          <w:b/>
          <w:sz w:val="32"/>
          <w:szCs w:val="32"/>
        </w:rPr>
      </w:pPr>
      <w:bookmarkStart w:id="12" w:name="_Toc808"/>
      <w:r>
        <w:rPr>
          <w:rFonts w:hint="eastAsia" w:ascii="Times New Roman" w:hAnsi="Times New Roman" w:eastAsia="仿宋_GB2312"/>
          <w:b/>
          <w:sz w:val="32"/>
          <w:szCs w:val="32"/>
        </w:rPr>
        <w:t>1</w:t>
      </w:r>
      <w:r>
        <w:rPr>
          <w:rFonts w:hint="eastAsia" w:ascii="仿宋_GB2312" w:hAnsi="宋体" w:eastAsia="仿宋_GB2312"/>
          <w:b/>
          <w:sz w:val="32"/>
          <w:szCs w:val="32"/>
        </w:rPr>
        <w:t>.基本支出使用情况</w:t>
      </w:r>
      <w:bookmarkEnd w:id="12"/>
    </w:p>
    <w:p>
      <w:pPr>
        <w:spacing w:line="560" w:lineRule="exact"/>
        <w:ind w:firstLine="640"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2024年，霍尔果斯市第一幼儿园基本支出</w:t>
      </w:r>
      <w:r>
        <w:rPr>
          <w:rFonts w:ascii="方正仿宋简体" w:hAnsi="方正仿宋简体" w:eastAsia="方正仿宋简体" w:cs="方正仿宋简体"/>
          <w:color w:val="000000" w:themeColor="text1"/>
          <w:sz w:val="32"/>
          <w:szCs w:val="32"/>
          <w14:textFill>
            <w14:solidFill>
              <w14:schemeClr w14:val="tx1"/>
            </w14:solidFill>
          </w14:textFill>
        </w:rPr>
        <w:t>573.21</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万元，占总支出的100％，其中：205（教育支出支出）539.93万元：208（社会保障和就业支出）35.2</w:t>
      </w:r>
      <w:r>
        <w:rPr>
          <w:rFonts w:ascii="方正仿宋简体" w:hAnsi="方正仿宋简体" w:eastAsia="方正仿宋简体" w:cs="方正仿宋简体"/>
          <w:color w:val="000000" w:themeColor="text1"/>
          <w:sz w:val="32"/>
          <w:szCs w:val="32"/>
          <w14:textFill>
            <w14:solidFill>
              <w14:schemeClr w14:val="tx1"/>
            </w14:solidFill>
          </w14:textFill>
        </w:rPr>
        <w:t>8</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w:t>
      </w:r>
    </w:p>
    <w:p>
      <w:pPr>
        <w:spacing w:line="560" w:lineRule="exact"/>
        <w:ind w:firstLine="643" w:firstLineChars="200"/>
        <w:jc w:val="left"/>
        <w:outlineLvl w:val="2"/>
        <w:rPr>
          <w:rFonts w:ascii="仿宋_GB2312" w:hAnsi="宋体" w:eastAsia="仿宋_GB2312"/>
          <w:b/>
          <w:sz w:val="32"/>
          <w:szCs w:val="32"/>
        </w:rPr>
      </w:pPr>
      <w:bookmarkStart w:id="13" w:name="_Toc9601"/>
      <w:r>
        <w:rPr>
          <w:rFonts w:hint="eastAsia" w:ascii="Times New Roman" w:hAnsi="Times New Roman" w:eastAsia="仿宋_GB2312"/>
          <w:b/>
          <w:sz w:val="32"/>
          <w:szCs w:val="32"/>
        </w:rPr>
        <w:t>2</w:t>
      </w:r>
      <w:r>
        <w:rPr>
          <w:rFonts w:hint="eastAsia" w:ascii="仿宋_GB2312" w:hAnsi="宋体" w:eastAsia="仿宋_GB2312"/>
          <w:b/>
          <w:sz w:val="32"/>
          <w:szCs w:val="32"/>
        </w:rPr>
        <w:t>.项目支出使用情况</w:t>
      </w:r>
      <w:bookmarkEnd w:id="13"/>
    </w:p>
    <w:p>
      <w:pPr>
        <w:spacing w:line="560" w:lineRule="exact"/>
        <w:ind w:firstLine="640" w:firstLineChars="200"/>
        <w:rPr>
          <w:rFonts w:ascii="方正仿宋简体" w:hAnsi="方正仿宋简体" w:eastAsia="方正仿宋简体" w:cs="方正仿宋简体"/>
          <w:bCs/>
          <w:color w:val="000000" w:themeColor="text1"/>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2024年，霍尔果斯市第一幼儿园项目支出</w:t>
      </w:r>
      <w:r>
        <w:rPr>
          <w:rFonts w:ascii="方正仿宋简体" w:hAnsi="方正仿宋简体" w:eastAsia="方正仿宋简体" w:cs="方正仿宋简体"/>
          <w:color w:val="000000" w:themeColor="text1"/>
          <w:sz w:val="32"/>
          <w:szCs w:val="32"/>
          <w14:textFill>
            <w14:solidFill>
              <w14:schemeClr w14:val="tx1"/>
            </w14:solidFill>
          </w14:textFill>
        </w:rPr>
        <w:t>2</w:t>
      </w:r>
      <w:r>
        <w:rPr>
          <w:rFonts w:hint="eastAsia" w:ascii="方正仿宋简体" w:hAnsi="方正仿宋简体" w:eastAsia="方正仿宋简体" w:cs="方正仿宋简体"/>
          <w:color w:val="000000" w:themeColor="text1"/>
          <w:sz w:val="32"/>
          <w:szCs w:val="32"/>
          <w14:textFill>
            <w14:solidFill>
              <w14:schemeClr w14:val="tx1"/>
            </w14:solidFill>
          </w14:textFill>
        </w:rPr>
        <w:t>万元，占总支出的</w:t>
      </w:r>
      <w:r>
        <w:rPr>
          <w:rFonts w:ascii="方正仿宋简体" w:hAnsi="方正仿宋简体" w:eastAsia="方正仿宋简体" w:cs="方正仿宋简体"/>
          <w:color w:val="000000" w:themeColor="text1"/>
          <w:sz w:val="32"/>
          <w:szCs w:val="32"/>
          <w14:textFill>
            <w14:solidFill>
              <w14:schemeClr w14:val="tx1"/>
            </w14:solidFill>
          </w14:textFill>
        </w:rPr>
        <w:t>0.35</w:t>
      </w:r>
      <w:r>
        <w:rPr>
          <w:rFonts w:hint="eastAsia" w:ascii="方正仿宋简体" w:hAnsi="方正仿宋简体" w:eastAsia="方正仿宋简体" w:cs="方正仿宋简体"/>
          <w:color w:val="000000" w:themeColor="text1"/>
          <w:sz w:val="32"/>
          <w:szCs w:val="32"/>
          <w14:textFill>
            <w14:solidFill>
              <w14:schemeClr w14:val="tx1"/>
            </w14:solidFill>
          </w14:textFill>
        </w:rPr>
        <w:t>％，其中</w:t>
      </w:r>
      <w:r>
        <w:rPr>
          <w:rFonts w:ascii="方正仿宋简体" w:hAnsi="方正仿宋简体" w:eastAsia="方正仿宋简体" w:cs="方正仿宋简体"/>
          <w:color w:val="000000" w:themeColor="text1"/>
          <w:sz w:val="32"/>
          <w:szCs w:val="32"/>
          <w14:textFill>
            <w14:solidFill>
              <w14:schemeClr w14:val="tx1"/>
            </w14:solidFill>
          </w14:textFill>
        </w:rPr>
        <w:t>2050201</w:t>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五个</w:t>
      </w:r>
      <w:r>
        <w:rPr>
          <w:rFonts w:hint="eastAsia" w:ascii="宋体" w:hAnsi="宋体" w:eastAsia="宋体" w:cs="宋体"/>
          <w:color w:val="000000" w:themeColor="text1"/>
          <w:sz w:val="32"/>
          <w:szCs w:val="32"/>
          <w14:textFill>
            <w14:solidFill>
              <w14:schemeClr w14:val="tx1"/>
            </w14:solidFill>
          </w14:textFill>
        </w:rPr>
        <w:t>好党支部捐赠款</w:t>
      </w:r>
      <w:r>
        <w:rPr>
          <w:rFonts w:hint="eastAsia" w:ascii="方正仿宋简体" w:hAnsi="方正仿宋简体" w:eastAsia="方正仿宋简体" w:cs="方正仿宋简体"/>
          <w:color w:val="000000" w:themeColor="text1"/>
          <w:sz w:val="32"/>
          <w:szCs w:val="32"/>
          <w14:textFill>
            <w14:solidFill>
              <w14:schemeClr w14:val="tx1"/>
            </w14:solidFill>
          </w14:textFill>
        </w:rPr>
        <w:t>2万元。</w:t>
      </w:r>
    </w:p>
    <w:p>
      <w:pPr>
        <w:spacing w:line="560" w:lineRule="exact"/>
        <w:ind w:firstLine="643" w:firstLineChars="200"/>
        <w:jc w:val="left"/>
        <w:outlineLvl w:val="1"/>
        <w:rPr>
          <w:rFonts w:ascii="楷体" w:hAnsi="楷体" w:eastAsia="楷体" w:cs="楷体"/>
          <w:b/>
          <w:sz w:val="32"/>
          <w:szCs w:val="32"/>
        </w:rPr>
      </w:pPr>
      <w:bookmarkStart w:id="14" w:name="_Toc3647"/>
      <w:r>
        <w:rPr>
          <w:rFonts w:hint="eastAsia" w:ascii="楷体" w:hAnsi="楷体" w:eastAsia="楷体" w:cs="楷体"/>
          <w:b/>
          <w:sz w:val="32"/>
          <w:szCs w:val="32"/>
        </w:rPr>
        <w:t>（二）部门单位整体支出绩效指标完成情况分析</w:t>
      </w:r>
      <w:bookmarkEnd w:id="14"/>
    </w:p>
    <w:p>
      <w:pPr>
        <w:snapToGrid w:val="0"/>
        <w:spacing w:line="560" w:lineRule="exact"/>
        <w:ind w:firstLine="640" w:firstLineChars="200"/>
        <w:rPr>
          <w:rFonts w:ascii="仿宋_GB2312" w:hAnsi="仿宋_GB2312" w:eastAsia="仿宋_GB2312" w:cs="仿宋_GB2312"/>
          <w:bCs/>
          <w:color w:val="000000"/>
          <w:sz w:val="32"/>
          <w:szCs w:val="32"/>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年初我单位设置部门整体绩效目标中包括一级指标1个（履职效能）二级指标2个，三级指标6个，指标完成情况分析如下</w:t>
      </w:r>
      <w:r>
        <w:rPr>
          <w:rFonts w:hint="eastAsia" w:ascii="仿宋_GB2312" w:hAnsi="仿宋_GB2312" w:eastAsia="仿宋_GB2312" w:cs="仿宋_GB2312"/>
          <w:color w:val="000000"/>
        </w:rPr>
        <w:t>：</w:t>
      </w:r>
    </w:p>
    <w:p>
      <w:pPr>
        <w:snapToGrid w:val="0"/>
        <w:spacing w:line="560" w:lineRule="exact"/>
        <w:ind w:firstLine="321" w:firstLineChars="100"/>
        <w:rPr>
          <w:rFonts w:ascii="仿宋_GB2312" w:hAnsi="宋体" w:eastAsia="仿宋_GB2312"/>
          <w:b/>
          <w:sz w:val="32"/>
          <w:szCs w:val="32"/>
        </w:rPr>
      </w:pPr>
      <w:r>
        <w:rPr>
          <w:rFonts w:hint="eastAsia" w:ascii="宋体" w:hAnsi="宋体" w:eastAsia="宋体" w:cs="宋体"/>
          <w:b/>
          <w:sz w:val="32"/>
          <w:szCs w:val="32"/>
        </w:rPr>
        <w:t>1.</w:t>
      </w:r>
      <w:r>
        <w:rPr>
          <w:rFonts w:ascii="仿宋_GB2312" w:hAnsi="宋体" w:eastAsia="仿宋_GB2312"/>
          <w:b/>
          <w:sz w:val="32"/>
          <w:szCs w:val="32"/>
        </w:rPr>
        <w:t>履职</w:t>
      </w:r>
      <w:r>
        <w:rPr>
          <w:rFonts w:ascii="楷体" w:hAnsi="楷体" w:eastAsia="楷体" w:cs="楷体"/>
          <w:b/>
          <w:sz w:val="32"/>
          <w:szCs w:val="32"/>
        </w:rPr>
        <w:t>效能</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color w:val="000000"/>
          <w:kern w:val="0"/>
          <w:sz w:val="32"/>
          <w:szCs w:val="32"/>
        </w:rPr>
        <w:t>（</w:t>
      </w:r>
      <w:r>
        <w:rPr>
          <w:rFonts w:hint="eastAsia" w:eastAsia="仿宋_GB2312" w:cs="仿宋_GB2312"/>
          <w:color w:val="000000"/>
          <w:kern w:val="0"/>
          <w:sz w:val="32"/>
          <w:szCs w:val="32"/>
        </w:rPr>
        <w:t>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sz w:val="32"/>
          <w:szCs w:val="32"/>
        </w:rPr>
        <w:t>数量指标</w:t>
      </w:r>
    </w:p>
    <w:p>
      <w:pPr>
        <w:spacing w:line="560" w:lineRule="exact"/>
        <w:ind w:firstLine="640"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指标1：教研活动开展次数 指标值：</w:t>
      </w:r>
      <w:r>
        <w:rPr>
          <w:rFonts w:ascii="方正仿宋简体" w:hAnsi="方正仿宋简体" w:eastAsia="方正仿宋简体" w:cs="方正仿宋简体"/>
          <w:color w:val="000000" w:themeColor="text1"/>
          <w:sz w:val="32"/>
          <w:szCs w:val="32"/>
          <w14:textFill>
            <w14:solidFill>
              <w14:schemeClr w14:val="tx1"/>
            </w14:solidFill>
          </w14:textFill>
        </w:rPr>
        <w:t>&gt;=</w:t>
      </w:r>
      <w:r>
        <w:rPr>
          <w:rFonts w:hint="eastAsia" w:ascii="方正仿宋简体" w:hAnsi="方正仿宋简体" w:eastAsia="方正仿宋简体" w:cs="方正仿宋简体"/>
          <w:color w:val="000000" w:themeColor="text1"/>
          <w:sz w:val="32"/>
          <w:szCs w:val="32"/>
          <w14:textFill>
            <w14:solidFill>
              <w14:schemeClr w14:val="tx1"/>
            </w14:solidFill>
          </w14:textFill>
        </w:rPr>
        <w:t>4次，年中监控完成值：2次，自评完成值：</w:t>
      </w:r>
      <w:r>
        <w:rPr>
          <w:rFonts w:ascii="方正仿宋简体" w:hAnsi="方正仿宋简体" w:eastAsia="方正仿宋简体" w:cs="方正仿宋简体"/>
          <w:color w:val="000000" w:themeColor="text1"/>
          <w:sz w:val="32"/>
          <w:szCs w:val="32"/>
          <w14:textFill>
            <w14:solidFill>
              <w14:schemeClr w14:val="tx1"/>
            </w14:solidFill>
          </w14:textFill>
        </w:rPr>
        <w:t>4</w:t>
      </w:r>
      <w:r>
        <w:rPr>
          <w:rFonts w:hint="eastAsia" w:ascii="方正仿宋简体" w:hAnsi="方正仿宋简体" w:eastAsia="方正仿宋简体" w:cs="方正仿宋简体"/>
          <w:color w:val="000000" w:themeColor="text1"/>
          <w:sz w:val="32"/>
          <w:szCs w:val="32"/>
          <w14:textFill>
            <w14:solidFill>
              <w14:schemeClr w14:val="tx1"/>
            </w14:solidFill>
          </w14:textFill>
        </w:rPr>
        <w:t>次，指标完成率1</w:t>
      </w:r>
      <w:r>
        <w:rPr>
          <w:rFonts w:ascii="方正仿宋简体" w:hAnsi="方正仿宋简体" w:eastAsia="方正仿宋简体" w:cs="方正仿宋简体"/>
          <w:color w:val="000000" w:themeColor="text1"/>
          <w:sz w:val="32"/>
          <w:szCs w:val="32"/>
          <w14:textFill>
            <w14:solidFill>
              <w14:schemeClr w14:val="tx1"/>
            </w14:solidFill>
          </w14:textFill>
        </w:rPr>
        <w:t>00</w:t>
      </w:r>
      <w:r>
        <w:rPr>
          <w:rFonts w:hint="eastAsia" w:ascii="方正仿宋简体" w:hAnsi="方正仿宋简体" w:eastAsia="方正仿宋简体" w:cs="方正仿宋简体"/>
          <w:color w:val="000000" w:themeColor="text1"/>
          <w:sz w:val="32"/>
          <w:szCs w:val="32"/>
          <w14:textFill>
            <w14:solidFill>
              <w14:schemeClr w14:val="tx1"/>
            </w14:solidFill>
          </w14:textFill>
        </w:rPr>
        <w:t>%，偏差率0</w:t>
      </w:r>
      <w:r>
        <w:rPr>
          <w:rFonts w:ascii="方正仿宋简体" w:hAnsi="方正仿宋简体" w:eastAsia="方正仿宋简体" w:cs="方正仿宋简体"/>
          <w:color w:val="000000" w:themeColor="text1"/>
          <w:sz w:val="32"/>
          <w:szCs w:val="32"/>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，指标成效分析：通过开展教研活动，有效提升教师教育教学能力，促进霍尔果斯市教育发展</w:t>
      </w:r>
    </w:p>
    <w:p>
      <w:pPr>
        <w:spacing w:line="560" w:lineRule="exact"/>
        <w:ind w:firstLine="640"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指标2：法制宣传教育次数，指标值：</w:t>
      </w:r>
      <w:r>
        <w:rPr>
          <w:rFonts w:ascii="方正仿宋简体" w:hAnsi="方正仿宋简体" w:eastAsia="方正仿宋简体" w:cs="方正仿宋简体"/>
          <w:color w:val="000000" w:themeColor="text1"/>
          <w:sz w:val="32"/>
          <w:szCs w:val="32"/>
          <w14:textFill>
            <w14:solidFill>
              <w14:schemeClr w14:val="tx1"/>
            </w14:solidFill>
          </w14:textFill>
        </w:rPr>
        <w:t>&gt;=</w:t>
      </w:r>
      <w:r>
        <w:rPr>
          <w:rFonts w:hint="eastAsia" w:ascii="方正仿宋简体" w:hAnsi="方正仿宋简体" w:eastAsia="方正仿宋简体" w:cs="方正仿宋简体"/>
          <w:color w:val="000000" w:themeColor="text1"/>
          <w:sz w:val="32"/>
          <w:szCs w:val="32"/>
          <w14:textFill>
            <w14:solidFill>
              <w14:schemeClr w14:val="tx1"/>
            </w14:solidFill>
          </w14:textFill>
        </w:rPr>
        <w:t>4次，年中监控完成值：2次，自评完成值：</w:t>
      </w:r>
      <w:r>
        <w:rPr>
          <w:rFonts w:ascii="方正仿宋简体" w:hAnsi="方正仿宋简体" w:eastAsia="方正仿宋简体" w:cs="方正仿宋简体"/>
          <w:color w:val="000000" w:themeColor="text1"/>
          <w:sz w:val="32"/>
          <w:szCs w:val="32"/>
          <w14:textFill>
            <w14:solidFill>
              <w14:schemeClr w14:val="tx1"/>
            </w14:solidFill>
          </w14:textFill>
        </w:rPr>
        <w:t>4</w:t>
      </w:r>
      <w:r>
        <w:rPr>
          <w:rFonts w:hint="eastAsia" w:ascii="方正仿宋简体" w:hAnsi="方正仿宋简体" w:eastAsia="方正仿宋简体" w:cs="方正仿宋简体"/>
          <w:color w:val="000000" w:themeColor="text1"/>
          <w:sz w:val="32"/>
          <w:szCs w:val="32"/>
          <w14:textFill>
            <w14:solidFill>
              <w14:schemeClr w14:val="tx1"/>
            </w14:solidFill>
          </w14:textFill>
        </w:rPr>
        <w:t>次，指标完成率</w:t>
      </w:r>
      <w:r>
        <w:rPr>
          <w:rFonts w:ascii="方正仿宋简体" w:hAnsi="方正仿宋简体" w:eastAsia="方正仿宋简体" w:cs="方正仿宋简体"/>
          <w:color w:val="000000" w:themeColor="text1"/>
          <w:sz w:val="32"/>
          <w:szCs w:val="32"/>
          <w14:textFill>
            <w14:solidFill>
              <w14:schemeClr w14:val="tx1"/>
            </w14:solidFill>
          </w14:textFill>
        </w:rPr>
        <w:t>100</w:t>
      </w:r>
      <w:r>
        <w:rPr>
          <w:rFonts w:hint="eastAsia" w:ascii="方正仿宋简体" w:hAnsi="方正仿宋简体" w:eastAsia="方正仿宋简体" w:cs="方正仿宋简体"/>
          <w:color w:val="000000" w:themeColor="text1"/>
          <w:sz w:val="32"/>
          <w:szCs w:val="32"/>
          <w14:textFill>
            <w14:solidFill>
              <w14:schemeClr w14:val="tx1"/>
            </w14:solidFill>
          </w14:textFill>
        </w:rPr>
        <w:t>%，偏差率0</w:t>
      </w:r>
      <w:r>
        <w:rPr>
          <w:rFonts w:ascii="方正仿宋简体" w:hAnsi="方正仿宋简体" w:eastAsia="方正仿宋简体" w:cs="方正仿宋简体"/>
          <w:color w:val="000000" w:themeColor="text1"/>
          <w:sz w:val="32"/>
          <w:szCs w:val="32"/>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，指标成效分析：通过完成法制宣传活动，有效提升教师与幼儿法制意识，达到教师幼儿重视法治的氛围。</w:t>
      </w:r>
    </w:p>
    <w:p>
      <w:pPr>
        <w:spacing w:line="560" w:lineRule="exact"/>
        <w:ind w:firstLine="640"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指标</w:t>
      </w:r>
      <w:r>
        <w:rPr>
          <w:rFonts w:ascii="方正仿宋简体" w:hAnsi="方正仿宋简体" w:eastAsia="方正仿宋简体" w:cs="方正仿宋简体"/>
          <w:color w:val="000000" w:themeColor="text1"/>
          <w:sz w:val="32"/>
          <w:szCs w:val="32"/>
          <w14:textFill>
            <w14:solidFill>
              <w14:schemeClr w14:val="tx1"/>
            </w14:solidFill>
          </w14:textFill>
        </w:rPr>
        <w:t>3</w:t>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：教师普通话达标率，指标值： </w:t>
      </w:r>
      <w:r>
        <w:rPr>
          <w:rFonts w:ascii="方正仿宋简体" w:hAnsi="方正仿宋简体" w:eastAsia="方正仿宋简体" w:cs="方正仿宋简体"/>
          <w:color w:val="000000" w:themeColor="text1"/>
          <w:sz w:val="32"/>
          <w:szCs w:val="32"/>
          <w14:textFill>
            <w14:solidFill>
              <w14:schemeClr w14:val="tx1"/>
            </w14:solidFill>
          </w14:textFill>
        </w:rPr>
        <w:t>=100%</w:t>
      </w: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  ，年中监控完成值：</w:t>
      </w:r>
      <w:r>
        <w:rPr>
          <w:rFonts w:ascii="方正仿宋简体" w:hAnsi="方正仿宋简体" w:eastAsia="方正仿宋简体" w:cs="方正仿宋简体"/>
          <w:color w:val="000000" w:themeColor="text1"/>
          <w:sz w:val="32"/>
          <w:szCs w:val="32"/>
          <w14:textFill>
            <w14:solidFill>
              <w14:schemeClr w14:val="tx1"/>
            </w14:solidFill>
          </w14:textFill>
        </w:rPr>
        <w:t>100</w:t>
      </w:r>
      <w:r>
        <w:rPr>
          <w:rFonts w:hint="eastAsia" w:ascii="方正仿宋简体" w:hAnsi="方正仿宋简体" w:eastAsia="方正仿宋简体" w:cs="方正仿宋简体"/>
          <w:color w:val="000000" w:themeColor="text1"/>
          <w:sz w:val="32"/>
          <w:szCs w:val="32"/>
          <w14:textFill>
            <w14:solidFill>
              <w14:schemeClr w14:val="tx1"/>
            </w14:solidFill>
          </w14:textFill>
        </w:rPr>
        <w:t>%，自评完成值：</w:t>
      </w:r>
      <w:r>
        <w:rPr>
          <w:rFonts w:ascii="方正仿宋简体" w:hAnsi="方正仿宋简体" w:eastAsia="方正仿宋简体" w:cs="方正仿宋简体"/>
          <w:color w:val="000000" w:themeColor="text1"/>
          <w:sz w:val="32"/>
          <w:szCs w:val="32"/>
          <w14:textFill>
            <w14:solidFill>
              <w14:schemeClr w14:val="tx1"/>
            </w14:solidFill>
          </w14:textFill>
        </w:rPr>
        <w:t>100</w:t>
      </w:r>
      <w:r>
        <w:rPr>
          <w:rFonts w:hint="eastAsia" w:ascii="方正仿宋简体" w:hAnsi="方正仿宋简体" w:eastAsia="方正仿宋简体" w:cs="方正仿宋简体"/>
          <w:color w:val="000000" w:themeColor="text1"/>
          <w:sz w:val="32"/>
          <w:szCs w:val="32"/>
          <w14:textFill>
            <w14:solidFill>
              <w14:schemeClr w14:val="tx1"/>
            </w14:solidFill>
          </w14:textFill>
        </w:rPr>
        <w:t>%，指标完成率1</w:t>
      </w:r>
      <w:r>
        <w:rPr>
          <w:rFonts w:ascii="方正仿宋简体" w:hAnsi="方正仿宋简体" w:eastAsia="方正仿宋简体" w:cs="方正仿宋简体"/>
          <w:color w:val="000000" w:themeColor="text1"/>
          <w:sz w:val="32"/>
          <w:szCs w:val="32"/>
          <w14:textFill>
            <w14:solidFill>
              <w14:schemeClr w14:val="tx1"/>
            </w14:solidFill>
          </w14:textFill>
        </w:rPr>
        <w:t>00%</w:t>
      </w:r>
      <w:r>
        <w:rPr>
          <w:rFonts w:hint="eastAsia" w:ascii="方正仿宋简体" w:hAnsi="方正仿宋简体" w:eastAsia="方正仿宋简体" w:cs="方正仿宋简体"/>
          <w:color w:val="000000" w:themeColor="text1"/>
          <w:sz w:val="32"/>
          <w:szCs w:val="32"/>
          <w14:textFill>
            <w14:solidFill>
              <w14:schemeClr w14:val="tx1"/>
            </w14:solidFill>
          </w14:textFill>
        </w:rPr>
        <w:t>，偏差率0</w:t>
      </w:r>
      <w:r>
        <w:rPr>
          <w:rFonts w:ascii="方正仿宋简体" w:hAnsi="方正仿宋简体" w:eastAsia="方正仿宋简体" w:cs="方正仿宋简体"/>
          <w:color w:val="000000" w:themeColor="text1"/>
          <w:sz w:val="32"/>
          <w:szCs w:val="32"/>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，指标成效分析：通过完成教师普通话达标率工作，有效改善与提升教师教育教学能力，为幼儿树立规范语言榜样。</w:t>
      </w:r>
    </w:p>
    <w:p>
      <w:pPr>
        <w:spacing w:line="560" w:lineRule="exact"/>
        <w:ind w:firstLine="640"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指标</w:t>
      </w:r>
      <w:r>
        <w:rPr>
          <w:rFonts w:ascii="方正仿宋简体" w:hAnsi="方正仿宋简体" w:eastAsia="方正仿宋简体" w:cs="方正仿宋简体"/>
          <w:color w:val="000000" w:themeColor="text1"/>
          <w:sz w:val="32"/>
          <w:szCs w:val="32"/>
          <w14:textFill>
            <w14:solidFill>
              <w14:schemeClr w14:val="tx1"/>
            </w14:solidFill>
          </w14:textFill>
        </w:rPr>
        <w:t>4</w:t>
      </w:r>
      <w:r>
        <w:rPr>
          <w:rFonts w:hint="eastAsia" w:ascii="方正仿宋简体" w:hAnsi="方正仿宋简体" w:eastAsia="方正仿宋简体" w:cs="方正仿宋简体"/>
          <w:color w:val="000000" w:themeColor="text1"/>
          <w:sz w:val="32"/>
          <w:szCs w:val="32"/>
          <w14:textFill>
            <w14:solidFill>
              <w14:schemeClr w14:val="tx1"/>
            </w14:solidFill>
          </w14:textFill>
        </w:rPr>
        <w:t>：联盟捆绑开展覆盖率，指标值：</w:t>
      </w:r>
      <w:r>
        <w:rPr>
          <w:rFonts w:ascii="方正仿宋简体" w:hAnsi="方正仿宋简体" w:eastAsia="方正仿宋简体" w:cs="方正仿宋简体"/>
          <w:color w:val="000000" w:themeColor="text1"/>
          <w:sz w:val="32"/>
          <w:szCs w:val="32"/>
          <w14:textFill>
            <w14:solidFill>
              <w14:schemeClr w14:val="tx1"/>
            </w14:solidFill>
          </w14:textFill>
        </w:rPr>
        <w:t>&gt;=</w:t>
      </w:r>
      <w:r>
        <w:rPr>
          <w:rFonts w:hint="eastAsia" w:ascii="方正仿宋简体" w:hAnsi="方正仿宋简体" w:eastAsia="方正仿宋简体" w:cs="方正仿宋简体"/>
          <w:color w:val="000000" w:themeColor="text1"/>
          <w:sz w:val="32"/>
          <w:szCs w:val="32"/>
          <w14:textFill>
            <w14:solidFill>
              <w14:schemeClr w14:val="tx1"/>
            </w14:solidFill>
          </w14:textFill>
        </w:rPr>
        <w:t>2次，年中监控完成值：</w:t>
      </w:r>
      <w:bookmarkStart w:id="15" w:name="OLE_LINK12"/>
      <w:r>
        <w:rPr>
          <w:rFonts w:hint="eastAsia" w:ascii="方正仿宋简体" w:hAnsi="方正仿宋简体" w:eastAsia="方正仿宋简体" w:cs="方正仿宋简体"/>
          <w:color w:val="000000" w:themeColor="text1"/>
          <w:sz w:val="32"/>
          <w:szCs w:val="32"/>
          <w14:textFill>
            <w14:solidFill>
              <w14:schemeClr w14:val="tx1"/>
            </w14:solidFill>
          </w14:textFill>
        </w:rPr>
        <w:t>1次</w:t>
      </w:r>
      <w:bookmarkEnd w:id="15"/>
      <w:r>
        <w:rPr>
          <w:rFonts w:hint="eastAsia" w:ascii="方正仿宋简体" w:hAnsi="方正仿宋简体" w:eastAsia="方正仿宋简体" w:cs="方正仿宋简体"/>
          <w:color w:val="000000" w:themeColor="text1"/>
          <w:sz w:val="32"/>
          <w:szCs w:val="32"/>
          <w14:textFill>
            <w14:solidFill>
              <w14:schemeClr w14:val="tx1"/>
            </w14:solidFill>
          </w14:textFill>
        </w:rPr>
        <w:t>，自评完成值：2次，指标完成率1</w:t>
      </w:r>
      <w:r>
        <w:rPr>
          <w:rFonts w:ascii="方正仿宋简体" w:hAnsi="方正仿宋简体" w:eastAsia="方正仿宋简体" w:cs="方正仿宋简体"/>
          <w:color w:val="000000" w:themeColor="text1"/>
          <w:sz w:val="32"/>
          <w:szCs w:val="32"/>
          <w14:textFill>
            <w14:solidFill>
              <w14:schemeClr w14:val="tx1"/>
            </w14:solidFill>
          </w14:textFill>
        </w:rPr>
        <w:t>00%</w:t>
      </w:r>
      <w:r>
        <w:rPr>
          <w:rFonts w:hint="eastAsia" w:ascii="方正仿宋简体" w:hAnsi="方正仿宋简体" w:eastAsia="方正仿宋简体" w:cs="方正仿宋简体"/>
          <w:color w:val="000000" w:themeColor="text1"/>
          <w:sz w:val="32"/>
          <w:szCs w:val="32"/>
          <w14:textFill>
            <w14:solidFill>
              <w14:schemeClr w14:val="tx1"/>
            </w14:solidFill>
          </w14:textFill>
        </w:rPr>
        <w:t>，偏差率0</w:t>
      </w:r>
      <w:r>
        <w:rPr>
          <w:rFonts w:ascii="方正仿宋简体" w:hAnsi="方正仿宋简体" w:eastAsia="方正仿宋简体" w:cs="方正仿宋简体"/>
          <w:color w:val="000000" w:themeColor="text1"/>
          <w:sz w:val="32"/>
          <w:szCs w:val="32"/>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，指标成效分析：通过完成教师普通话达标率工作，有效改善与提升教师教育教学能力，各同仁之间取长补短。</w:t>
      </w:r>
    </w:p>
    <w:p>
      <w:pPr>
        <w:spacing w:line="560" w:lineRule="exact"/>
        <w:ind w:firstLine="640"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 xml:space="preserve">（2）质量指标 </w:t>
      </w:r>
    </w:p>
    <w:p>
      <w:pPr>
        <w:spacing w:line="560" w:lineRule="exact"/>
        <w:ind w:firstLine="640" w:firstLineChars="200"/>
        <w:rPr>
          <w:rFonts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指标1：教师培训覆盖率，指标值：</w:t>
      </w:r>
      <w:r>
        <w:rPr>
          <w:rFonts w:ascii="方正仿宋简体" w:hAnsi="方正仿宋简体" w:eastAsia="方正仿宋简体" w:cs="方正仿宋简体"/>
          <w:color w:val="000000" w:themeColor="text1"/>
          <w:sz w:val="32"/>
          <w:szCs w:val="32"/>
          <w14:textFill>
            <w14:solidFill>
              <w14:schemeClr w14:val="tx1"/>
            </w14:solidFill>
          </w14:textFill>
        </w:rPr>
        <w:t>&gt;=90%</w:t>
      </w:r>
      <w:r>
        <w:rPr>
          <w:rFonts w:hint="eastAsia" w:ascii="方正仿宋简体" w:hAnsi="方正仿宋简体" w:eastAsia="方正仿宋简体" w:cs="方正仿宋简体"/>
          <w:color w:val="000000" w:themeColor="text1"/>
          <w:sz w:val="32"/>
          <w:szCs w:val="32"/>
          <w14:textFill>
            <w14:solidFill>
              <w14:schemeClr w14:val="tx1"/>
            </w14:solidFill>
          </w14:textFill>
        </w:rPr>
        <w:t>，年中监控完成值：</w:t>
      </w:r>
      <w:r>
        <w:rPr>
          <w:rFonts w:ascii="方正仿宋简体" w:hAnsi="方正仿宋简体" w:eastAsia="方正仿宋简体" w:cs="方正仿宋简体"/>
          <w:color w:val="000000" w:themeColor="text1"/>
          <w:sz w:val="32"/>
          <w:szCs w:val="32"/>
          <w14:textFill>
            <w14:solidFill>
              <w14:schemeClr w14:val="tx1"/>
            </w14:solidFill>
          </w14:textFill>
        </w:rPr>
        <w:t>100</w:t>
      </w:r>
      <w:r>
        <w:rPr>
          <w:rFonts w:hint="eastAsia" w:ascii="方正仿宋简体" w:hAnsi="方正仿宋简体" w:eastAsia="方正仿宋简体" w:cs="方正仿宋简体"/>
          <w:color w:val="000000" w:themeColor="text1"/>
          <w:sz w:val="32"/>
          <w:szCs w:val="32"/>
          <w14:textFill>
            <w14:solidFill>
              <w14:schemeClr w14:val="tx1"/>
            </w14:solidFill>
          </w14:textFill>
        </w:rPr>
        <w:t>%，自评完成值</w:t>
      </w:r>
      <w:r>
        <w:rPr>
          <w:rFonts w:ascii="方正仿宋简体" w:hAnsi="方正仿宋简体" w:eastAsia="方正仿宋简体" w:cs="方正仿宋简体"/>
          <w:color w:val="000000" w:themeColor="text1"/>
          <w:sz w:val="32"/>
          <w:szCs w:val="32"/>
          <w14:textFill>
            <w14:solidFill>
              <w14:schemeClr w14:val="tx1"/>
            </w14:solidFill>
          </w14:textFill>
        </w:rPr>
        <w:t>90</w:t>
      </w:r>
      <w:r>
        <w:rPr>
          <w:rFonts w:hint="eastAsia" w:ascii="方正仿宋简体" w:hAnsi="方正仿宋简体" w:eastAsia="方正仿宋简体" w:cs="方正仿宋简体"/>
          <w:color w:val="000000" w:themeColor="text1"/>
          <w:sz w:val="32"/>
          <w:szCs w:val="32"/>
          <w14:textFill>
            <w14:solidFill>
              <w14:schemeClr w14:val="tx1"/>
            </w14:solidFill>
          </w14:textFill>
        </w:rPr>
        <w:t>% ，指标完成率</w:t>
      </w:r>
      <w:r>
        <w:rPr>
          <w:rFonts w:ascii="方正仿宋简体" w:hAnsi="方正仿宋简体" w:eastAsia="方正仿宋简体" w:cs="方正仿宋简体"/>
          <w:color w:val="000000" w:themeColor="text1"/>
          <w:sz w:val="32"/>
          <w:szCs w:val="32"/>
          <w14:textFill>
            <w14:solidFill>
              <w14:schemeClr w14:val="tx1"/>
            </w14:solidFill>
          </w14:textFill>
        </w:rPr>
        <w:t>100</w:t>
      </w:r>
      <w:r>
        <w:rPr>
          <w:rFonts w:hint="eastAsia" w:ascii="方正仿宋简体" w:hAnsi="方正仿宋简体" w:eastAsia="方正仿宋简体" w:cs="方正仿宋简体"/>
          <w:color w:val="000000" w:themeColor="text1"/>
          <w:sz w:val="32"/>
          <w:szCs w:val="32"/>
          <w14:textFill>
            <w14:solidFill>
              <w14:schemeClr w14:val="tx1"/>
            </w14:solidFill>
          </w14:textFill>
        </w:rPr>
        <w:t>%，偏差率：</w:t>
      </w:r>
      <w:r>
        <w:rPr>
          <w:rFonts w:ascii="方正仿宋简体" w:hAnsi="方正仿宋简体" w:eastAsia="方正仿宋简体" w:cs="方正仿宋简体"/>
          <w:color w:val="000000" w:themeColor="text1"/>
          <w:sz w:val="32"/>
          <w:szCs w:val="32"/>
          <w14:textFill>
            <w14:solidFill>
              <w14:schemeClr w14:val="tx1"/>
            </w14:solidFill>
          </w14:textFill>
        </w:rPr>
        <w:t>0%</w:t>
      </w:r>
      <w:r>
        <w:rPr>
          <w:rFonts w:hint="eastAsia" w:ascii="方正仿宋简体" w:hAnsi="方正仿宋简体" w:eastAsia="方正仿宋简体" w:cs="方正仿宋简体"/>
          <w:color w:val="000000" w:themeColor="text1"/>
          <w:sz w:val="32"/>
          <w:szCs w:val="32"/>
          <w14:textFill>
            <w14:solidFill>
              <w14:schemeClr w14:val="tx1"/>
            </w14:solidFill>
          </w14:textFill>
        </w:rPr>
        <w:t>，偏差原因及改进措施：无，指标成效分析：通过完成教师培训工作，有效提升教育发展水平，促进霍尔果斯市教育发展。</w:t>
      </w:r>
    </w:p>
    <w:p>
      <w:pPr>
        <w:spacing w:line="560" w:lineRule="exact"/>
        <w:ind w:firstLine="640" w:firstLineChars="200"/>
        <w:rPr>
          <w:rFonts w:ascii="仿宋_GB2312" w:hAnsi="仿宋_GB2312" w:eastAsia="仿宋_GB2312" w:cs="仿宋_GB2312"/>
          <w:bCs/>
          <w:color w:val="000000"/>
          <w:sz w:val="32"/>
          <w:szCs w:val="32"/>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指标2：</w:t>
      </w:r>
      <w:bookmarkStart w:id="16" w:name="OLE_LINK13"/>
      <w:r>
        <w:rPr>
          <w:rFonts w:hint="eastAsia" w:ascii="方正仿宋简体" w:hAnsi="方正仿宋简体" w:eastAsia="方正仿宋简体" w:cs="方正仿宋简体"/>
          <w:color w:val="000000" w:themeColor="text1"/>
          <w:sz w:val="32"/>
          <w:szCs w:val="32"/>
          <w14:textFill>
            <w14:solidFill>
              <w14:schemeClr w14:val="tx1"/>
            </w14:solidFill>
          </w14:textFill>
        </w:rPr>
        <w:t>幼小衔接</w:t>
      </w:r>
      <w:bookmarkEnd w:id="16"/>
      <w:r>
        <w:rPr>
          <w:rFonts w:hint="eastAsia" w:ascii="方正仿宋简体" w:hAnsi="方正仿宋简体" w:eastAsia="方正仿宋简体" w:cs="方正仿宋简体"/>
          <w:color w:val="000000" w:themeColor="text1"/>
          <w:sz w:val="32"/>
          <w:szCs w:val="32"/>
          <w14:textFill>
            <w14:solidFill>
              <w14:schemeClr w14:val="tx1"/>
            </w14:solidFill>
          </w14:textFill>
        </w:rPr>
        <w:t>巩固率，指标值：</w:t>
      </w:r>
      <w:r>
        <w:rPr>
          <w:rFonts w:ascii="方正仿宋简体" w:hAnsi="方正仿宋简体" w:eastAsia="方正仿宋简体" w:cs="方正仿宋简体"/>
          <w:color w:val="000000" w:themeColor="text1"/>
          <w:sz w:val="32"/>
          <w:szCs w:val="32"/>
          <w14:textFill>
            <w14:solidFill>
              <w14:schemeClr w14:val="tx1"/>
            </w14:solidFill>
          </w14:textFill>
        </w:rPr>
        <w:t>&gt;=95%</w:t>
      </w:r>
      <w:r>
        <w:rPr>
          <w:rFonts w:hint="eastAsia" w:ascii="方正仿宋简体" w:hAnsi="方正仿宋简体" w:eastAsia="方正仿宋简体" w:cs="方正仿宋简体"/>
          <w:color w:val="000000" w:themeColor="text1"/>
          <w:sz w:val="32"/>
          <w:szCs w:val="32"/>
          <w14:textFill>
            <w14:solidFill>
              <w14:schemeClr w14:val="tx1"/>
            </w14:solidFill>
          </w14:textFill>
        </w:rPr>
        <w:t>，年中监控完成值：9</w:t>
      </w:r>
      <w:r>
        <w:rPr>
          <w:rFonts w:ascii="方正仿宋简体" w:hAnsi="方正仿宋简体" w:eastAsia="方正仿宋简体" w:cs="方正仿宋简体"/>
          <w:color w:val="000000" w:themeColor="text1"/>
          <w:sz w:val="32"/>
          <w:szCs w:val="32"/>
          <w14:textFill>
            <w14:solidFill>
              <w14:schemeClr w14:val="tx1"/>
            </w14:solidFill>
          </w14:textFill>
        </w:rPr>
        <w:t>5</w:t>
      </w:r>
      <w:r>
        <w:rPr>
          <w:rFonts w:hint="eastAsia" w:ascii="方正仿宋简体" w:hAnsi="方正仿宋简体" w:eastAsia="方正仿宋简体" w:cs="方正仿宋简体"/>
          <w:color w:val="000000" w:themeColor="text1"/>
          <w:sz w:val="32"/>
          <w:szCs w:val="32"/>
          <w14:textFill>
            <w14:solidFill>
              <w14:schemeClr w14:val="tx1"/>
            </w14:solidFill>
          </w14:textFill>
        </w:rPr>
        <w:t>%，自评完成值＞=</w:t>
      </w:r>
      <w:r>
        <w:rPr>
          <w:rFonts w:ascii="方正仿宋简体" w:hAnsi="方正仿宋简体" w:eastAsia="方正仿宋简体" w:cs="方正仿宋简体"/>
          <w:color w:val="000000" w:themeColor="text1"/>
          <w:sz w:val="32"/>
          <w:szCs w:val="32"/>
          <w14:textFill>
            <w14:solidFill>
              <w14:schemeClr w14:val="tx1"/>
            </w14:solidFill>
          </w14:textFill>
        </w:rPr>
        <w:t>95</w:t>
      </w:r>
      <w:r>
        <w:rPr>
          <w:rFonts w:hint="eastAsia" w:ascii="方正仿宋简体" w:hAnsi="方正仿宋简体" w:eastAsia="方正仿宋简体" w:cs="方正仿宋简体"/>
          <w:color w:val="000000" w:themeColor="text1"/>
          <w:sz w:val="32"/>
          <w:szCs w:val="32"/>
          <w14:textFill>
            <w14:solidFill>
              <w14:schemeClr w14:val="tx1"/>
            </w14:solidFill>
          </w14:textFill>
        </w:rPr>
        <w:t>% ，指标完成率1</w:t>
      </w:r>
      <w:r>
        <w:rPr>
          <w:rFonts w:ascii="方正仿宋简体" w:hAnsi="方正仿宋简体" w:eastAsia="方正仿宋简体" w:cs="方正仿宋简体"/>
          <w:color w:val="000000" w:themeColor="text1"/>
          <w:sz w:val="32"/>
          <w:szCs w:val="32"/>
          <w14:textFill>
            <w14:solidFill>
              <w14:schemeClr w14:val="tx1"/>
            </w14:solidFill>
          </w14:textFill>
        </w:rPr>
        <w:t>00</w:t>
      </w:r>
      <w:r>
        <w:rPr>
          <w:rFonts w:hint="eastAsia" w:ascii="方正仿宋简体" w:hAnsi="方正仿宋简体" w:eastAsia="方正仿宋简体" w:cs="方正仿宋简体"/>
          <w:color w:val="000000" w:themeColor="text1"/>
          <w:sz w:val="32"/>
          <w:szCs w:val="32"/>
          <w14:textFill>
            <w14:solidFill>
              <w14:schemeClr w14:val="tx1"/>
            </w14:solidFill>
          </w14:textFill>
        </w:rPr>
        <w:t>%，偏差率0</w:t>
      </w:r>
      <w:r>
        <w:rPr>
          <w:rFonts w:ascii="方正仿宋简体" w:hAnsi="方正仿宋简体" w:eastAsia="方正仿宋简体" w:cs="方正仿宋简体"/>
          <w:color w:val="000000" w:themeColor="text1"/>
          <w:sz w:val="32"/>
          <w:szCs w:val="32"/>
          <w14:textFill>
            <w14:solidFill>
              <w14:schemeClr w14:val="tx1"/>
            </w14:solidFill>
          </w14:textFill>
        </w:rPr>
        <w:t>%</w:t>
      </w:r>
      <w:r>
        <w:rPr>
          <w:rFonts w:hint="eastAsia" w:ascii="方正仿宋简体" w:hAnsi="方正仿宋简体" w:eastAsia="方正仿宋简体" w:cs="方正仿宋简体"/>
          <w:color w:val="000000" w:themeColor="text1"/>
          <w:sz w:val="32"/>
          <w:szCs w:val="32"/>
          <w14:textFill>
            <w14:solidFill>
              <w14:schemeClr w14:val="tx1"/>
            </w14:solidFill>
          </w14:textFill>
        </w:rPr>
        <w:t>，指标成效分析：通过完成幼小衔接工作，有效提升幼儿对小学的向往以及建立了时间观念，促进幼儿养成珍惜时间，按时完成小任务的意识。</w:t>
      </w:r>
    </w:p>
    <w:p>
      <w:pPr>
        <w:pStyle w:val="14"/>
        <w:snapToGrid w:val="0"/>
        <w:spacing w:line="540" w:lineRule="exact"/>
        <w:ind w:left="640" w:firstLine="0" w:firstLineChars="0"/>
        <w:rPr>
          <w:rStyle w:val="10"/>
          <w:rFonts w:ascii="黑体" w:hAnsi="黑体" w:eastAsia="黑体" w:cs="黑体"/>
          <w:bCs w:val="0"/>
          <w:spacing w:val="-4"/>
          <w:sz w:val="32"/>
          <w:szCs w:val="32"/>
        </w:rPr>
      </w:pPr>
      <w:r>
        <w:rPr>
          <w:rStyle w:val="10"/>
          <w:rFonts w:hint="eastAsia" w:ascii="黑体" w:hAnsi="黑体" w:eastAsia="黑体" w:cs="黑体"/>
          <w:bCs w:val="0"/>
          <w:spacing w:val="-4"/>
          <w:sz w:val="32"/>
          <w:szCs w:val="32"/>
        </w:rPr>
        <w:t>四、评价结论</w:t>
      </w:r>
    </w:p>
    <w:p>
      <w:pPr>
        <w:spacing w:line="560" w:lineRule="exact"/>
        <w:ind w:firstLine="640" w:firstLineChars="200"/>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2024年度部门整体支出绩效自评综合得分100分，评价结果为“优”。</w:t>
      </w:r>
    </w:p>
    <w:p>
      <w:pPr>
        <w:snapToGrid w:val="0"/>
        <w:spacing w:line="560" w:lineRule="exact"/>
        <w:ind w:left="1368" w:hanging="720"/>
        <w:outlineLvl w:val="0"/>
        <w:rPr>
          <w:rStyle w:val="10"/>
          <w:rFonts w:ascii="仿宋_GB2312" w:hAnsi="楷体" w:eastAsia="仿宋_GB2312" w:cs="Times New Roman"/>
          <w:b w:val="0"/>
          <w:spacing w:val="-4"/>
          <w:sz w:val="32"/>
          <w:szCs w:val="32"/>
        </w:rPr>
      </w:pPr>
      <w:bookmarkStart w:id="17" w:name="_Toc12815"/>
      <w:r>
        <w:rPr>
          <w:rFonts w:hint="eastAsia" w:ascii="黑体" w:hAnsi="黑体" w:eastAsia="黑体" w:cs="宋体"/>
          <w:bCs/>
          <w:color w:val="333333"/>
          <w:sz w:val="32"/>
          <w:szCs w:val="32"/>
        </w:rPr>
        <w:t>五</w:t>
      </w:r>
      <w:r>
        <w:rPr>
          <w:rFonts w:ascii="黑体" w:hAnsi="黑体" w:eastAsia="黑体" w:cs="宋体"/>
          <w:bCs/>
          <w:color w:val="333333"/>
          <w:sz w:val="32"/>
          <w:szCs w:val="32"/>
        </w:rPr>
        <w:t>、</w:t>
      </w:r>
      <w:r>
        <w:rPr>
          <w:rFonts w:hint="eastAsia" w:ascii="黑体" w:hAnsi="黑体" w:eastAsia="黑体" w:cs="宋体"/>
          <w:bCs/>
          <w:color w:val="333333"/>
          <w:sz w:val="32"/>
          <w:szCs w:val="32"/>
        </w:rPr>
        <w:t>存在的主要问题</w:t>
      </w:r>
      <w:bookmarkEnd w:id="17"/>
    </w:p>
    <w:p>
      <w:pPr>
        <w:widowControl/>
        <w:spacing w:line="560" w:lineRule="exact"/>
        <w:ind w:firstLine="643" w:firstLineChars="200"/>
        <w:jc w:val="left"/>
        <w:outlineLvl w:val="1"/>
        <w:rPr>
          <w:rFonts w:ascii="楷体" w:hAnsi="楷体" w:eastAsia="楷体" w:cs="楷体"/>
          <w:b/>
          <w:sz w:val="32"/>
          <w:szCs w:val="32"/>
        </w:rPr>
      </w:pPr>
      <w:bookmarkStart w:id="18" w:name="_Toc9758"/>
      <w:r>
        <w:rPr>
          <w:rFonts w:hint="eastAsia" w:ascii="楷体" w:hAnsi="楷体" w:eastAsia="楷体" w:cs="楷体"/>
          <w:b/>
          <w:sz w:val="32"/>
          <w:szCs w:val="32"/>
        </w:rPr>
        <w:t>（一）</w:t>
      </w:r>
      <w:bookmarkEnd w:id="18"/>
      <w:bookmarkStart w:id="19" w:name="_Toc2729"/>
      <w:r>
        <w:rPr>
          <w:rFonts w:hint="eastAsia" w:ascii="楷体" w:hAnsi="楷体" w:eastAsia="楷体" w:cs="楷体"/>
          <w:b/>
          <w:sz w:val="32"/>
          <w:szCs w:val="32"/>
        </w:rPr>
        <w:t>固定资产账务管理不够细致、严谨</w:t>
      </w:r>
      <w:bookmarkEnd w:id="19"/>
    </w:p>
    <w:p>
      <w:pPr>
        <w:spacing w:line="560" w:lineRule="exact"/>
        <w:ind w:firstLine="640" w:firstLineChars="200"/>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抽查发现，各单位固定资产账务管理普遍存在入账不及时、漏入、入账信息或资产台账未登记到具体使用人等问题。</w:t>
      </w:r>
    </w:p>
    <w:p>
      <w:pPr>
        <w:widowControl/>
        <w:spacing w:line="560" w:lineRule="exact"/>
        <w:ind w:firstLine="643" w:firstLineChars="200"/>
        <w:jc w:val="left"/>
        <w:outlineLvl w:val="1"/>
        <w:rPr>
          <w:rFonts w:ascii="楷体" w:hAnsi="楷体" w:eastAsia="楷体" w:cs="楷体"/>
          <w:b/>
          <w:sz w:val="32"/>
          <w:szCs w:val="32"/>
        </w:rPr>
      </w:pPr>
      <w:bookmarkStart w:id="20" w:name="_Toc14737"/>
      <w:r>
        <w:rPr>
          <w:rFonts w:hint="eastAsia" w:ascii="楷体" w:hAnsi="楷体" w:eastAsia="楷体" w:cs="楷体"/>
          <w:b/>
          <w:sz w:val="32"/>
          <w:szCs w:val="32"/>
        </w:rPr>
        <w:t>（三）</w:t>
      </w:r>
      <w:r>
        <w:rPr>
          <w:rFonts w:ascii="楷体" w:hAnsi="楷体" w:eastAsia="楷体" w:cs="楷体"/>
          <w:b/>
          <w:sz w:val="32"/>
          <w:szCs w:val="32"/>
        </w:rPr>
        <w:t>项目监督工作存在薄弱环节</w:t>
      </w:r>
      <w:bookmarkEnd w:id="20"/>
    </w:p>
    <w:p>
      <w:pPr>
        <w:widowControl/>
        <w:spacing w:line="560" w:lineRule="exact"/>
        <w:ind w:firstLine="640" w:firstLineChars="200"/>
        <w:jc w:val="left"/>
        <w:rPr>
          <w:rFonts w:ascii="黑体" w:hAnsi="黑体" w:eastAsia="黑体" w:cs="宋体"/>
          <w:bCs/>
          <w:sz w:val="32"/>
          <w:szCs w:val="32"/>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项目实施过程中的上报、跟踪、反馈机制尚未真正形成，对项目资金的使用、实施等监管措施仍然存在改进的空间。</w:t>
      </w:r>
    </w:p>
    <w:p>
      <w:pPr>
        <w:snapToGrid w:val="0"/>
        <w:spacing w:line="560" w:lineRule="exact"/>
        <w:ind w:left="1368" w:hanging="720"/>
        <w:outlineLvl w:val="0"/>
        <w:rPr>
          <w:rFonts w:ascii="黑体" w:hAnsi="黑体" w:eastAsia="黑体" w:cs="宋体"/>
          <w:bCs/>
          <w:color w:val="333333"/>
          <w:sz w:val="32"/>
          <w:szCs w:val="32"/>
        </w:rPr>
      </w:pPr>
      <w:bookmarkStart w:id="21" w:name="_Toc31536"/>
      <w:r>
        <w:rPr>
          <w:rFonts w:hint="eastAsia" w:ascii="黑体" w:hAnsi="黑体" w:eastAsia="黑体" w:cs="宋体"/>
          <w:bCs/>
          <w:color w:val="333333"/>
          <w:sz w:val="32"/>
          <w:szCs w:val="32"/>
        </w:rPr>
        <w:t>六</w:t>
      </w:r>
      <w:r>
        <w:rPr>
          <w:rFonts w:ascii="黑体" w:hAnsi="黑体" w:eastAsia="黑体" w:cs="宋体"/>
          <w:bCs/>
          <w:color w:val="333333"/>
          <w:sz w:val="32"/>
          <w:szCs w:val="32"/>
        </w:rPr>
        <w:t>、</w:t>
      </w:r>
      <w:r>
        <w:rPr>
          <w:rFonts w:hint="eastAsia" w:ascii="黑体" w:hAnsi="黑体" w:eastAsia="黑体" w:cs="宋体"/>
          <w:bCs/>
          <w:color w:val="333333"/>
          <w:sz w:val="32"/>
          <w:szCs w:val="32"/>
        </w:rPr>
        <w:t>改进措施和建议</w:t>
      </w:r>
      <w:bookmarkEnd w:id="21"/>
    </w:p>
    <w:p>
      <w:pPr>
        <w:widowControl/>
        <w:spacing w:line="560" w:lineRule="exact"/>
        <w:ind w:firstLine="643" w:firstLineChars="200"/>
        <w:jc w:val="left"/>
        <w:outlineLvl w:val="1"/>
        <w:rPr>
          <w:rFonts w:ascii="楷体" w:hAnsi="楷体" w:eastAsia="楷体" w:cs="楷体"/>
          <w:b/>
          <w:sz w:val="32"/>
          <w:szCs w:val="32"/>
        </w:rPr>
      </w:pPr>
      <w:bookmarkStart w:id="22" w:name="_Toc24446"/>
      <w:r>
        <w:rPr>
          <w:rFonts w:hint="eastAsia" w:ascii="楷体" w:hAnsi="楷体" w:eastAsia="楷体" w:cs="楷体"/>
          <w:b/>
          <w:sz w:val="32"/>
          <w:szCs w:val="32"/>
        </w:rPr>
        <w:t>（一）</w:t>
      </w:r>
      <w:bookmarkEnd w:id="22"/>
      <w:bookmarkStart w:id="23" w:name="_Toc14981"/>
      <w:r>
        <w:rPr>
          <w:rFonts w:hint="eastAsia" w:ascii="楷体" w:hAnsi="楷体" w:eastAsia="楷体" w:cs="楷体"/>
          <w:b/>
          <w:sz w:val="32"/>
          <w:szCs w:val="32"/>
        </w:rPr>
        <w:t>加强固定资产账务管理，确保账实相符</w:t>
      </w:r>
      <w:bookmarkEnd w:id="23"/>
    </w:p>
    <w:p>
      <w:pPr>
        <w:widowControl/>
        <w:spacing w:line="560" w:lineRule="exact"/>
        <w:ind w:firstLine="640" w:firstLineChars="200"/>
        <w:jc w:val="left"/>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r>
      <w:r>
        <w:rPr>
          <w:rFonts w:hint="eastAsia" w:ascii="方正仿宋简体" w:hAnsi="方正仿宋简体" w:eastAsia="方正仿宋简体" w:cs="方正仿宋简体"/>
          <w:color w:val="000000" w:themeColor="text1"/>
          <w:sz w:val="32"/>
          <w:szCs w:val="32"/>
          <w:lang w:eastAsia="zh-CN"/>
          <w14:textFill>
            <w14:solidFill>
              <w14:schemeClr w14:val="tx1"/>
            </w14:solidFill>
          </w14:textFill>
        </w:rPr>
        <w:t>。</w:t>
      </w:r>
    </w:p>
    <w:p>
      <w:pPr>
        <w:widowControl/>
        <w:spacing w:line="560" w:lineRule="exact"/>
        <w:ind w:firstLine="643" w:firstLineChars="200"/>
        <w:outlineLvl w:val="1"/>
        <w:rPr>
          <w:rFonts w:ascii="楷体" w:hAnsi="楷体" w:eastAsia="楷体" w:cs="楷体"/>
          <w:b/>
          <w:sz w:val="32"/>
          <w:szCs w:val="32"/>
        </w:rPr>
      </w:pPr>
      <w:bookmarkStart w:id="24" w:name="_Toc18250"/>
      <w:r>
        <w:rPr>
          <w:rFonts w:hint="eastAsia" w:ascii="楷体" w:hAnsi="楷体" w:eastAsia="楷体" w:cs="楷体"/>
          <w:b/>
          <w:sz w:val="32"/>
          <w:szCs w:val="32"/>
        </w:rPr>
        <w:t>（二）建立动态分析管理机制，提高项目监管主动性</w:t>
      </w:r>
      <w:bookmarkEnd w:id="24"/>
    </w:p>
    <w:p>
      <w:pPr>
        <w:widowControl/>
        <w:spacing w:line="560" w:lineRule="exact"/>
        <w:ind w:firstLine="640" w:firstLineChars="200"/>
        <w:jc w:val="left"/>
        <w:rPr>
          <w:rFonts w:hint="eastAsia" w:ascii="方正仿宋简体" w:hAnsi="方正仿宋简体" w:eastAsia="方正仿宋简体" w:cs="方正仿宋简体"/>
          <w:color w:val="000000" w:themeColor="text1"/>
          <w:sz w:val="32"/>
          <w:szCs w:val="32"/>
          <w14:textFill>
            <w14:solidFill>
              <w14:schemeClr w14:val="tx1"/>
            </w14:solidFill>
          </w14:textFill>
        </w:rPr>
      </w:pPr>
      <w:r>
        <w:rPr>
          <w:rFonts w:hint="eastAsia" w:ascii="方正仿宋简体" w:hAnsi="方正仿宋简体" w:eastAsia="方正仿宋简体" w:cs="方正仿宋简体"/>
          <w:color w:val="000000" w:themeColor="text1"/>
          <w:sz w:val="32"/>
          <w:szCs w:val="32"/>
          <w14:textFill>
            <w14:solidFill>
              <w14:schemeClr w14:val="tx1"/>
            </w14:solidFill>
          </w14:textFill>
        </w:rPr>
        <w:t>业务部门进行指导、监督和检查时进一步加强主动性，积极探索更有效和积极主动的监管方式。一方面要建立重点项目实施过程的反馈机制，依托相关信息平台，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pPr>
        <w:pStyle w:val="14"/>
        <w:numPr>
          <w:ilvl w:val="0"/>
          <w:numId w:val="0"/>
        </w:numPr>
        <w:snapToGrid w:val="0"/>
        <w:spacing w:line="540" w:lineRule="exact"/>
        <w:ind w:firstLine="624" w:firstLineChars="200"/>
        <w:rPr>
          <w:rStyle w:val="10"/>
          <w:rFonts w:ascii="仿宋_GB2312" w:hAnsi="仿宋" w:eastAsia="仿宋_GB2312"/>
          <w:b w:val="0"/>
          <w:spacing w:val="-4"/>
          <w:sz w:val="32"/>
          <w:szCs w:val="32"/>
        </w:rPr>
      </w:pPr>
      <w:r>
        <w:rPr>
          <w:rStyle w:val="10"/>
          <w:rFonts w:hint="eastAsia" w:ascii="黑体" w:hAnsi="黑体" w:eastAsia="黑体"/>
          <w:b w:val="0"/>
          <w:bCs w:val="0"/>
          <w:spacing w:val="-4"/>
          <w:sz w:val="32"/>
          <w:szCs w:val="32"/>
          <w:lang w:eastAsia="zh-CN"/>
        </w:rPr>
        <w:t>七、</w:t>
      </w:r>
      <w:r>
        <w:rPr>
          <w:rStyle w:val="10"/>
          <w:rFonts w:hint="eastAsia" w:ascii="黑体" w:hAnsi="黑体" w:eastAsia="黑体"/>
          <w:b w:val="0"/>
          <w:bCs w:val="0"/>
          <w:spacing w:val="-4"/>
          <w:sz w:val="32"/>
          <w:szCs w:val="32"/>
        </w:rPr>
        <w:t>附表：</w:t>
      </w:r>
      <w:r>
        <w:rPr>
          <w:rStyle w:val="10"/>
          <w:rFonts w:hint="eastAsia" w:ascii="仿宋_GB2312" w:hAnsi="仿宋" w:eastAsia="仿宋_GB2312"/>
          <w:b w:val="0"/>
          <w:spacing w:val="-4"/>
          <w:sz w:val="32"/>
          <w:szCs w:val="32"/>
        </w:rPr>
        <w:t>《</w:t>
      </w:r>
      <w:r>
        <w:rPr>
          <w:rStyle w:val="10"/>
          <w:rFonts w:hint="eastAsia" w:ascii="仿宋_GB2312" w:hAnsi="楷体" w:eastAsia="仿宋_GB2312"/>
          <w:b w:val="0"/>
          <w:bCs w:val="0"/>
          <w:spacing w:val="-4"/>
          <w:sz w:val="32"/>
          <w:szCs w:val="32"/>
        </w:rPr>
        <w:t>部门整体支出绩效自评表</w:t>
      </w:r>
      <w:r>
        <w:rPr>
          <w:rStyle w:val="10"/>
          <w:rFonts w:hint="eastAsia" w:ascii="仿宋_GB2312" w:hAnsi="仿宋" w:eastAsia="仿宋_GB2312"/>
          <w:b w:val="0"/>
          <w:spacing w:val="-4"/>
          <w:sz w:val="32"/>
          <w:szCs w:val="32"/>
        </w:rPr>
        <w:t>》</w:t>
      </w:r>
    </w:p>
    <w:tbl>
      <w:tblPr>
        <w:tblStyle w:val="8"/>
        <w:tblW w:w="8409" w:type="dxa"/>
        <w:tblInd w:w="113" w:type="dxa"/>
        <w:tblLayout w:type="fixed"/>
        <w:tblCellMar>
          <w:top w:w="0" w:type="dxa"/>
          <w:left w:w="108" w:type="dxa"/>
          <w:bottom w:w="0" w:type="dxa"/>
          <w:right w:w="108" w:type="dxa"/>
        </w:tblCellMar>
      </w:tblPr>
      <w:tblGrid>
        <w:gridCol w:w="831"/>
        <w:gridCol w:w="831"/>
        <w:gridCol w:w="1390"/>
        <w:gridCol w:w="1153"/>
        <w:gridCol w:w="1014"/>
        <w:gridCol w:w="1182"/>
        <w:gridCol w:w="550"/>
        <w:gridCol w:w="728"/>
        <w:gridCol w:w="508"/>
        <w:gridCol w:w="222"/>
      </w:tblGrid>
      <w:tr>
        <w:tblPrEx>
          <w:tblLayout w:type="fixed"/>
        </w:tblPrEx>
        <w:trPr>
          <w:trHeight w:val="522" w:hRule="atLeast"/>
        </w:trPr>
        <w:tc>
          <w:tcPr>
            <w:tcW w:w="8187"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szCs w:val="22"/>
              </w:rPr>
            </w:pPr>
            <w:r>
              <w:rPr>
                <w:rFonts w:hint="eastAsia" w:ascii="宋体" w:hAnsi="宋体" w:eastAsia="宋体" w:cs="宋体"/>
                <w:b/>
                <w:bCs/>
                <w:kern w:val="0"/>
                <w:sz w:val="22"/>
                <w:szCs w:val="22"/>
              </w:rPr>
              <w:t>部门（单位）整体支出绩效目标自评表</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22"/>
                <w:szCs w:val="22"/>
              </w:rPr>
            </w:pPr>
          </w:p>
        </w:tc>
      </w:tr>
      <w:tr>
        <w:tblPrEx>
          <w:tblLayout w:type="fixed"/>
          <w:tblCellMar>
            <w:top w:w="0" w:type="dxa"/>
            <w:left w:w="108" w:type="dxa"/>
            <w:bottom w:w="0" w:type="dxa"/>
            <w:right w:w="108" w:type="dxa"/>
          </w:tblCellMar>
        </w:tblPrEx>
        <w:trPr>
          <w:trHeight w:val="360" w:hRule="atLeast"/>
        </w:trPr>
        <w:tc>
          <w:tcPr>
            <w:tcW w:w="8187"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szCs w:val="22"/>
              </w:rPr>
            </w:pPr>
            <w:r>
              <w:rPr>
                <w:rFonts w:hint="eastAsia" w:ascii="宋体" w:hAnsi="宋体" w:eastAsia="宋体" w:cs="宋体"/>
                <w:b/>
                <w:bCs/>
                <w:kern w:val="0"/>
                <w:sz w:val="22"/>
                <w:szCs w:val="22"/>
              </w:rPr>
              <w:t>(2024年度)</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22"/>
                <w:szCs w:val="22"/>
              </w:rPr>
            </w:pPr>
          </w:p>
        </w:tc>
      </w:tr>
      <w:tr>
        <w:tblPrEx>
          <w:tblLayout w:type="fixed"/>
          <w:tblCellMar>
            <w:top w:w="0" w:type="dxa"/>
            <w:left w:w="108" w:type="dxa"/>
            <w:bottom w:w="0" w:type="dxa"/>
            <w:right w:w="108" w:type="dxa"/>
          </w:tblCellMar>
        </w:tblPrEx>
        <w:trPr>
          <w:trHeight w:val="660" w:hRule="atLeast"/>
        </w:trPr>
        <w:tc>
          <w:tcPr>
            <w:tcW w:w="166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部门（单位）名称</w:t>
            </w:r>
          </w:p>
        </w:tc>
        <w:tc>
          <w:tcPr>
            <w:tcW w:w="6525"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霍尔果斯市第一幼儿园</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22"/>
                <w:szCs w:val="22"/>
              </w:rPr>
            </w:pPr>
          </w:p>
        </w:tc>
      </w:tr>
      <w:tr>
        <w:tblPrEx>
          <w:tblLayout w:type="fixed"/>
          <w:tblCellMar>
            <w:top w:w="0" w:type="dxa"/>
            <w:left w:w="108" w:type="dxa"/>
            <w:bottom w:w="0" w:type="dxa"/>
            <w:right w:w="108" w:type="dxa"/>
          </w:tblCellMar>
        </w:tblPrEx>
        <w:trPr>
          <w:trHeight w:val="570" w:hRule="atLeast"/>
        </w:trPr>
        <w:tc>
          <w:tcPr>
            <w:tcW w:w="166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部门资金（万元）</w:t>
            </w: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资金来源</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年初预算数</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全年预算数</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全年执行数</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分值权重</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执行率</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得分</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36"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kern w:val="0"/>
                <w:sz w:val="18"/>
                <w:szCs w:val="18"/>
              </w:rPr>
            </w:pPr>
          </w:p>
        </w:tc>
        <w:tc>
          <w:tcPr>
            <w:tcW w:w="139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年度总资金</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579.44</w:t>
            </w:r>
          </w:p>
        </w:tc>
        <w:tc>
          <w:tcPr>
            <w:tcW w:w="10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575.21</w:t>
            </w:r>
          </w:p>
        </w:tc>
        <w:tc>
          <w:tcPr>
            <w:tcW w:w="118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575.21</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10</w:t>
            </w:r>
          </w:p>
        </w:tc>
        <w:tc>
          <w:tcPr>
            <w:tcW w:w="728"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10</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96"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kern w:val="0"/>
                <w:sz w:val="18"/>
                <w:szCs w:val="18"/>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上级资金：</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10.23</w:t>
            </w:r>
          </w:p>
        </w:tc>
        <w:tc>
          <w:tcPr>
            <w:tcW w:w="10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10.23</w:t>
            </w:r>
          </w:p>
        </w:tc>
        <w:tc>
          <w:tcPr>
            <w:tcW w:w="118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10.15</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72"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kern w:val="0"/>
                <w:sz w:val="18"/>
                <w:szCs w:val="18"/>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本级资金：</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568.51</w:t>
            </w:r>
          </w:p>
        </w:tc>
        <w:tc>
          <w:tcPr>
            <w:tcW w:w="10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564.28</w:t>
            </w:r>
          </w:p>
        </w:tc>
        <w:tc>
          <w:tcPr>
            <w:tcW w:w="118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564.36</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00"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kern w:val="0"/>
                <w:sz w:val="18"/>
                <w:szCs w:val="18"/>
              </w:rPr>
            </w:pP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其他资金：</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0.7</w:t>
            </w:r>
          </w:p>
        </w:tc>
        <w:tc>
          <w:tcPr>
            <w:tcW w:w="1014"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0.7</w:t>
            </w:r>
          </w:p>
        </w:tc>
        <w:tc>
          <w:tcPr>
            <w:tcW w:w="118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0.7</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16" w:hRule="atLeast"/>
        </w:trPr>
        <w:tc>
          <w:tcPr>
            <w:tcW w:w="166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年度总体目标</w:t>
            </w:r>
          </w:p>
        </w:tc>
        <w:tc>
          <w:tcPr>
            <w:tcW w:w="3557"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预期目标</w:t>
            </w:r>
          </w:p>
        </w:tc>
        <w:tc>
          <w:tcPr>
            <w:tcW w:w="2968"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实际完成情况</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1440"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kern w:val="0"/>
                <w:sz w:val="18"/>
                <w:szCs w:val="18"/>
              </w:rPr>
            </w:pPr>
          </w:p>
        </w:tc>
        <w:tc>
          <w:tcPr>
            <w:tcW w:w="355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坚持以习近平新时代中国特色社会主义思想为指导，坚持以党的二十大精神为引领，深刻领悟党中央关于教育的新定位、新部署和新要求。聚焦重点任务，抓住关键环节，推动学前教育高质量发展取得新进步新成效。深入贯彻党的二十大精神，贯彻落实中央、自治区党委决策部署的各项重大工作决定和安排，扩大学前教育资源，保障学前教育发展、</w:t>
            </w:r>
            <w:r>
              <w:rPr>
                <w:rFonts w:hint="eastAsia" w:ascii="宋体" w:hAnsi="宋体" w:eastAsia="宋体" w:cs="宋体"/>
                <w:strike/>
                <w:dstrike w:val="0"/>
                <w:kern w:val="0"/>
                <w:sz w:val="18"/>
                <w:szCs w:val="18"/>
              </w:rPr>
              <w:t>保障</w:t>
            </w:r>
            <w:r>
              <w:rPr>
                <w:rFonts w:hint="eastAsia" w:ascii="宋体" w:hAnsi="宋体" w:eastAsia="宋体" w:cs="宋体"/>
                <w:kern w:val="0"/>
                <w:sz w:val="18"/>
                <w:szCs w:val="18"/>
              </w:rPr>
              <w:t>保障教师培训覆盖率，提升幼小衔接巩固率，强化监管，花好每一份钱，把教育经费用到最关键处，切实提高教育经费使用效益。</w:t>
            </w:r>
          </w:p>
        </w:tc>
        <w:tc>
          <w:tcPr>
            <w:tcW w:w="2968"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2024年幼儿园分别开展了教研活动、法制宣传教育活动、教师普通话达标活动、联盟捆绑活动以及教师培训活动，通过这些活动不仅提升了教师教育教学能力，还为幼儿树立规范语言榜样。通过完成幼小衔接工作，有效提升幼儿对小学的向往以及建立了时间观念，促进幼儿养成珍惜时间，按时完成小任务的意识。</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582" w:hRule="atLeast"/>
        </w:trPr>
        <w:tc>
          <w:tcPr>
            <w:tcW w:w="16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一级指标</w:t>
            </w:r>
          </w:p>
        </w:tc>
        <w:tc>
          <w:tcPr>
            <w:tcW w:w="139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二级指标</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三级指标</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预期指标值</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指标值设定依据</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分值权重</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实际完成指标值</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18"/>
                <w:szCs w:val="18"/>
              </w:rPr>
            </w:pPr>
            <w:r>
              <w:rPr>
                <w:rFonts w:hint="eastAsia" w:ascii="宋体" w:hAnsi="宋体" w:eastAsia="宋体" w:cs="宋体"/>
                <w:b/>
                <w:bCs/>
                <w:kern w:val="0"/>
                <w:sz w:val="18"/>
                <w:szCs w:val="18"/>
              </w:rPr>
              <w:t>得分</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b/>
                <w:bCs/>
                <w:kern w:val="0"/>
                <w:sz w:val="18"/>
                <w:szCs w:val="18"/>
              </w:rPr>
            </w:pPr>
          </w:p>
        </w:tc>
      </w:tr>
      <w:tr>
        <w:tblPrEx>
          <w:tblLayout w:type="fixed"/>
          <w:tblCellMar>
            <w:top w:w="0" w:type="dxa"/>
            <w:left w:w="108" w:type="dxa"/>
            <w:bottom w:w="0" w:type="dxa"/>
            <w:right w:w="108" w:type="dxa"/>
          </w:tblCellMar>
        </w:tblPrEx>
        <w:trPr>
          <w:trHeight w:val="324" w:hRule="atLeast"/>
        </w:trPr>
        <w:tc>
          <w:tcPr>
            <w:tcW w:w="166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履职效能</w:t>
            </w:r>
          </w:p>
        </w:tc>
        <w:tc>
          <w:tcPr>
            <w:tcW w:w="13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教研活动开展次数</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&gt;=4次</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霍尔果斯市第一幼儿园2024学年园务工作计划</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4次</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68"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3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法制宣传教育次数</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&gt;=4次</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霍尔果斯市第一幼儿园2024学年园务工作计划</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4次</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432"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3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教师普通话达标率</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霍尔果斯市第一幼儿园2024学年园务工作计划</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52"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3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联盟捆绑开展次数</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&gt;=2次</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霍尔果斯市第一幼儿园2024学年园务工作计划</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2次</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372"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39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教师培训覆盖率</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&gt;=90%</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霍尔果斯市第一幼儿园2024学年园务工作计划</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2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50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222" w:type="dxa"/>
            <w:tcBorders>
              <w:top w:val="nil"/>
              <w:left w:val="nil"/>
              <w:bottom w:val="nil"/>
              <w:right w:val="nil"/>
            </w:tcBorders>
            <w:shd w:val="clear" w:color="auto" w:fill="auto"/>
            <w:noWrap/>
            <w:vAlign w:val="center"/>
          </w:tcPr>
          <w:p>
            <w:pPr>
              <w:widowControl/>
              <w:jc w:val="center"/>
              <w:rPr>
                <w:rFonts w:hint="eastAsia" w:ascii="宋体" w:hAnsi="宋体" w:eastAsia="宋体" w:cs="宋体"/>
                <w:kern w:val="0"/>
                <w:sz w:val="18"/>
                <w:szCs w:val="18"/>
              </w:rPr>
            </w:pPr>
          </w:p>
        </w:tc>
      </w:tr>
      <w:tr>
        <w:tblPrEx>
          <w:tblLayout w:type="fixed"/>
          <w:tblCellMar>
            <w:top w:w="0" w:type="dxa"/>
            <w:left w:w="108" w:type="dxa"/>
            <w:bottom w:w="0" w:type="dxa"/>
            <w:right w:w="108" w:type="dxa"/>
          </w:tblCellMar>
        </w:tblPrEx>
        <w:trPr>
          <w:trHeight w:val="216" w:hRule="atLeast"/>
        </w:trPr>
        <w:tc>
          <w:tcPr>
            <w:tcW w:w="1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3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18"/>
                <w:szCs w:val="18"/>
              </w:rPr>
            </w:pPr>
          </w:p>
        </w:tc>
        <w:tc>
          <w:tcPr>
            <w:tcW w:w="11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幼小衔接巩固率</w:t>
            </w:r>
          </w:p>
        </w:tc>
        <w:tc>
          <w:tcPr>
            <w:tcW w:w="101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&gt;=95%</w:t>
            </w:r>
          </w:p>
        </w:tc>
        <w:tc>
          <w:tcPr>
            <w:tcW w:w="118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霍尔果斯市第一幼儿园2024学年园务工作计划</w:t>
            </w:r>
          </w:p>
        </w:tc>
        <w:tc>
          <w:tcPr>
            <w:tcW w:w="5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95%</w:t>
            </w:r>
          </w:p>
        </w:tc>
        <w:tc>
          <w:tcPr>
            <w:tcW w:w="50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222" w:type="dxa"/>
            <w:tcBorders>
              <w:top w:val="nil"/>
              <w:left w:val="single" w:color="auto" w:sz="4" w:space="0"/>
              <w:bottom w:val="nil"/>
              <w:right w:val="nil"/>
            </w:tcBorders>
            <w:shd w:val="clear" w:color="auto" w:fill="auto"/>
            <w:noWrap/>
            <w:vAlign w:val="center"/>
          </w:tcPr>
          <w:p>
            <w:pPr>
              <w:widowControl/>
              <w:jc w:val="left"/>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02" w:hRule="atLeast"/>
        </w:trPr>
        <w:tc>
          <w:tcPr>
            <w:tcW w:w="831" w:type="dxa"/>
            <w:tcBorders>
              <w:top w:val="nil"/>
              <w:left w:val="nil"/>
              <w:bottom w:val="nil"/>
              <w:right w:val="nil"/>
            </w:tcBorders>
            <w:shd w:val="clear" w:color="auto" w:fill="auto"/>
            <w:noWrap/>
            <w:vAlign w:val="center"/>
          </w:tcPr>
          <w:p>
            <w:pPr>
              <w:widowControl/>
              <w:jc w:val="center"/>
              <w:rPr>
                <w:rFonts w:ascii="Times New Roman" w:hAnsi="Times New Roman" w:eastAsia="Times New Roman" w:cs="Times New Roman"/>
                <w:kern w:val="0"/>
                <w:sz w:val="20"/>
                <w:szCs w:val="20"/>
              </w:rPr>
            </w:pPr>
          </w:p>
        </w:tc>
        <w:tc>
          <w:tcPr>
            <w:tcW w:w="831" w:type="dxa"/>
            <w:tcBorders>
              <w:top w:val="nil"/>
              <w:left w:val="nil"/>
              <w:bottom w:val="nil"/>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1390" w:type="dxa"/>
            <w:tcBorders>
              <w:top w:val="nil"/>
              <w:left w:val="nil"/>
              <w:bottom w:val="nil"/>
              <w:right w:val="nil"/>
            </w:tcBorders>
            <w:shd w:val="clear" w:color="auto" w:fill="auto"/>
            <w:noWrap/>
            <w:vAlign w:val="center"/>
          </w:tcPr>
          <w:p>
            <w:pPr>
              <w:widowControl/>
              <w:jc w:val="center"/>
              <w:rPr>
                <w:rFonts w:ascii="Times New Roman" w:hAnsi="Times New Roman" w:eastAsia="Times New Roman" w:cs="Times New Roman"/>
                <w:kern w:val="0"/>
                <w:sz w:val="20"/>
                <w:szCs w:val="20"/>
              </w:rPr>
            </w:pPr>
          </w:p>
        </w:tc>
        <w:tc>
          <w:tcPr>
            <w:tcW w:w="1153" w:type="dxa"/>
            <w:tcBorders>
              <w:top w:val="nil"/>
              <w:left w:val="nil"/>
              <w:bottom w:val="nil"/>
              <w:right w:val="nil"/>
            </w:tcBorders>
            <w:shd w:val="clear" w:color="auto" w:fill="auto"/>
            <w:noWrap/>
            <w:vAlign w:val="center"/>
          </w:tcPr>
          <w:p>
            <w:pPr>
              <w:widowControl/>
              <w:jc w:val="center"/>
              <w:rPr>
                <w:rFonts w:ascii="Times New Roman" w:hAnsi="Times New Roman" w:eastAsia="Times New Roman" w:cs="Times New Roman"/>
                <w:kern w:val="0"/>
                <w:sz w:val="20"/>
                <w:szCs w:val="20"/>
              </w:rPr>
            </w:pPr>
          </w:p>
        </w:tc>
        <w:tc>
          <w:tcPr>
            <w:tcW w:w="1014" w:type="dxa"/>
            <w:tcBorders>
              <w:top w:val="nil"/>
              <w:left w:val="nil"/>
              <w:bottom w:val="nil"/>
              <w:right w:val="nil"/>
            </w:tcBorders>
            <w:shd w:val="clear" w:color="auto" w:fill="auto"/>
            <w:noWrap/>
            <w:vAlign w:val="center"/>
          </w:tcPr>
          <w:p>
            <w:pPr>
              <w:widowControl/>
              <w:jc w:val="center"/>
              <w:rPr>
                <w:rFonts w:ascii="Times New Roman" w:hAnsi="Times New Roman" w:eastAsia="Times New Roman" w:cs="Times New Roman"/>
                <w:kern w:val="0"/>
                <w:sz w:val="20"/>
                <w:szCs w:val="20"/>
              </w:rPr>
            </w:pPr>
          </w:p>
        </w:tc>
        <w:tc>
          <w:tcPr>
            <w:tcW w:w="1182" w:type="dxa"/>
            <w:tcBorders>
              <w:top w:val="nil"/>
              <w:left w:val="nil"/>
              <w:bottom w:val="nil"/>
              <w:right w:val="nil"/>
            </w:tcBorders>
            <w:shd w:val="clear" w:color="auto" w:fill="auto"/>
            <w:noWrap/>
            <w:vAlign w:val="center"/>
          </w:tcPr>
          <w:p>
            <w:pPr>
              <w:widowControl/>
              <w:jc w:val="center"/>
              <w:rPr>
                <w:rFonts w:ascii="Times New Roman" w:hAnsi="Times New Roman" w:eastAsia="Times New Roman" w:cs="Times New Roman"/>
                <w:kern w:val="0"/>
                <w:sz w:val="20"/>
                <w:szCs w:val="20"/>
              </w:rPr>
            </w:pPr>
          </w:p>
        </w:tc>
        <w:tc>
          <w:tcPr>
            <w:tcW w:w="550" w:type="dxa"/>
            <w:tcBorders>
              <w:top w:val="single" w:color="auto" w:sz="4" w:space="0"/>
              <w:left w:val="nil"/>
              <w:bottom w:val="nil"/>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728" w:type="dxa"/>
            <w:tcBorders>
              <w:top w:val="single" w:color="auto" w:sz="4" w:space="0"/>
              <w:left w:val="nil"/>
              <w:bottom w:val="nil"/>
              <w:right w:val="nil"/>
            </w:tcBorders>
            <w:shd w:val="clear" w:color="auto" w:fill="auto"/>
            <w:noWrap/>
            <w:vAlign w:val="center"/>
          </w:tcPr>
          <w:p>
            <w:pPr>
              <w:widowControl/>
              <w:jc w:val="center"/>
              <w:rPr>
                <w:rFonts w:ascii="Times New Roman" w:hAnsi="Times New Roman" w:eastAsia="Times New Roman" w:cs="Times New Roman"/>
                <w:kern w:val="0"/>
                <w:sz w:val="20"/>
                <w:szCs w:val="20"/>
              </w:rPr>
            </w:pPr>
          </w:p>
        </w:tc>
        <w:tc>
          <w:tcPr>
            <w:tcW w:w="508" w:type="dxa"/>
            <w:tcBorders>
              <w:top w:val="single" w:color="auto" w:sz="4" w:space="0"/>
              <w:left w:val="nil"/>
              <w:bottom w:val="nil"/>
              <w:right w:val="nil"/>
            </w:tcBorders>
            <w:shd w:val="clear" w:color="auto" w:fill="auto"/>
            <w:vAlign w:val="center"/>
          </w:tcPr>
          <w:p>
            <w:pPr>
              <w:widowControl/>
              <w:jc w:val="center"/>
              <w:rPr>
                <w:rFonts w:ascii="Times New Roman" w:hAnsi="Times New Roman" w:eastAsia="Times New Roman" w:cs="Times New Roman"/>
                <w:kern w:val="0"/>
                <w:sz w:val="20"/>
                <w:szCs w:val="20"/>
              </w:rPr>
            </w:pPr>
          </w:p>
        </w:tc>
        <w:tc>
          <w:tcPr>
            <w:tcW w:w="222" w:type="dxa"/>
            <w:tcBorders>
              <w:top w:val="nil"/>
              <w:left w:val="nil"/>
              <w:bottom w:val="nil"/>
              <w:right w:val="nil"/>
            </w:tcBorders>
            <w:shd w:val="clear" w:color="auto" w:fill="auto"/>
            <w:noWrap/>
            <w:vAlign w:val="center"/>
          </w:tcPr>
          <w:p>
            <w:pPr>
              <w:widowControl/>
              <w:jc w:val="center"/>
              <w:rPr>
                <w:rFonts w:ascii="Times New Roman" w:hAnsi="Times New Roman" w:eastAsia="Times New Roman" w:cs="Times New Roman"/>
                <w:kern w:val="0"/>
                <w:sz w:val="20"/>
                <w:szCs w:val="20"/>
              </w:rPr>
            </w:pPr>
          </w:p>
        </w:tc>
      </w:tr>
    </w:tbl>
    <w:p>
      <w:pPr>
        <w:pStyle w:val="14"/>
        <w:snapToGrid w:val="0"/>
        <w:spacing w:line="540" w:lineRule="exact"/>
        <w:ind w:firstLine="0" w:firstLineChars="0"/>
        <w:rPr>
          <w:rStyle w:val="10"/>
          <w:rFonts w:ascii="仿宋_GB2312" w:hAnsi="仿宋" w:eastAsia="仿宋_GB2312"/>
          <w:b w:val="0"/>
          <w:spacing w:val="-4"/>
          <w:sz w:val="32"/>
          <w:szCs w:val="32"/>
        </w:rPr>
      </w:pPr>
    </w:p>
    <w:sectPr>
      <w:pgSz w:w="11906" w:h="16838"/>
      <w:pgMar w:top="1440" w:right="1800" w:bottom="1440" w:left="1800" w:header="851" w:footer="992" w:gutter="0"/>
      <w:pgNumType w:fmt="numberInDash" w:start="2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45FEDA-9C50-4897-997C-2BB610A417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embedRegular r:id="rId2" w:fontKey="{CC3F17EB-DBCE-4742-A922-66563B9C2D8F}"/>
  </w:font>
  <w:font w:name="方正小标宋_GBK">
    <w:altName w:val="微软雅黑"/>
    <w:panose1 w:val="00000000000000000000"/>
    <w:charset w:val="86"/>
    <w:family w:val="script"/>
    <w:pitch w:val="default"/>
    <w:sig w:usb0="00000000" w:usb1="00000000" w:usb2="00000000" w:usb3="00000000" w:csb0="00000000" w:csb1="00000000"/>
    <w:embedRegular r:id="rId3" w:fontKey="{3722B63D-7572-4D2D-8D2D-4CA6F2B5280B}"/>
  </w:font>
  <w:font w:name="仿宋_GB2312">
    <w:panose1 w:val="02010609030101010101"/>
    <w:charset w:val="86"/>
    <w:family w:val="modern"/>
    <w:pitch w:val="default"/>
    <w:sig w:usb0="00000001" w:usb1="080E0000" w:usb2="00000000" w:usb3="00000000" w:csb0="00040000" w:csb1="00000000"/>
    <w:embedRegular r:id="rId4" w:fontKey="{1135D0F8-054D-4613-902F-52B4126958D8}"/>
  </w:font>
  <w:font w:name="汉仪程行简">
    <w:altName w:val="宋体"/>
    <w:panose1 w:val="00000000000000000000"/>
    <w:charset w:val="86"/>
    <w:family w:val="auto"/>
    <w:pitch w:val="default"/>
    <w:sig w:usb0="00000000" w:usb1="00000000" w:usb2="00000016" w:usb3="00000000" w:csb0="0004009F" w:csb1="DFD70000"/>
    <w:embedRegular r:id="rId5" w:fontKey="{DE04252E-26AA-452B-8741-C0857F29383C}"/>
  </w:font>
  <w:font w:name="楷体">
    <w:panose1 w:val="02010609060101010101"/>
    <w:charset w:val="86"/>
    <w:family w:val="modern"/>
    <w:pitch w:val="default"/>
    <w:sig w:usb0="800002BF" w:usb1="38CF7CFA" w:usb2="00000016" w:usb3="00000000" w:csb0="00040001" w:csb1="00000000"/>
    <w:embedRegular r:id="rId6" w:fontKey="{9D3ECE12-3FDB-44A2-ADC7-26A9F615A9AB}"/>
  </w:font>
  <w:font w:name="方正仿宋简体">
    <w:panose1 w:val="02010601030101010101"/>
    <w:charset w:val="86"/>
    <w:family w:val="auto"/>
    <w:pitch w:val="default"/>
    <w:sig w:usb0="00000001" w:usb1="080E0000" w:usb2="00000000" w:usb3="00000000" w:csb0="00040000" w:csb1="00000000"/>
    <w:embedRegular r:id="rId7" w:fontKey="{D97C7A05-DE75-4492-818F-6A1790CC2D57}"/>
  </w:font>
  <w:font w:name="仿宋">
    <w:panose1 w:val="02010609060101010101"/>
    <w:charset w:val="86"/>
    <w:family w:val="modern"/>
    <w:pitch w:val="default"/>
    <w:sig w:usb0="800002BF" w:usb1="38CF7CFA" w:usb2="00000016" w:usb3="00000000" w:csb0="00040001" w:csb1="00000000"/>
    <w:embedRegular r:id="rId8" w:fontKey="{B48E68AA-5BAD-4179-AA30-0E131E0847EF}"/>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1NzU1ZDE5MWUyOTliZTgzODE4MzZjMzNmODI4OTMifQ=="/>
    <w:docVar w:name="KSO_WPS_MARK_KEY" w:val="40e95650-004b-4697-ae2b-25bffeeac740"/>
  </w:docVars>
  <w:rsids>
    <w:rsidRoot w:val="00633862"/>
    <w:rsid w:val="00016CAC"/>
    <w:rsid w:val="0007293C"/>
    <w:rsid w:val="000D3AFA"/>
    <w:rsid w:val="00142FF0"/>
    <w:rsid w:val="0015416B"/>
    <w:rsid w:val="00185D01"/>
    <w:rsid w:val="00191BA3"/>
    <w:rsid w:val="001C4ABB"/>
    <w:rsid w:val="0022744B"/>
    <w:rsid w:val="0024154C"/>
    <w:rsid w:val="00337310"/>
    <w:rsid w:val="003D2A05"/>
    <w:rsid w:val="00407CE9"/>
    <w:rsid w:val="004306A3"/>
    <w:rsid w:val="0046546D"/>
    <w:rsid w:val="0053243F"/>
    <w:rsid w:val="005B1250"/>
    <w:rsid w:val="005C02A2"/>
    <w:rsid w:val="006009FB"/>
    <w:rsid w:val="00633862"/>
    <w:rsid w:val="006A71DA"/>
    <w:rsid w:val="006C5BED"/>
    <w:rsid w:val="00702D4A"/>
    <w:rsid w:val="007115C8"/>
    <w:rsid w:val="00755363"/>
    <w:rsid w:val="00785D7C"/>
    <w:rsid w:val="007A5BDB"/>
    <w:rsid w:val="0084743E"/>
    <w:rsid w:val="00867FFD"/>
    <w:rsid w:val="00882198"/>
    <w:rsid w:val="00915124"/>
    <w:rsid w:val="0097614B"/>
    <w:rsid w:val="009B040A"/>
    <w:rsid w:val="00A5177D"/>
    <w:rsid w:val="00A83709"/>
    <w:rsid w:val="00AA5126"/>
    <w:rsid w:val="00AD16CD"/>
    <w:rsid w:val="00B14FC0"/>
    <w:rsid w:val="00B85EFA"/>
    <w:rsid w:val="00BF428F"/>
    <w:rsid w:val="00CB2ECA"/>
    <w:rsid w:val="00CD2F35"/>
    <w:rsid w:val="00D4372F"/>
    <w:rsid w:val="00D878C2"/>
    <w:rsid w:val="00DB1085"/>
    <w:rsid w:val="00E01E51"/>
    <w:rsid w:val="00E25667"/>
    <w:rsid w:val="00EA14FA"/>
    <w:rsid w:val="00ED3E98"/>
    <w:rsid w:val="00EE7E17"/>
    <w:rsid w:val="00F07844"/>
    <w:rsid w:val="00F33D7C"/>
    <w:rsid w:val="00F80B31"/>
    <w:rsid w:val="00F84215"/>
    <w:rsid w:val="010E0C0C"/>
    <w:rsid w:val="01211D57"/>
    <w:rsid w:val="016D0077"/>
    <w:rsid w:val="02355837"/>
    <w:rsid w:val="02610413"/>
    <w:rsid w:val="02F019DF"/>
    <w:rsid w:val="02F163A2"/>
    <w:rsid w:val="02FE786C"/>
    <w:rsid w:val="03341650"/>
    <w:rsid w:val="036F2FCB"/>
    <w:rsid w:val="03B2599D"/>
    <w:rsid w:val="043C5F8E"/>
    <w:rsid w:val="049941F3"/>
    <w:rsid w:val="04A60F90"/>
    <w:rsid w:val="04D2103C"/>
    <w:rsid w:val="04D550AF"/>
    <w:rsid w:val="06B83B39"/>
    <w:rsid w:val="06DE29E2"/>
    <w:rsid w:val="07702E6D"/>
    <w:rsid w:val="07A86AAB"/>
    <w:rsid w:val="07C65825"/>
    <w:rsid w:val="09067414"/>
    <w:rsid w:val="09170A81"/>
    <w:rsid w:val="0AC27E84"/>
    <w:rsid w:val="0B0F5B25"/>
    <w:rsid w:val="0BD256C9"/>
    <w:rsid w:val="0D3F0613"/>
    <w:rsid w:val="0D617282"/>
    <w:rsid w:val="0E394420"/>
    <w:rsid w:val="0F661726"/>
    <w:rsid w:val="0F772EC6"/>
    <w:rsid w:val="0F877334"/>
    <w:rsid w:val="0FB14459"/>
    <w:rsid w:val="10182B28"/>
    <w:rsid w:val="1044378A"/>
    <w:rsid w:val="109160DD"/>
    <w:rsid w:val="10947BCD"/>
    <w:rsid w:val="114B3E5E"/>
    <w:rsid w:val="115E3FEE"/>
    <w:rsid w:val="11653435"/>
    <w:rsid w:val="116B384E"/>
    <w:rsid w:val="11D53B5C"/>
    <w:rsid w:val="11DD16C8"/>
    <w:rsid w:val="130A20A3"/>
    <w:rsid w:val="13352CE1"/>
    <w:rsid w:val="13E07D60"/>
    <w:rsid w:val="150177FB"/>
    <w:rsid w:val="15875F52"/>
    <w:rsid w:val="15B73666"/>
    <w:rsid w:val="15C42D02"/>
    <w:rsid w:val="168A2EA6"/>
    <w:rsid w:val="17A34100"/>
    <w:rsid w:val="17D5194F"/>
    <w:rsid w:val="180A4FDB"/>
    <w:rsid w:val="18397A4D"/>
    <w:rsid w:val="1840056E"/>
    <w:rsid w:val="192177D8"/>
    <w:rsid w:val="196A001E"/>
    <w:rsid w:val="198331C0"/>
    <w:rsid w:val="19C92FDD"/>
    <w:rsid w:val="19DB061A"/>
    <w:rsid w:val="19E576EB"/>
    <w:rsid w:val="19FF664E"/>
    <w:rsid w:val="1A091F78"/>
    <w:rsid w:val="1A6D6D72"/>
    <w:rsid w:val="1AEB4D61"/>
    <w:rsid w:val="1B1C4C0F"/>
    <w:rsid w:val="1B5E1360"/>
    <w:rsid w:val="1C230AC0"/>
    <w:rsid w:val="1C615CEF"/>
    <w:rsid w:val="1CDA72AF"/>
    <w:rsid w:val="1D632B53"/>
    <w:rsid w:val="1D7602A9"/>
    <w:rsid w:val="1DC83D3D"/>
    <w:rsid w:val="1E613949"/>
    <w:rsid w:val="1EAE0073"/>
    <w:rsid w:val="1F195A2C"/>
    <w:rsid w:val="205102FB"/>
    <w:rsid w:val="20762FC4"/>
    <w:rsid w:val="212C60E2"/>
    <w:rsid w:val="21DE15EF"/>
    <w:rsid w:val="227847A0"/>
    <w:rsid w:val="23021A8B"/>
    <w:rsid w:val="2320540D"/>
    <w:rsid w:val="236E0539"/>
    <w:rsid w:val="23E6478B"/>
    <w:rsid w:val="241112CA"/>
    <w:rsid w:val="2422471A"/>
    <w:rsid w:val="24A85EE5"/>
    <w:rsid w:val="24DB72C2"/>
    <w:rsid w:val="261B6454"/>
    <w:rsid w:val="271745F0"/>
    <w:rsid w:val="276460F3"/>
    <w:rsid w:val="27660FAF"/>
    <w:rsid w:val="277166D1"/>
    <w:rsid w:val="277B4318"/>
    <w:rsid w:val="27B7194D"/>
    <w:rsid w:val="27E37B45"/>
    <w:rsid w:val="280600C8"/>
    <w:rsid w:val="28081174"/>
    <w:rsid w:val="28481571"/>
    <w:rsid w:val="28722F64"/>
    <w:rsid w:val="289B5D70"/>
    <w:rsid w:val="28A4093D"/>
    <w:rsid w:val="290A1EBC"/>
    <w:rsid w:val="296B40D0"/>
    <w:rsid w:val="29980ADF"/>
    <w:rsid w:val="29B460DC"/>
    <w:rsid w:val="29D532D8"/>
    <w:rsid w:val="29DA41DF"/>
    <w:rsid w:val="29E74DB9"/>
    <w:rsid w:val="2A0B6FEB"/>
    <w:rsid w:val="2A2A3694"/>
    <w:rsid w:val="2A6B1740"/>
    <w:rsid w:val="2AB71864"/>
    <w:rsid w:val="2AD30362"/>
    <w:rsid w:val="2B161A0E"/>
    <w:rsid w:val="2B1D67DB"/>
    <w:rsid w:val="2B2D4A4E"/>
    <w:rsid w:val="2BCA3DF7"/>
    <w:rsid w:val="2BFA5278"/>
    <w:rsid w:val="2C3F44FD"/>
    <w:rsid w:val="2C8903AA"/>
    <w:rsid w:val="2CE43832"/>
    <w:rsid w:val="2DAA6B58"/>
    <w:rsid w:val="2E4A4A48"/>
    <w:rsid w:val="2F8715FA"/>
    <w:rsid w:val="2FB372EA"/>
    <w:rsid w:val="2FB43990"/>
    <w:rsid w:val="2FC040E2"/>
    <w:rsid w:val="30143D58"/>
    <w:rsid w:val="30240D0F"/>
    <w:rsid w:val="308158E7"/>
    <w:rsid w:val="309817B5"/>
    <w:rsid w:val="30A86679"/>
    <w:rsid w:val="31505F30"/>
    <w:rsid w:val="3177520D"/>
    <w:rsid w:val="31C7249B"/>
    <w:rsid w:val="31FB7654"/>
    <w:rsid w:val="32565D7D"/>
    <w:rsid w:val="336E47B8"/>
    <w:rsid w:val="337D2302"/>
    <w:rsid w:val="33935522"/>
    <w:rsid w:val="33DE0EF4"/>
    <w:rsid w:val="3416678C"/>
    <w:rsid w:val="34486A39"/>
    <w:rsid w:val="34C13400"/>
    <w:rsid w:val="34F32864"/>
    <w:rsid w:val="35386E11"/>
    <w:rsid w:val="35612ABD"/>
    <w:rsid w:val="35A10412"/>
    <w:rsid w:val="375B2943"/>
    <w:rsid w:val="38086A4E"/>
    <w:rsid w:val="38C32119"/>
    <w:rsid w:val="38EE054F"/>
    <w:rsid w:val="39440A0C"/>
    <w:rsid w:val="398443D3"/>
    <w:rsid w:val="39A60AF6"/>
    <w:rsid w:val="3AA12D62"/>
    <w:rsid w:val="3B2319C9"/>
    <w:rsid w:val="3B5D5890"/>
    <w:rsid w:val="3B62161E"/>
    <w:rsid w:val="3BA6683D"/>
    <w:rsid w:val="3BC431AC"/>
    <w:rsid w:val="3C012639"/>
    <w:rsid w:val="3DA52B6A"/>
    <w:rsid w:val="3E833FCF"/>
    <w:rsid w:val="3EE3321B"/>
    <w:rsid w:val="3EE93EED"/>
    <w:rsid w:val="3F177A97"/>
    <w:rsid w:val="3FF57BF1"/>
    <w:rsid w:val="41590DEA"/>
    <w:rsid w:val="416C231C"/>
    <w:rsid w:val="41C31810"/>
    <w:rsid w:val="41D659E7"/>
    <w:rsid w:val="424D096E"/>
    <w:rsid w:val="428A15BF"/>
    <w:rsid w:val="42BB7663"/>
    <w:rsid w:val="432A3936"/>
    <w:rsid w:val="434765EB"/>
    <w:rsid w:val="43A3164E"/>
    <w:rsid w:val="43C43532"/>
    <w:rsid w:val="44332E1A"/>
    <w:rsid w:val="44692B43"/>
    <w:rsid w:val="44BF2CE3"/>
    <w:rsid w:val="44BF6C07"/>
    <w:rsid w:val="462C7B1B"/>
    <w:rsid w:val="46BF2EEE"/>
    <w:rsid w:val="47013FF5"/>
    <w:rsid w:val="484A2C8B"/>
    <w:rsid w:val="48500FEB"/>
    <w:rsid w:val="49284D7B"/>
    <w:rsid w:val="49543DC1"/>
    <w:rsid w:val="4A0F39E7"/>
    <w:rsid w:val="4A654AD6"/>
    <w:rsid w:val="4B364032"/>
    <w:rsid w:val="4B3B68BB"/>
    <w:rsid w:val="4B443785"/>
    <w:rsid w:val="4B537C75"/>
    <w:rsid w:val="4C431ECB"/>
    <w:rsid w:val="4CC33C9F"/>
    <w:rsid w:val="4E4E1BE2"/>
    <w:rsid w:val="4E760D0B"/>
    <w:rsid w:val="4E8F65E3"/>
    <w:rsid w:val="4EC80245"/>
    <w:rsid w:val="4ED65AC3"/>
    <w:rsid w:val="4F596A69"/>
    <w:rsid w:val="50063DD3"/>
    <w:rsid w:val="505863A4"/>
    <w:rsid w:val="50591CBD"/>
    <w:rsid w:val="50755DE4"/>
    <w:rsid w:val="50A240F7"/>
    <w:rsid w:val="51971C1E"/>
    <w:rsid w:val="519A53EE"/>
    <w:rsid w:val="51FF2E33"/>
    <w:rsid w:val="525877BC"/>
    <w:rsid w:val="5272504D"/>
    <w:rsid w:val="52CA50F4"/>
    <w:rsid w:val="52FB52AE"/>
    <w:rsid w:val="543D24BF"/>
    <w:rsid w:val="548754B8"/>
    <w:rsid w:val="54CA318A"/>
    <w:rsid w:val="55517AB0"/>
    <w:rsid w:val="57192BB8"/>
    <w:rsid w:val="5734671F"/>
    <w:rsid w:val="57423EBA"/>
    <w:rsid w:val="57813298"/>
    <w:rsid w:val="57BB500C"/>
    <w:rsid w:val="58753EBA"/>
    <w:rsid w:val="58E426FC"/>
    <w:rsid w:val="58FC3B2E"/>
    <w:rsid w:val="59063548"/>
    <w:rsid w:val="5A6776CD"/>
    <w:rsid w:val="5ADD1E8F"/>
    <w:rsid w:val="5AE6303A"/>
    <w:rsid w:val="5B155A7C"/>
    <w:rsid w:val="5B442B97"/>
    <w:rsid w:val="5B977B3E"/>
    <w:rsid w:val="5BB80D7D"/>
    <w:rsid w:val="5C5B0B6B"/>
    <w:rsid w:val="5CB643E4"/>
    <w:rsid w:val="5D8D11F8"/>
    <w:rsid w:val="5DF91A9D"/>
    <w:rsid w:val="5E2D5305"/>
    <w:rsid w:val="5F1D65AC"/>
    <w:rsid w:val="5F230066"/>
    <w:rsid w:val="5F701625"/>
    <w:rsid w:val="5F814D8D"/>
    <w:rsid w:val="5FA47678"/>
    <w:rsid w:val="5FE455B0"/>
    <w:rsid w:val="60504E56"/>
    <w:rsid w:val="60535261"/>
    <w:rsid w:val="627A5057"/>
    <w:rsid w:val="62A033DD"/>
    <w:rsid w:val="62B113CD"/>
    <w:rsid w:val="62D376AD"/>
    <w:rsid w:val="63002758"/>
    <w:rsid w:val="63886101"/>
    <w:rsid w:val="63E072F9"/>
    <w:rsid w:val="63E738F2"/>
    <w:rsid w:val="648B2856"/>
    <w:rsid w:val="64AD2180"/>
    <w:rsid w:val="64F46001"/>
    <w:rsid w:val="6536789A"/>
    <w:rsid w:val="658E5B0E"/>
    <w:rsid w:val="65D86017"/>
    <w:rsid w:val="65E6594A"/>
    <w:rsid w:val="660E1EAC"/>
    <w:rsid w:val="661600DA"/>
    <w:rsid w:val="663A7AE6"/>
    <w:rsid w:val="66DF5346"/>
    <w:rsid w:val="66E14AAB"/>
    <w:rsid w:val="6736630B"/>
    <w:rsid w:val="67AC2776"/>
    <w:rsid w:val="67EE0E11"/>
    <w:rsid w:val="68DF3109"/>
    <w:rsid w:val="693F2885"/>
    <w:rsid w:val="699F5DE9"/>
    <w:rsid w:val="6A9776F8"/>
    <w:rsid w:val="6AAF0A00"/>
    <w:rsid w:val="6AEF34F2"/>
    <w:rsid w:val="6B234F4A"/>
    <w:rsid w:val="6B6F5FA2"/>
    <w:rsid w:val="6C5F0204"/>
    <w:rsid w:val="6C69186D"/>
    <w:rsid w:val="6C7D443F"/>
    <w:rsid w:val="6C8851EE"/>
    <w:rsid w:val="6CCF1622"/>
    <w:rsid w:val="6CE7035E"/>
    <w:rsid w:val="6D143DA4"/>
    <w:rsid w:val="6D300CAA"/>
    <w:rsid w:val="6DB1246A"/>
    <w:rsid w:val="6EAE5472"/>
    <w:rsid w:val="702F5608"/>
    <w:rsid w:val="708F2CC4"/>
    <w:rsid w:val="709444F0"/>
    <w:rsid w:val="71182116"/>
    <w:rsid w:val="71205936"/>
    <w:rsid w:val="71477CCB"/>
    <w:rsid w:val="7178018F"/>
    <w:rsid w:val="71BA40BB"/>
    <w:rsid w:val="71CD052F"/>
    <w:rsid w:val="73740A39"/>
    <w:rsid w:val="742B746E"/>
    <w:rsid w:val="74736F42"/>
    <w:rsid w:val="74CA7F29"/>
    <w:rsid w:val="752B1D3E"/>
    <w:rsid w:val="75913D16"/>
    <w:rsid w:val="763C0048"/>
    <w:rsid w:val="77135965"/>
    <w:rsid w:val="77262B54"/>
    <w:rsid w:val="772B0B52"/>
    <w:rsid w:val="772D4414"/>
    <w:rsid w:val="773A5C43"/>
    <w:rsid w:val="775947BB"/>
    <w:rsid w:val="77AD276B"/>
    <w:rsid w:val="77B87094"/>
    <w:rsid w:val="77C96E08"/>
    <w:rsid w:val="78965ABD"/>
    <w:rsid w:val="79500F4C"/>
    <w:rsid w:val="7986195D"/>
    <w:rsid w:val="79E005EE"/>
    <w:rsid w:val="7A044DC4"/>
    <w:rsid w:val="7A865511"/>
    <w:rsid w:val="7AA20E97"/>
    <w:rsid w:val="7AAA4D40"/>
    <w:rsid w:val="7ABC4A73"/>
    <w:rsid w:val="7AC10876"/>
    <w:rsid w:val="7B044591"/>
    <w:rsid w:val="7B2F16E9"/>
    <w:rsid w:val="7B334ED0"/>
    <w:rsid w:val="7B804A7F"/>
    <w:rsid w:val="7C4B6886"/>
    <w:rsid w:val="7C71236F"/>
    <w:rsid w:val="7C7B25BC"/>
    <w:rsid w:val="7C8D2B6B"/>
    <w:rsid w:val="7D1641C7"/>
    <w:rsid w:val="7D55069E"/>
    <w:rsid w:val="7D670C49"/>
    <w:rsid w:val="7D711B45"/>
    <w:rsid w:val="7E5F5E41"/>
    <w:rsid w:val="7E78432D"/>
    <w:rsid w:val="7E8E02D3"/>
    <w:rsid w:val="7EA902C5"/>
    <w:rsid w:val="7EAA3560"/>
    <w:rsid w:val="7ECF553C"/>
    <w:rsid w:val="7EF10E29"/>
    <w:rsid w:val="7FB364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semiHidden/>
    <w:unhideWhenUsed/>
    <w:qFormat/>
    <w:uiPriority w:val="99"/>
    <w:pPr>
      <w:jc w:val="left"/>
    </w:p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character" w:styleId="10">
    <w:name w:val="Strong"/>
    <w:basedOn w:val="9"/>
    <w:qFormat/>
    <w:uiPriority w:val="0"/>
    <w:rPr>
      <w:b/>
      <w:bCs/>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6"/>
    <w:qFormat/>
    <w:uiPriority w:val="99"/>
    <w:rPr>
      <w:sz w:val="18"/>
      <w:szCs w:val="18"/>
    </w:rPr>
  </w:style>
  <w:style w:type="character" w:customStyle="1" w:styleId="13">
    <w:name w:val="页脚 字符"/>
    <w:basedOn w:val="9"/>
    <w:link w:val="5"/>
    <w:qFormat/>
    <w:uiPriority w:val="99"/>
    <w:rPr>
      <w:sz w:val="18"/>
      <w:szCs w:val="18"/>
    </w:rPr>
  </w:style>
  <w:style w:type="paragraph" w:styleId="14">
    <w:name w:val="List Paragraph"/>
    <w:basedOn w:val="1"/>
    <w:unhideWhenUsed/>
    <w:qFormat/>
    <w:uiPriority w:val="99"/>
    <w:pPr>
      <w:ind w:firstLine="420" w:firstLineChars="200"/>
    </w:pPr>
  </w:style>
  <w:style w:type="character" w:customStyle="1" w:styleId="15">
    <w:name w:val="批注框文本 字符"/>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2609</Words>
  <Characters>2845</Characters>
  <Lines>258</Lines>
  <Paragraphs>160</Paragraphs>
  <TotalTime>21</TotalTime>
  <ScaleCrop>false</ScaleCrop>
  <LinksUpToDate>false</LinksUpToDate>
  <CharactersWithSpaces>5294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2025-04-27T04:08:00Z</dcterms:created>
  <dc:creator>jc</dc:creator>
  <cp:lastModifiedBy>Administrator</cp:lastModifiedBy>
  <cp:lastPrinted>2024-03-04T11:32:00Z</cp:lastPrinted>
  <dcterms:modified xsi:type="dcterms:W3CDTF">2025-10-23T05:00:42Z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831A661EE7E64FCE9689038105EBB884_13</vt:lpwstr>
  </property>
  <property fmtid="{D5CDD505-2E9C-101B-9397-08002B2CF9AE}" pid="4" name="KSOTemplateDocerSaveRecord">
    <vt:lpwstr>eyJoZGlkIjoiODRhNmUxMzQxZTg4ZDBlMmY2Y2FlZWQ3Y2RiMDI2NzQiLCJ1c2VySWQiOiI0NDE2NzcxMzQifQ==</vt:lpwstr>
  </property>
</Properties>
</file>