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rPr>
        <w:t>南部产业园区变电站及输配电运维费项目</w:t>
      </w:r>
    </w:p>
    <w:p>
      <w:pPr>
        <w:spacing w:line="540" w:lineRule="exact"/>
        <w:jc w:val="center"/>
        <w:rPr>
          <w:rFonts w:eastAsia="方正小标宋_GBK"/>
          <w:kern w:val="0"/>
          <w:sz w:val="48"/>
          <w:szCs w:val="48"/>
        </w:rPr>
      </w:pPr>
      <w:r>
        <w:rPr>
          <w:rFonts w:eastAsia="方正小标宋_GBK"/>
          <w:kern w:val="0"/>
          <w:sz w:val="48"/>
          <w:szCs w:val="48"/>
        </w:rPr>
        <w:t>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项目名称：南部产业园区变电站及输配电运维费项目</w:t>
      </w:r>
    </w:p>
    <w:p>
      <w:pPr>
        <w:spacing w:line="560" w:lineRule="exact"/>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实施单位（公章）：霍尔果斯开建通达新能源科技有限公司</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霍尔果斯南部产业园区管理委员会</w:t>
      </w:r>
    </w:p>
    <w:p>
      <w:pPr>
        <w:spacing w:line="560" w:lineRule="exact"/>
        <w:ind w:firstLine="321" w:firstLineChars="1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：赵峰洋</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16</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spacing w:line="560" w:lineRule="exact"/>
        <w:ind w:firstLine="643" w:firstLineChars="200"/>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1.项目背景：</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hint="eastAsia"/>
          <w:lang w:eastAsia="zh-CN"/>
        </w:rPr>
      </w:pPr>
      <w:r>
        <w:rPr>
          <w:rFonts w:hint="eastAsia" w:ascii="仿宋_GB2312" w:hAnsi="Times New Roman" w:eastAsia="仿宋_GB2312" w:cs="Times New Roman"/>
          <w:b w:val="0"/>
          <w:bCs w:val="0"/>
          <w:kern w:val="2"/>
          <w:sz w:val="32"/>
          <w:szCs w:val="32"/>
          <w:lang w:val="en-US" w:eastAsia="zh-CN" w:bidi="ar-SA"/>
        </w:rPr>
        <w:t>霍尔果斯开建通达新能源科技有限公司于2022年9月开始正式运行。为发挥增量配电业务改革试点优势，提高南部产业园区供电服务水平，确保企业享受可靠、优质、稳定的电力资源，保障企业安全稳定生产，由霍尔果斯开建通达新能源科技有限公司对霍尔果斯南部产业园区内的企业提供供电服务工作。变电站作为电力系统中的重要组成部分，起到了将高压电网送来的电能转化为适合于分配、使用的低压电能的作用。它不仅是电网系统中的重要环节，也是保障电网运行稳定、提高电网运行效率的一个关键点。公司负责对南部产业园区110千伏变电站、110千伏输电线路及10千伏配网设施进行维护、维修、巡视、故障消缺及运营管理等工作，为霍尔果斯南部产业园区内的企业提供供电服务工作，确保用户正常、安全用电。</w:t>
      </w:r>
    </w:p>
    <w:p>
      <w:pPr>
        <w:pStyle w:val="2"/>
        <w:numPr>
          <w:ilvl w:val="0"/>
          <w:numId w:val="2"/>
        </w:numPr>
        <w:spacing w:before="0" w:after="0" w:line="560" w:lineRule="exact"/>
        <w:ind w:firstLine="643" w:firstLineChars="200"/>
        <w:jc w:val="both"/>
        <w:rPr>
          <w:rFonts w:hint="eastAsia" w:ascii="Times New Roman" w:hAnsi="Times New Roman" w:eastAsia="仿宋_GB2312" w:cs="Times New Roman"/>
          <w:kern w:val="2"/>
          <w:lang w:eastAsia="zh-CN"/>
        </w:rPr>
      </w:pPr>
      <w:r>
        <w:rPr>
          <w:rFonts w:hint="eastAsia" w:ascii="Times New Roman" w:hAnsi="Times New Roman" w:eastAsia="仿宋_GB2312" w:cs="Times New Roman"/>
          <w:kern w:val="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FF0000"/>
          <w:sz w:val="32"/>
          <w:szCs w:val="32"/>
        </w:rPr>
      </w:pPr>
      <w:r>
        <w:rPr>
          <w:rFonts w:hint="eastAsia" w:ascii="仿宋_GB2312"/>
          <w:sz w:val="32"/>
          <w:szCs w:val="32"/>
        </w:rPr>
        <w:t>主要内容：霍尔果斯开建通达新能源科技有限公司于2022年9月开始正式运行。为发挥增量配电业务改革试点优势，提高南部产业园区供电服务水平，确保企业享受可靠、优质、稳定的电力资源，保障企业安全稳定生产，故由霍尔果斯开建通达新能源科技有限公司对霍尔果斯南部产业园区内的企业提供供电服务工作。 霍尔果斯开建通达新能源科技有限公司目前的主要收入来源是南部产业园区电力销售收入，即通过向客户销售电力来获取收益。公司目前收支无法持平，当企业年售电量达到1亿千瓦时，公司将收支持平。故公司申请南部产业园区运维补贴。</w:t>
      </w:r>
    </w:p>
    <w:p>
      <w:pPr>
        <w:spacing w:line="560" w:lineRule="exact"/>
        <w:ind w:firstLine="640" w:firstLineChars="200"/>
      </w:pPr>
      <w:r>
        <w:rPr>
          <w:rFonts w:hint="eastAsia" w:ascii="仿宋_GB2312"/>
          <w:sz w:val="32"/>
          <w:szCs w:val="32"/>
          <w:lang w:eastAsia="zh-CN"/>
        </w:rPr>
        <w:t>项目</w:t>
      </w: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spacing w:line="560" w:lineRule="exact"/>
        <w:ind w:firstLine="643" w:firstLineChars="200"/>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3</w:t>
      </w:r>
      <w:r>
        <w:rPr>
          <w:rFonts w:hint="eastAsia" w:ascii="Times New Roman" w:hAnsi="Times New Roman" w:cs="Times New Roman"/>
          <w:b/>
          <w:bCs/>
          <w:sz w:val="32"/>
          <w:szCs w:val="32"/>
          <w:lang w:eastAsia="zh-CN"/>
        </w:rPr>
        <w:t>、</w:t>
      </w:r>
      <w:r>
        <w:rPr>
          <w:rFonts w:hint="eastAsia" w:ascii="Times New Roman" w:hAnsi="Times New Roman" w:eastAsia="仿宋_GB2312" w:cs="Times New Roman"/>
          <w:b/>
          <w:bCs/>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sz w:val="32"/>
          <w:szCs w:val="32"/>
        </w:rPr>
        <w:t>资金投入情况：</w:t>
      </w:r>
      <w:r>
        <w:rPr>
          <w:rFonts w:hint="eastAsia"/>
          <w:color w:val="auto"/>
          <w:sz w:val="32"/>
          <w:szCs w:val="32"/>
        </w:rPr>
        <w:t>该项目年初预算数</w:t>
      </w:r>
      <w:r>
        <w:rPr>
          <w:rFonts w:hint="eastAsia"/>
          <w:color w:val="auto"/>
          <w:sz w:val="32"/>
          <w:szCs w:val="32"/>
          <w:lang w:val="en-US" w:eastAsia="zh-CN"/>
        </w:rPr>
        <w:t>350</w:t>
      </w:r>
      <w:r>
        <w:rPr>
          <w:rFonts w:hint="eastAsia"/>
          <w:color w:val="auto"/>
          <w:sz w:val="32"/>
          <w:szCs w:val="32"/>
        </w:rPr>
        <w:t>万元，全年预算数</w:t>
      </w:r>
      <w:r>
        <w:rPr>
          <w:rFonts w:hint="eastAsia"/>
          <w:color w:val="auto"/>
          <w:sz w:val="32"/>
          <w:szCs w:val="32"/>
          <w:lang w:val="en-US" w:eastAsia="zh-CN"/>
        </w:rPr>
        <w:t>350</w:t>
      </w:r>
      <w:r>
        <w:rPr>
          <w:rFonts w:hint="eastAsia"/>
          <w:color w:val="auto"/>
          <w:sz w:val="32"/>
          <w:szCs w:val="32"/>
        </w:rPr>
        <w:t>万元，实际总投入</w:t>
      </w:r>
      <w:r>
        <w:rPr>
          <w:rFonts w:hint="eastAsia"/>
          <w:color w:val="auto"/>
          <w:sz w:val="32"/>
          <w:szCs w:val="32"/>
          <w:lang w:val="en-US" w:eastAsia="zh-CN"/>
        </w:rPr>
        <w:t>350</w:t>
      </w:r>
      <w:r>
        <w:rPr>
          <w:rFonts w:hint="eastAsia"/>
          <w:color w:val="auto"/>
          <w:sz w:val="32"/>
          <w:szCs w:val="32"/>
        </w:rPr>
        <w:t>万元，该项目资金已全部落实到位，资金来源为</w:t>
      </w:r>
      <w:r>
        <w:rPr>
          <w:rFonts w:hint="eastAsia"/>
          <w:color w:val="auto"/>
          <w:sz w:val="32"/>
          <w:szCs w:val="32"/>
          <w:lang w:val="en-US" w:eastAsia="zh-CN"/>
        </w:rPr>
        <w:t>财政拨款</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资金使用情况：该项目年初预算数</w:t>
      </w:r>
      <w:r>
        <w:rPr>
          <w:rFonts w:hint="eastAsia"/>
          <w:color w:val="auto"/>
          <w:sz w:val="32"/>
          <w:szCs w:val="32"/>
          <w:lang w:val="en-US" w:eastAsia="zh-CN"/>
        </w:rPr>
        <w:t>350</w:t>
      </w:r>
      <w:r>
        <w:rPr>
          <w:rFonts w:hint="eastAsia"/>
          <w:color w:val="auto"/>
          <w:sz w:val="32"/>
          <w:szCs w:val="32"/>
        </w:rPr>
        <w:t>万元，全年预算数</w:t>
      </w:r>
      <w:r>
        <w:rPr>
          <w:rFonts w:hint="eastAsia"/>
          <w:color w:val="auto"/>
          <w:sz w:val="32"/>
          <w:szCs w:val="32"/>
          <w:lang w:val="en-US" w:eastAsia="zh-CN"/>
        </w:rPr>
        <w:t>350</w:t>
      </w:r>
      <w:r>
        <w:rPr>
          <w:rFonts w:hint="eastAsia"/>
          <w:color w:val="auto"/>
          <w:sz w:val="32"/>
          <w:szCs w:val="32"/>
        </w:rPr>
        <w:t>万元，全年执行数</w:t>
      </w:r>
      <w:r>
        <w:rPr>
          <w:rFonts w:hint="eastAsia"/>
          <w:color w:val="auto"/>
          <w:sz w:val="32"/>
          <w:szCs w:val="32"/>
          <w:lang w:val="en-US" w:eastAsia="zh-CN"/>
        </w:rPr>
        <w:t>350</w:t>
      </w:r>
      <w:r>
        <w:rPr>
          <w:rFonts w:hint="eastAsia"/>
          <w:color w:val="auto"/>
          <w:sz w:val="32"/>
          <w:szCs w:val="32"/>
        </w:rPr>
        <w:t>万元，预算执行率为</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r>
        <w:rPr>
          <w:rFonts w:hint="eastAsia"/>
          <w:color w:val="auto"/>
          <w:sz w:val="32"/>
          <w:szCs w:val="32"/>
          <w:lang w:val="en-US" w:eastAsia="zh-CN"/>
        </w:rPr>
        <w:t>变电站运维费用154.3万元，车辆租赁及燃油费用22万元，人工工资金额96.9万元，售电量补贴76.8</w:t>
      </w:r>
      <w:r>
        <w:rPr>
          <w:rFonts w:hint="eastAsia"/>
          <w:color w:val="auto"/>
          <w:sz w:val="32"/>
          <w:szCs w:val="32"/>
        </w:rPr>
        <w:t>万元</w:t>
      </w:r>
      <w:r>
        <w:rPr>
          <w:rFonts w:hint="eastAsia"/>
          <w:color w:val="auto"/>
          <w:sz w:val="32"/>
          <w:szCs w:val="32"/>
          <w:lang w:eastAsia="zh-CN"/>
        </w:rPr>
        <w:t>。</w:t>
      </w:r>
      <w:bookmarkStart w:id="2" w:name="_Toc68703829"/>
    </w:p>
    <w:p>
      <w:pPr>
        <w:spacing w:line="560" w:lineRule="exact"/>
        <w:ind w:firstLine="643" w:firstLineChars="200"/>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spacing w:line="560" w:lineRule="exact"/>
        <w:ind w:firstLine="320" w:firstLineChars="100"/>
        <w:rPr>
          <w:rFonts w:hint="eastAsia" w:ascii="Times New Roman" w:hAnsi="Times New Roman" w:eastAsia="仿宋_GB2312" w:cs="Times New Roman"/>
          <w:b w:val="0"/>
          <w:bCs w:val="0"/>
          <w:sz w:val="32"/>
          <w:szCs w:val="32"/>
          <w:lang w:val="en-US" w:eastAsia="zh-CN"/>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1.总体目标：保障南部产业园区用户正常用电，保障变电站及配网正常运行，提高用户的用电质量。</w:t>
      </w:r>
    </w:p>
    <w:p>
      <w:pPr>
        <w:spacing w:line="560" w:lineRule="exact"/>
        <w:ind w:firstLine="320" w:firstLineChars="100"/>
        <w:rPr>
          <w:rFonts w:hint="eastAsia" w:ascii="Times New Roman" w:hAnsi="Times New Roman" w:eastAsia="仿宋_GB2312" w:cs="Times New Roman"/>
          <w:b w:val="0"/>
          <w:bCs w:val="0"/>
          <w:sz w:val="32"/>
          <w:szCs w:val="32"/>
          <w:lang w:val="en-US" w:eastAsia="zh-CN"/>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cs="Times New Roman"/>
          <w:b w:val="0"/>
          <w:bCs w:val="0"/>
          <w:sz w:val="32"/>
          <w:szCs w:val="32"/>
          <w:lang w:val="en-US" w:eastAsia="zh-CN"/>
        </w:rPr>
        <w:t>①</w:t>
      </w:r>
      <w:r>
        <w:rPr>
          <w:rFonts w:hint="eastAsia" w:ascii="Times New Roman" w:hAnsi="Times New Roman" w:eastAsia="仿宋_GB2312" w:cs="Times New Roman"/>
          <w:b w:val="0"/>
          <w:bCs w:val="0"/>
          <w:sz w:val="32"/>
          <w:szCs w:val="32"/>
          <w:lang w:val="en-US" w:eastAsia="zh-CN"/>
        </w:rPr>
        <w:t>针对110千伏东输变电站送电前期设备调试</w:t>
      </w:r>
      <w:r>
        <w:rPr>
          <w:rFonts w:hint="eastAsia" w:cs="Times New Roman"/>
          <w:b w:val="0"/>
          <w:bCs w:val="0"/>
          <w:sz w:val="32"/>
          <w:szCs w:val="32"/>
          <w:lang w:val="en-US" w:eastAsia="zh-CN"/>
        </w:rPr>
        <w:t>；②</w:t>
      </w:r>
      <w:r>
        <w:rPr>
          <w:rFonts w:hint="eastAsia" w:ascii="Times New Roman" w:hAnsi="Times New Roman" w:eastAsia="仿宋_GB2312" w:cs="Times New Roman"/>
          <w:b w:val="0"/>
          <w:bCs w:val="0"/>
          <w:sz w:val="32"/>
          <w:szCs w:val="32"/>
          <w:lang w:val="en-US" w:eastAsia="zh-CN"/>
        </w:rPr>
        <w:t>110千伏东输变电站设备位置状态信号传输与农四师调度对点</w:t>
      </w:r>
      <w:r>
        <w:rPr>
          <w:rFonts w:hint="eastAsia" w:cs="Times New Roman"/>
          <w:b w:val="0"/>
          <w:bCs w:val="0"/>
          <w:sz w:val="32"/>
          <w:szCs w:val="32"/>
          <w:lang w:val="en-US" w:eastAsia="zh-CN"/>
        </w:rPr>
        <w:t>；③</w:t>
      </w:r>
      <w:r>
        <w:rPr>
          <w:rFonts w:hint="eastAsia" w:ascii="Times New Roman" w:hAnsi="Times New Roman" w:eastAsia="仿宋_GB2312" w:cs="Times New Roman"/>
          <w:b w:val="0"/>
          <w:bCs w:val="0"/>
          <w:sz w:val="32"/>
          <w:szCs w:val="32"/>
          <w:lang w:val="en-US" w:eastAsia="zh-CN"/>
        </w:rPr>
        <w:t>110千伏东输变电站编写现场运行规程，填写东输变电站操作票</w:t>
      </w:r>
      <w:r>
        <w:rPr>
          <w:rFonts w:hint="eastAsia" w:cs="Times New Roman"/>
          <w:b w:val="0"/>
          <w:bCs w:val="0"/>
          <w:sz w:val="32"/>
          <w:szCs w:val="32"/>
          <w:lang w:val="en-US" w:eastAsia="zh-CN"/>
        </w:rPr>
        <w:t>；④</w:t>
      </w:r>
      <w:r>
        <w:rPr>
          <w:rFonts w:hint="eastAsia" w:ascii="Times New Roman" w:hAnsi="Times New Roman" w:eastAsia="仿宋_GB2312" w:cs="Times New Roman"/>
          <w:b w:val="0"/>
          <w:bCs w:val="0"/>
          <w:sz w:val="32"/>
          <w:szCs w:val="32"/>
          <w:lang w:val="en-US" w:eastAsia="zh-CN"/>
        </w:rPr>
        <w:t>110千伏东输变电站台账的建立及安全工器具、消防设施的台账建立</w:t>
      </w:r>
      <w:r>
        <w:rPr>
          <w:rFonts w:hint="eastAsia" w:cs="Times New Roman"/>
          <w:b w:val="0"/>
          <w:bCs w:val="0"/>
          <w:sz w:val="32"/>
          <w:szCs w:val="32"/>
          <w:lang w:val="en-US" w:eastAsia="zh-CN"/>
        </w:rPr>
        <w:t>；⑤</w:t>
      </w:r>
      <w:r>
        <w:rPr>
          <w:rFonts w:hint="eastAsia" w:ascii="Times New Roman" w:hAnsi="Times New Roman" w:eastAsia="仿宋_GB2312" w:cs="Times New Roman"/>
          <w:b w:val="0"/>
          <w:bCs w:val="0"/>
          <w:sz w:val="32"/>
          <w:szCs w:val="32"/>
          <w:lang w:val="en-US" w:eastAsia="zh-CN"/>
        </w:rPr>
        <w:t>110千伏南部变电站备用电源间隔的电源介入</w:t>
      </w:r>
      <w:r>
        <w:rPr>
          <w:rFonts w:hint="eastAsia" w:cs="Times New Roman"/>
          <w:b w:val="0"/>
          <w:bCs w:val="0"/>
          <w:sz w:val="32"/>
          <w:szCs w:val="32"/>
          <w:lang w:val="en-US" w:eastAsia="zh-CN"/>
        </w:rPr>
        <w:t>；⑥</w:t>
      </w:r>
      <w:r>
        <w:rPr>
          <w:rFonts w:hint="eastAsia" w:ascii="Times New Roman" w:hAnsi="Times New Roman" w:eastAsia="仿宋_GB2312" w:cs="Times New Roman"/>
          <w:b w:val="0"/>
          <w:bCs w:val="0"/>
          <w:sz w:val="32"/>
          <w:szCs w:val="32"/>
          <w:lang w:val="en-US" w:eastAsia="zh-CN"/>
        </w:rPr>
        <w:t>110千伏南部变电站10千伏配网的供电保障正常</w:t>
      </w:r>
      <w:r>
        <w:rPr>
          <w:rFonts w:hint="eastAsia" w:cs="Times New Roman"/>
          <w:b w:val="0"/>
          <w:bCs w:val="0"/>
          <w:sz w:val="32"/>
          <w:szCs w:val="32"/>
          <w:lang w:val="en-US" w:eastAsia="zh-CN"/>
        </w:rPr>
        <w:t>；⑦；</w:t>
      </w:r>
      <w:r>
        <w:rPr>
          <w:rFonts w:hint="eastAsia" w:ascii="Times New Roman" w:hAnsi="Times New Roman" w:eastAsia="仿宋_GB2312" w:cs="Times New Roman"/>
          <w:b w:val="0"/>
          <w:bCs w:val="0"/>
          <w:sz w:val="32"/>
          <w:szCs w:val="32"/>
          <w:lang w:val="en-US" w:eastAsia="zh-CN"/>
        </w:rPr>
        <w:t>110千伏东输变电站10千伏配网电缆的敷设</w:t>
      </w:r>
      <w:r>
        <w:rPr>
          <w:rFonts w:hint="eastAsia" w:cs="Times New Roman"/>
          <w:b w:val="0"/>
          <w:bCs w:val="0"/>
          <w:sz w:val="32"/>
          <w:szCs w:val="32"/>
          <w:lang w:val="en-US" w:eastAsia="zh-CN"/>
        </w:rPr>
        <w:t>；⑧</w:t>
      </w:r>
      <w:r>
        <w:rPr>
          <w:rFonts w:hint="eastAsia" w:ascii="Times New Roman" w:hAnsi="Times New Roman" w:eastAsia="仿宋_GB2312" w:cs="Times New Roman"/>
          <w:b w:val="0"/>
          <w:bCs w:val="0"/>
          <w:sz w:val="32"/>
          <w:szCs w:val="32"/>
          <w:lang w:val="en-US" w:eastAsia="zh-CN"/>
        </w:rPr>
        <w:t>提高南部工业园区用户的用电质量。</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3"/>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cs="Times New Roman"/>
          <w:b/>
          <w:bCs/>
          <w:sz w:val="30"/>
          <w:szCs w:val="30"/>
          <w:lang w:val="en-US" w:eastAsia="zh-CN"/>
        </w:rPr>
        <w:t xml:space="preserve">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南部产业园区变电站及输配电运维费项目所包含的全部项目内容。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sz w:val="32"/>
          <w:szCs w:val="32"/>
        </w:rPr>
        <w:t>南部产业园区变电站及输配电运维费</w:t>
      </w:r>
      <w:r>
        <w:rPr>
          <w:rFonts w:hint="eastAsia" w:ascii="仿宋_GB2312" w:hAnsi="仿宋_GB2312" w:cs="仿宋_GB2312"/>
          <w:sz w:val="32"/>
          <w:szCs w:val="32"/>
          <w:lang w:val="en-US" w:eastAsia="zh-CN"/>
        </w:rPr>
        <w:t>项目</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计划标准</w:t>
      </w:r>
      <w:r>
        <w:rPr>
          <w:rFonts w:hint="eastAsia"/>
          <w:bCs/>
          <w:color w:val="000000" w:themeColor="text1"/>
          <w:sz w:val="32"/>
          <w:szCs w:val="32"/>
          <w14:textFill>
            <w14:solidFill>
              <w14:schemeClr w14:val="tx1"/>
            </w14:solidFill>
          </w14:textFill>
        </w:rPr>
        <w:t>。</w:t>
      </w:r>
    </w:p>
    <w:p>
      <w:pPr>
        <w:spacing w:line="560" w:lineRule="exact"/>
        <w:ind w:firstLine="640"/>
        <w:rPr>
          <w:rFonts w:hint="eastAsia"/>
        </w:rPr>
      </w:pP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 xml:space="preserve">总得分为 </w:t>
      </w:r>
      <w:r>
        <w:rPr>
          <w:rFonts w:hint="eastAsia" w:ascii="Times New Roman" w:hAnsi="Times New Roman" w:eastAsia="仿宋_GB2312"/>
          <w:b w:val="0"/>
          <w:bCs w:val="0"/>
          <w:highlight w:val="none"/>
          <w:lang w:val="en-US" w:eastAsia="zh-CN"/>
        </w:rPr>
        <w:t>97.22</w:t>
      </w:r>
      <w:r>
        <w:rPr>
          <w:rFonts w:hint="eastAsia" w:ascii="Times New Roman" w:hAnsi="Times New Roman" w:eastAsia="仿宋_GB2312"/>
          <w:b w:val="0"/>
          <w:bCs w:val="0"/>
          <w:highlight w:val="none"/>
        </w:rPr>
        <w:t>分，属于“</w:t>
      </w:r>
      <w:r>
        <w:rPr>
          <w:rFonts w:hint="eastAsia" w:ascii="Times New Roman" w:hAnsi="Times New Roman" w:eastAsia="仿宋_GB2312"/>
          <w:b w:val="0"/>
          <w:bCs w:val="0"/>
          <w:highlight w:val="none"/>
          <w:lang w:val="en-US" w:eastAsia="zh-CN"/>
        </w:rPr>
        <w:t>优</w:t>
      </w:r>
      <w:r>
        <w:rPr>
          <w:rFonts w:hint="eastAsia" w:ascii="Times New Roman" w:hAnsi="Times New Roman" w:eastAsia="仿宋_GB2312"/>
          <w:b w:val="0"/>
          <w:bCs w:val="0"/>
          <w:highlight w:val="none"/>
        </w:rPr>
        <w:t>”。其中，项目决策类指标权重为20分，得分为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37.22</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89.88</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w:t>
      </w:r>
      <w:r>
        <w:rPr>
          <w:rFonts w:hint="eastAsia" w:ascii="Times New Roman" w:hAnsi="Times New Roman" w:eastAsia="仿宋_GB2312"/>
          <w:b w:val="0"/>
          <w:bCs w:val="0"/>
        </w:rPr>
        <w:t>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37.22</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97.22</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项目决策类指标包括项目立项、绩效目标和资金投入三方面的内容，由6个三级指标构成，权重分值为20分，实际得分</w:t>
      </w:r>
      <w:r>
        <w:rPr>
          <w:rFonts w:hint="eastAsia"/>
          <w:b w:val="0"/>
          <w:bCs w:val="0"/>
          <w:color w:val="auto"/>
          <w:sz w:val="32"/>
          <w:szCs w:val="32"/>
          <w:lang w:val="en-US" w:eastAsia="zh-CN"/>
        </w:rPr>
        <w:t>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w:t>
      </w:r>
      <w:r>
        <w:rPr>
          <w:rFonts w:hint="eastAsia" w:ascii="仿宋_GB2312" w:hAnsi="仿宋_GB2312" w:eastAsia="仿宋_GB2312" w:cs="仿宋_GB2312"/>
          <w:sz w:val="32"/>
          <w:szCs w:val="32"/>
          <w:highlight w:val="none"/>
          <w:lang w:val="en-US" w:eastAsia="zh-CN"/>
        </w:rPr>
        <w:t>目总投资</w:t>
      </w:r>
      <w:r>
        <w:rPr>
          <w:rFonts w:hint="eastAsia" w:ascii="仿宋_GB2312" w:hAnsi="仿宋_GB2312" w:cs="仿宋_GB2312"/>
          <w:sz w:val="32"/>
          <w:szCs w:val="32"/>
          <w:highlight w:val="none"/>
          <w:lang w:val="en-US" w:eastAsia="zh-CN"/>
        </w:rPr>
        <w:t>350</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w:t>
      </w:r>
      <w:r>
        <w:rPr>
          <w:rFonts w:hint="eastAsia" w:ascii="仿宋_GB2312" w:hAnsi="仿宋_GB2312" w:eastAsia="仿宋_GB2312" w:cs="仿宋_GB2312"/>
          <w:sz w:val="32"/>
          <w:szCs w:val="32"/>
          <w:lang w:val="en-US" w:eastAsia="zh-CN"/>
        </w:rPr>
        <w:t>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w:t>
      </w:r>
      <w:r>
        <w:rPr>
          <w:rFonts w:hint="eastAsia" w:ascii="仿宋_GB2312" w:hAnsi="仿宋_GB2312" w:cs="仿宋_GB2312"/>
          <w:sz w:val="32"/>
          <w:szCs w:val="32"/>
          <w:highlight w:val="none"/>
          <w:lang w:val="en-US" w:eastAsia="zh-CN"/>
        </w:rPr>
        <w:t>350</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4"/>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w:t>
      </w:r>
      <w:r>
        <w:rPr>
          <w:rFonts w:hint="eastAsia" w:ascii="仿宋_GB2312" w:hAnsi="仿宋_GB2312" w:eastAsia="仿宋_GB2312" w:cs="仿宋_GB2312"/>
          <w:sz w:val="32"/>
          <w:szCs w:val="32"/>
          <w:highlight w:val="none"/>
          <w:lang w:val="en-US" w:eastAsia="zh-CN"/>
        </w:rPr>
        <w:t>由</w:t>
      </w:r>
      <w:r>
        <w:rPr>
          <w:rFonts w:hint="eastAsia" w:ascii="仿宋_GB2312" w:hAnsi="仿宋_GB2312" w:cs="仿宋_GB2312"/>
          <w:sz w:val="32"/>
          <w:szCs w:val="32"/>
          <w:highlight w:val="none"/>
          <w:lang w:val="en-US" w:eastAsia="zh-CN"/>
        </w:rPr>
        <w:t>11</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37.22</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93.05</w:t>
      </w:r>
      <w:r>
        <w:rPr>
          <w:rFonts w:hint="eastAsia" w:ascii="仿宋_GB2312" w:hAnsi="仿宋_GB2312" w:eastAsia="仿宋_GB2312" w:cs="仿宋_GB2312"/>
          <w:sz w:val="32"/>
          <w:szCs w:val="32"/>
          <w:highlight w:val="none"/>
          <w:lang w:val="en-US" w:eastAsia="zh-CN"/>
        </w:rPr>
        <w:t>%。具体产出指标完</w:t>
      </w:r>
      <w:r>
        <w:rPr>
          <w:rFonts w:hint="eastAsia" w:ascii="仿宋_GB2312" w:hAnsi="仿宋_GB2312" w:eastAsia="仿宋_GB2312" w:cs="仿宋_GB2312"/>
          <w:sz w:val="32"/>
          <w:szCs w:val="32"/>
          <w:lang w:val="en-US" w:eastAsia="zh-CN"/>
        </w:rPr>
        <w:t>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指标1：技术人员人数，指标值：</w:t>
      </w:r>
      <w:r>
        <w:rPr>
          <w:rFonts w:hint="eastAsia"/>
          <w:color w:val="auto"/>
          <w:sz w:val="32"/>
          <w:szCs w:val="32"/>
          <w:lang w:val="en-US" w:eastAsia="zh-CN"/>
        </w:rPr>
        <w:t>=</w:t>
      </w:r>
      <w:r>
        <w:rPr>
          <w:rFonts w:hint="eastAsia"/>
          <w:color w:val="auto"/>
          <w:sz w:val="32"/>
          <w:szCs w:val="32"/>
          <w:lang w:eastAsia="zh-CN"/>
        </w:rPr>
        <w:t>11人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11人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指标2：租赁车辆数，指标值：=2辆，实际完成值</w:t>
      </w:r>
      <w:r>
        <w:rPr>
          <w:rFonts w:hint="eastAsia"/>
          <w:color w:val="auto"/>
          <w:sz w:val="32"/>
          <w:szCs w:val="32"/>
          <w:lang w:eastAsia="zh-CN"/>
        </w:rPr>
        <w:t>：</w:t>
      </w:r>
      <w:r>
        <w:rPr>
          <w:rFonts w:hint="eastAsia"/>
          <w:color w:val="auto"/>
          <w:sz w:val="32"/>
          <w:szCs w:val="32"/>
        </w:rPr>
        <w:t>2辆，指标完成率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110KV变电站</w:t>
      </w:r>
      <w:r>
        <w:rPr>
          <w:rFonts w:hint="eastAsia"/>
          <w:color w:val="auto"/>
          <w:sz w:val="32"/>
          <w:szCs w:val="32"/>
        </w:rPr>
        <w:t>，指标值</w:t>
      </w:r>
      <w:r>
        <w:rPr>
          <w:rFonts w:hint="eastAsia"/>
          <w:color w:val="auto"/>
          <w:sz w:val="32"/>
          <w:szCs w:val="32"/>
          <w:lang w:eastAsia="zh-CN"/>
        </w:rPr>
        <w:t>：=2座</w:t>
      </w:r>
      <w:r>
        <w:rPr>
          <w:rFonts w:hint="eastAsia"/>
          <w:color w:val="auto"/>
          <w:sz w:val="32"/>
          <w:szCs w:val="32"/>
        </w:rPr>
        <w:t>，实际完成值</w:t>
      </w:r>
      <w:r>
        <w:rPr>
          <w:rFonts w:hint="eastAsia"/>
          <w:color w:val="auto"/>
          <w:sz w:val="32"/>
          <w:szCs w:val="32"/>
          <w:lang w:eastAsia="zh-CN"/>
        </w:rPr>
        <w:t>：2座</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售电量</w:t>
      </w:r>
      <w:r>
        <w:rPr>
          <w:rFonts w:hint="eastAsia"/>
          <w:color w:val="auto"/>
          <w:sz w:val="32"/>
          <w:szCs w:val="32"/>
        </w:rPr>
        <w:t>，指标值</w:t>
      </w:r>
      <w:r>
        <w:rPr>
          <w:rFonts w:hint="eastAsia"/>
          <w:color w:val="auto"/>
          <w:sz w:val="32"/>
          <w:szCs w:val="32"/>
          <w:lang w:eastAsia="zh-CN"/>
        </w:rPr>
        <w:t>：=20000000千瓦·时</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192</w:t>
      </w:r>
      <w:r>
        <w:rPr>
          <w:rFonts w:hint="eastAsia"/>
          <w:color w:val="auto"/>
          <w:sz w:val="32"/>
          <w:szCs w:val="32"/>
          <w:lang w:eastAsia="zh-CN"/>
        </w:rPr>
        <w:t>00000千瓦·时</w:t>
      </w:r>
      <w:r>
        <w:rPr>
          <w:rFonts w:hint="eastAsia"/>
          <w:color w:val="auto"/>
          <w:sz w:val="32"/>
          <w:szCs w:val="32"/>
        </w:rPr>
        <w:t>，指标完成率</w:t>
      </w:r>
      <w:r>
        <w:rPr>
          <w:rFonts w:hint="eastAsia"/>
          <w:color w:val="auto"/>
          <w:sz w:val="32"/>
          <w:szCs w:val="32"/>
          <w:lang w:val="en-US" w:eastAsia="zh-CN"/>
        </w:rPr>
        <w:t>96</w:t>
      </w:r>
      <w:r>
        <w:rPr>
          <w:rFonts w:hint="eastAsia"/>
          <w:color w:val="auto"/>
          <w:sz w:val="32"/>
          <w:szCs w:val="32"/>
        </w:rPr>
        <w:t>%，偏差原因：年初预估值与实际稍有偏差</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w:t>
      </w:r>
      <w:r>
        <w:rPr>
          <w:rFonts w:hint="eastAsia" w:ascii="仿宋_GB2312" w:hAnsi="仿宋_GB2312" w:eastAsia="仿宋_GB2312" w:cs="仿宋_GB2312"/>
          <w:sz w:val="32"/>
          <w:szCs w:val="32"/>
          <w:highlight w:val="none"/>
        </w:rPr>
        <w:t>供电质量合格率</w:t>
      </w:r>
      <w:r>
        <w:rPr>
          <w:rFonts w:hint="eastAsia"/>
          <w:color w:val="auto"/>
          <w:sz w:val="32"/>
          <w:szCs w:val="32"/>
        </w:rPr>
        <w:t>，指标值：=100%，实际完成值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指标2：</w:t>
      </w:r>
      <w:r>
        <w:rPr>
          <w:rFonts w:hint="eastAsia"/>
          <w:color w:val="auto"/>
          <w:sz w:val="32"/>
          <w:szCs w:val="32"/>
          <w:lang w:eastAsia="zh-CN"/>
        </w:rPr>
        <w:t>资金发放准确率</w:t>
      </w:r>
      <w:r>
        <w:rPr>
          <w:rFonts w:hint="eastAsia"/>
          <w:color w:val="auto"/>
          <w:sz w:val="32"/>
          <w:szCs w:val="32"/>
        </w:rPr>
        <w:t>，指标值：=100%，实际完成值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eastAsia="仿宋_GB2312"/>
          <w:color w:val="FF0000"/>
          <w:sz w:val="32"/>
          <w:szCs w:val="32"/>
          <w:lang w:eastAsia="zh-CN"/>
        </w:rPr>
      </w:pPr>
      <w:bookmarkStart w:id="14" w:name="_Toc68703841"/>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w:t>
      </w:r>
      <w:r>
        <w:rPr>
          <w:rFonts w:hint="eastAsia"/>
          <w:color w:val="auto"/>
          <w:sz w:val="32"/>
          <w:szCs w:val="32"/>
          <w:lang w:eastAsia="zh-CN"/>
        </w:rPr>
        <w:t>资金发放及时率</w:t>
      </w:r>
      <w:r>
        <w:rPr>
          <w:rFonts w:hint="eastAsia"/>
          <w:color w:val="auto"/>
          <w:sz w:val="32"/>
          <w:szCs w:val="32"/>
        </w:rPr>
        <w:t>，指标值：=100%，实际完成值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shd w:val="clear"/>
        <w:spacing w:line="600" w:lineRule="exact"/>
        <w:ind w:firstLine="640" w:firstLineChars="200"/>
        <w:outlineLvl w:val="0"/>
        <w:rPr>
          <w:rFonts w:hint="eastAsia"/>
          <w:color w:val="auto"/>
          <w:sz w:val="32"/>
          <w:szCs w:val="32"/>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rPr>
        <w:t>：</w:t>
      </w:r>
      <w:r>
        <w:rPr>
          <w:rFonts w:hint="eastAsia"/>
          <w:color w:val="auto"/>
          <w:sz w:val="32"/>
          <w:szCs w:val="32"/>
          <w:lang w:eastAsia="zh-CN"/>
        </w:rPr>
        <w:t>变电站运维费用</w:t>
      </w:r>
      <w:r>
        <w:rPr>
          <w:rFonts w:hint="eastAsia"/>
          <w:color w:val="auto"/>
          <w:sz w:val="32"/>
          <w:szCs w:val="32"/>
        </w:rPr>
        <w:t>，指标值：&lt;=143.40万元，实际完成值</w:t>
      </w:r>
      <w:r>
        <w:rPr>
          <w:rFonts w:hint="eastAsia"/>
          <w:color w:val="auto"/>
          <w:sz w:val="32"/>
          <w:szCs w:val="32"/>
          <w:lang w:eastAsia="zh-CN"/>
        </w:rPr>
        <w:t>：154.3万元</w:t>
      </w:r>
      <w:r>
        <w:rPr>
          <w:rFonts w:hint="eastAsia"/>
          <w:color w:val="auto"/>
          <w:sz w:val="32"/>
          <w:szCs w:val="32"/>
        </w:rPr>
        <w:t>，指标完成率</w:t>
      </w:r>
      <w:r>
        <w:rPr>
          <w:rFonts w:hint="eastAsia"/>
          <w:color w:val="auto"/>
          <w:sz w:val="32"/>
          <w:szCs w:val="32"/>
          <w:lang w:val="en-US" w:eastAsia="zh-CN"/>
        </w:rPr>
        <w:t>0</w:t>
      </w:r>
      <w:r>
        <w:rPr>
          <w:rFonts w:hint="eastAsia"/>
          <w:color w:val="auto"/>
          <w:sz w:val="32"/>
          <w:szCs w:val="32"/>
        </w:rPr>
        <w:t>%，偏差原因：因运维线路增多，线路增长，导致运维成本增加，运维费用增多，今后严格做好预算管理。</w:t>
      </w:r>
    </w:p>
    <w:p>
      <w:pPr>
        <w:shd w:val="clear"/>
        <w:spacing w:line="600" w:lineRule="exact"/>
        <w:ind w:firstLine="640" w:firstLineChars="200"/>
        <w:outlineLvl w:val="0"/>
        <w:rPr>
          <w:rFonts w:hint="eastAsia"/>
          <w:color w:val="auto"/>
          <w:sz w:val="32"/>
          <w:szCs w:val="32"/>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r>
        <w:rPr>
          <w:rFonts w:hint="eastAsia"/>
          <w:color w:val="auto"/>
          <w:sz w:val="32"/>
          <w:szCs w:val="32"/>
          <w:lang w:eastAsia="zh-CN"/>
        </w:rPr>
        <w:t>车辆租赁及燃油费用</w:t>
      </w:r>
      <w:r>
        <w:rPr>
          <w:rFonts w:hint="eastAsia"/>
          <w:color w:val="auto"/>
          <w:sz w:val="32"/>
          <w:szCs w:val="32"/>
        </w:rPr>
        <w:t>，指标值：&lt;=22万元，实际完成值</w:t>
      </w:r>
      <w:r>
        <w:rPr>
          <w:rFonts w:hint="eastAsia"/>
          <w:color w:val="auto"/>
          <w:sz w:val="32"/>
          <w:szCs w:val="32"/>
          <w:lang w:eastAsia="zh-CN"/>
        </w:rPr>
        <w:t>：</w:t>
      </w:r>
      <w:r>
        <w:rPr>
          <w:rFonts w:hint="eastAsia"/>
          <w:color w:val="auto"/>
          <w:sz w:val="32"/>
          <w:szCs w:val="32"/>
        </w:rPr>
        <w:t>22万元，指标完成率</w:t>
      </w:r>
      <w:r>
        <w:rPr>
          <w:rFonts w:hint="eastAsia"/>
          <w:color w:val="auto"/>
          <w:sz w:val="32"/>
          <w:szCs w:val="32"/>
          <w:lang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eastAsia="仿宋_GB2312"/>
          <w:color w:val="auto"/>
          <w:sz w:val="32"/>
          <w:szCs w:val="32"/>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w:t>
      </w:r>
      <w:r>
        <w:rPr>
          <w:rFonts w:hint="eastAsia"/>
          <w:color w:val="auto"/>
          <w:sz w:val="32"/>
          <w:szCs w:val="32"/>
          <w:lang w:eastAsia="zh-CN"/>
        </w:rPr>
        <w:t>人工工资金额</w:t>
      </w:r>
      <w:r>
        <w:rPr>
          <w:rFonts w:hint="eastAsia"/>
          <w:color w:val="auto"/>
          <w:sz w:val="32"/>
          <w:szCs w:val="32"/>
        </w:rPr>
        <w:t>，指标值：&lt;=104.60万元，实际完成值</w:t>
      </w:r>
      <w:r>
        <w:rPr>
          <w:rFonts w:hint="eastAsia"/>
          <w:color w:val="auto"/>
          <w:sz w:val="32"/>
          <w:szCs w:val="32"/>
          <w:lang w:eastAsia="zh-CN"/>
        </w:rPr>
        <w:t>：</w:t>
      </w:r>
      <w:r>
        <w:rPr>
          <w:rFonts w:hint="eastAsia"/>
          <w:color w:val="auto"/>
          <w:sz w:val="32"/>
          <w:szCs w:val="32"/>
          <w:lang w:val="en-US" w:eastAsia="zh-CN"/>
        </w:rPr>
        <w:t>96.9万元</w:t>
      </w:r>
      <w:r>
        <w:rPr>
          <w:rFonts w:hint="eastAsia"/>
          <w:color w:val="auto"/>
          <w:sz w:val="32"/>
          <w:szCs w:val="32"/>
        </w:rPr>
        <w:t>，指标完成率</w:t>
      </w:r>
      <w:r>
        <w:rPr>
          <w:rFonts w:hint="eastAsia"/>
          <w:color w:val="auto"/>
          <w:sz w:val="32"/>
          <w:szCs w:val="32"/>
          <w:lang w:val="en-US" w:eastAsia="zh-CN"/>
        </w:rPr>
        <w:t>92.64</w:t>
      </w:r>
      <w:r>
        <w:rPr>
          <w:rFonts w:hint="eastAsia"/>
          <w:color w:val="auto"/>
          <w:sz w:val="32"/>
          <w:szCs w:val="32"/>
        </w:rPr>
        <w:t>%，偏差原因：人员工资调整</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rPr>
        <w:t>：</w:t>
      </w:r>
      <w:r>
        <w:rPr>
          <w:rFonts w:hint="eastAsia"/>
          <w:color w:val="auto"/>
          <w:sz w:val="32"/>
          <w:szCs w:val="32"/>
          <w:lang w:eastAsia="zh-CN"/>
        </w:rPr>
        <w:t>售电量补贴成本</w:t>
      </w:r>
      <w:r>
        <w:rPr>
          <w:rFonts w:hint="eastAsia"/>
          <w:color w:val="auto"/>
          <w:sz w:val="32"/>
          <w:szCs w:val="32"/>
        </w:rPr>
        <w:t>，指标值：&lt;=0.04元，实际完成值</w:t>
      </w:r>
      <w:r>
        <w:rPr>
          <w:rFonts w:hint="eastAsia"/>
          <w:color w:val="auto"/>
          <w:sz w:val="32"/>
          <w:szCs w:val="32"/>
          <w:lang w:eastAsia="zh-CN"/>
        </w:rPr>
        <w:t>：</w:t>
      </w:r>
      <w:r>
        <w:rPr>
          <w:rFonts w:hint="eastAsia"/>
          <w:color w:val="auto"/>
          <w:sz w:val="32"/>
          <w:szCs w:val="32"/>
        </w:rPr>
        <w:t>0.04元，指标完成率</w:t>
      </w:r>
      <w:r>
        <w:rPr>
          <w:rFonts w:hint="eastAsia"/>
          <w:color w:val="auto"/>
          <w:sz w:val="32"/>
          <w:szCs w:val="32"/>
          <w:lang w:eastAsia="zh-CN"/>
        </w:rPr>
        <w:t>100</w:t>
      </w:r>
      <w:r>
        <w:rPr>
          <w:rFonts w:hint="eastAsia"/>
          <w:color w:val="auto"/>
          <w:sz w:val="32"/>
          <w:szCs w:val="32"/>
        </w:rPr>
        <w:t>%</w:t>
      </w:r>
      <w:r>
        <w:rPr>
          <w:rFonts w:hint="eastAsia"/>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default"/>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rPr>
        <w:t>：</w:t>
      </w:r>
      <w:r>
        <w:rPr>
          <w:rFonts w:hint="eastAsia"/>
          <w:color w:val="auto"/>
          <w:sz w:val="32"/>
          <w:szCs w:val="32"/>
          <w:lang w:eastAsia="zh-CN"/>
        </w:rPr>
        <w:t>提高南部产业园区用户用电质量</w:t>
      </w:r>
      <w:r>
        <w:rPr>
          <w:rFonts w:hint="eastAsia"/>
          <w:color w:val="auto"/>
          <w:sz w:val="32"/>
          <w:szCs w:val="32"/>
        </w:rPr>
        <w:t>，指标值：有效提高，实际完成值</w:t>
      </w:r>
      <w:r>
        <w:rPr>
          <w:rFonts w:hint="eastAsia"/>
          <w:color w:val="auto"/>
          <w:sz w:val="32"/>
          <w:szCs w:val="32"/>
          <w:lang w:eastAsia="zh-CN"/>
        </w:rPr>
        <w:t>：</w:t>
      </w:r>
      <w:r>
        <w:rPr>
          <w:rFonts w:hint="eastAsia"/>
          <w:color w:val="auto"/>
          <w:sz w:val="32"/>
          <w:szCs w:val="32"/>
        </w:rPr>
        <w:t>有效提高，指标完成率</w:t>
      </w:r>
      <w:r>
        <w:rPr>
          <w:rFonts w:hint="eastAsia"/>
          <w:color w:val="auto"/>
          <w:sz w:val="32"/>
          <w:szCs w:val="32"/>
          <w:lang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rPr>
        <w:t>：</w:t>
      </w:r>
      <w:r>
        <w:rPr>
          <w:rFonts w:hint="eastAsia"/>
          <w:color w:val="auto"/>
          <w:sz w:val="32"/>
          <w:szCs w:val="32"/>
          <w:lang w:eastAsia="zh-CN"/>
        </w:rPr>
        <w:t>用户满意度</w:t>
      </w:r>
      <w:r>
        <w:rPr>
          <w:rFonts w:hint="eastAsia"/>
          <w:color w:val="auto"/>
          <w:sz w:val="32"/>
          <w:szCs w:val="32"/>
        </w:rPr>
        <w:t>，指标值：&gt;=95%，实际完成值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eastAsia="zh-CN"/>
        </w:rPr>
        <w:t>100</w:t>
      </w:r>
      <w:r>
        <w:rPr>
          <w:rFonts w:hint="eastAsia"/>
          <w:color w:val="auto"/>
          <w:sz w:val="32"/>
          <w:szCs w:val="32"/>
        </w:rPr>
        <w:t>%</w:t>
      </w:r>
      <w:r>
        <w:rPr>
          <w:rFonts w:hint="eastAsia"/>
          <w:color w:val="auto"/>
          <w:sz w:val="32"/>
          <w:szCs w:val="32"/>
          <w:lang w:eastAsia="zh-CN"/>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color w:val="auto"/>
          <w:kern w:val="2"/>
          <w:sz w:val="32"/>
          <w:szCs w:val="32"/>
          <w:lang w:val="en-US" w:eastAsia="zh-CN" w:bidi="ar-SA"/>
        </w:rPr>
        <w:t>南部产业园区变电站及输配电运维费项目年初预算</w:t>
      </w:r>
      <w:r>
        <w:rPr>
          <w:rFonts w:hint="eastAsia" w:ascii="仿宋_GB2312" w:hAnsi="仿宋_GB2312" w:cs="仿宋_GB2312"/>
          <w:color w:val="auto"/>
          <w:kern w:val="2"/>
          <w:sz w:val="32"/>
          <w:szCs w:val="32"/>
          <w:lang w:val="en-US" w:eastAsia="zh-CN" w:bidi="ar-SA"/>
        </w:rPr>
        <w:t>350</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350</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350</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91.84</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8.16</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偏差</w:t>
      </w:r>
      <w:r>
        <w:rPr>
          <w:rFonts w:hint="eastAsia" w:ascii="仿宋_GB2312" w:hAnsi="仿宋_GB2312" w:eastAsia="仿宋_GB2312" w:cs="仿宋_GB2312"/>
          <w:color w:val="auto"/>
          <w:kern w:val="2"/>
          <w:sz w:val="32"/>
          <w:szCs w:val="32"/>
          <w:lang w:val="en-US" w:eastAsia="zh-CN" w:bidi="ar-SA"/>
        </w:rPr>
        <w:t>原因</w:t>
      </w:r>
      <w:r>
        <w:rPr>
          <w:rFonts w:hint="eastAsia" w:ascii="仿宋_GB2312" w:hAnsi="仿宋_GB2312" w:cs="仿宋_GB2312"/>
          <w:color w:val="auto"/>
          <w:kern w:val="2"/>
          <w:sz w:val="32"/>
          <w:szCs w:val="32"/>
          <w:lang w:val="en-US" w:eastAsia="zh-CN" w:bidi="ar-SA"/>
        </w:rPr>
        <w:t>：</w:t>
      </w:r>
      <w:r>
        <w:rPr>
          <w:rFonts w:hint="eastAsia"/>
          <w:color w:val="auto"/>
          <w:sz w:val="32"/>
          <w:szCs w:val="32"/>
        </w:rPr>
        <w:t>年初预估值与实际稍有偏差</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改进</w:t>
      </w:r>
      <w:r>
        <w:rPr>
          <w:rFonts w:hint="eastAsia" w:ascii="仿宋_GB2312" w:hAnsi="仿宋_GB2312" w:eastAsia="仿宋_GB2312" w:cs="仿宋_GB2312"/>
          <w:color w:val="auto"/>
          <w:kern w:val="2"/>
          <w:sz w:val="32"/>
          <w:szCs w:val="32"/>
          <w:lang w:val="en-US" w:eastAsia="zh-CN" w:bidi="ar-SA"/>
        </w:rPr>
        <w:t>措</w:t>
      </w:r>
      <w:r>
        <w:rPr>
          <w:rFonts w:hint="eastAsia" w:ascii="仿宋_GB2312" w:hAnsi="仿宋_GB2312" w:eastAsia="仿宋_GB2312" w:cs="仿宋_GB2312"/>
          <w:kern w:val="2"/>
          <w:sz w:val="32"/>
          <w:szCs w:val="32"/>
          <w:lang w:val="en-US" w:eastAsia="zh-CN" w:bidi="ar-SA"/>
        </w:rPr>
        <w:t>施</w:t>
      </w:r>
      <w:r>
        <w:rPr>
          <w:rFonts w:hint="eastAsia" w:ascii="仿宋_GB2312" w:hAnsi="仿宋_GB2312" w:cs="仿宋_GB2312"/>
          <w:kern w:val="2"/>
          <w:sz w:val="32"/>
          <w:szCs w:val="32"/>
          <w:lang w:val="en-US" w:eastAsia="zh-CN" w:bidi="ar-SA"/>
        </w:rPr>
        <w:t>：加强预算管理</w:t>
      </w:r>
      <w:r>
        <w:rPr>
          <w:rFonts w:hint="eastAsia" w:ascii="仿宋_GB2312" w:hAnsi="仿宋_GB2312" w:eastAsia="仿宋_GB2312" w:cs="仿宋_GB2312"/>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黑体" w:cs="Times New Roman"/>
          <w:b w:val="0"/>
          <w:bCs/>
          <w:kern w:val="2"/>
          <w:sz w:val="32"/>
          <w:szCs w:val="32"/>
          <w:lang w:val="en-US" w:eastAsia="zh-CN" w:bidi="ar-SA"/>
        </w:rPr>
      </w:pPr>
      <w:bookmarkStart w:id="19" w:name="_Toc68703846"/>
      <w:r>
        <w:rPr>
          <w:rFonts w:hint="eastAsia" w:ascii="Times New Roman" w:hAnsi="Times New Roman" w:eastAsia="黑体" w:cs="Times New Roman"/>
          <w:b w:val="0"/>
          <w:bCs/>
          <w:kern w:val="2"/>
          <w:sz w:val="32"/>
          <w:szCs w:val="32"/>
          <w:lang w:val="en-US" w:eastAsia="zh-CN" w:bidi="ar-SA"/>
        </w:rPr>
        <w:t>八、其他需要说明的问题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FF0000"/>
          <w:sz w:val="32"/>
          <w:szCs w:val="32"/>
        </w:rPr>
      </w:pPr>
      <w:r>
        <w:rPr>
          <w:rFonts w:hint="eastAsia" w:ascii="仿宋_GB2312" w:hAnsi="仿宋_GB2312" w:cs="仿宋_GB2312"/>
          <w:sz w:val="32"/>
          <w:szCs w:val="32"/>
          <w:lang w:eastAsia="zh-CN"/>
        </w:rPr>
        <w:t>　</w:t>
      </w:r>
      <w:r>
        <w:rPr>
          <w:rFonts w:hint="eastAsia" w:ascii="仿宋_GB2312" w:hAnsi="仿宋_GB2312" w:cs="仿宋_GB2312"/>
          <w:sz w:val="32"/>
          <w:szCs w:val="32"/>
          <w:lang w:val="en-US" w:eastAsia="zh-CN"/>
        </w:rPr>
        <w:t xml:space="preserve">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
    <w:p>
      <w:pPr>
        <w:pStyle w:val="2"/>
      </w:pPr>
    </w:p>
    <w:p>
      <w:pPr>
        <w:pStyle w:val="2"/>
        <w:jc w:val="both"/>
      </w:pPr>
    </w:p>
    <w:p/>
    <w:p>
      <w:pPr>
        <w:pStyle w:val="2"/>
      </w:pPr>
    </w:p>
    <w:p/>
    <w:p>
      <w:pPr>
        <w:pStyle w:val="2"/>
      </w:pPr>
    </w:p>
    <w:p/>
    <w:p>
      <w:pPr>
        <w:pStyle w:val="2"/>
      </w:pPr>
      <w:bookmarkStart w:id="22" w:name="_GoBack"/>
      <w:bookmarkEnd w:id="22"/>
    </w:p>
    <w:p>
      <w:pPr>
        <w:pStyle w:val="2"/>
        <w:jc w:val="both"/>
      </w:pPr>
    </w:p>
    <w:tbl>
      <w:tblPr>
        <w:tblStyle w:val="11"/>
        <w:tblW w:w="8868" w:type="dxa"/>
        <w:tblInd w:w="0" w:type="dxa"/>
        <w:tblLayout w:type="fixed"/>
        <w:tblCellMar>
          <w:top w:w="0" w:type="dxa"/>
          <w:left w:w="0" w:type="dxa"/>
          <w:bottom w:w="0" w:type="dxa"/>
          <w:right w:w="0" w:type="dxa"/>
        </w:tblCellMar>
      </w:tblPr>
      <w:tblGrid>
        <w:gridCol w:w="697"/>
        <w:gridCol w:w="698"/>
        <w:gridCol w:w="697"/>
        <w:gridCol w:w="698"/>
        <w:gridCol w:w="649"/>
        <w:gridCol w:w="407"/>
        <w:gridCol w:w="970"/>
        <w:gridCol w:w="862"/>
        <w:gridCol w:w="562"/>
        <w:gridCol w:w="504"/>
        <w:gridCol w:w="572"/>
        <w:gridCol w:w="397"/>
        <w:gridCol w:w="456"/>
        <w:gridCol w:w="699"/>
      </w:tblGrid>
      <w:tr>
        <w:tblPrEx>
          <w:tblLayout w:type="fixed"/>
          <w:tblCellMar>
            <w:top w:w="0" w:type="dxa"/>
            <w:left w:w="0" w:type="dxa"/>
            <w:bottom w:w="0" w:type="dxa"/>
            <w:right w:w="0" w:type="dxa"/>
          </w:tblCellMar>
        </w:tblPrEx>
        <w:trPr>
          <w:trHeight w:val="420" w:hRule="atLeast"/>
        </w:trPr>
        <w:tc>
          <w:tcPr>
            <w:tcW w:w="8868"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68"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项目名称</w:t>
            </w:r>
          </w:p>
        </w:tc>
        <w:tc>
          <w:tcPr>
            <w:tcW w:w="7473"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南部产业园区变电站及输配电运维费项目</w:t>
            </w:r>
          </w:p>
        </w:tc>
      </w:tr>
      <w:tr>
        <w:tblPrEx>
          <w:tblLayout w:type="fixed"/>
          <w:tblCellMar>
            <w:top w:w="0" w:type="dxa"/>
            <w:left w:w="0" w:type="dxa"/>
            <w:bottom w:w="0" w:type="dxa"/>
            <w:right w:w="0" w:type="dxa"/>
          </w:tblCellMar>
        </w:tblPrEx>
        <w:trPr>
          <w:trHeight w:val="276" w:hRule="atLeast"/>
        </w:trPr>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主管部门</w:t>
            </w:r>
          </w:p>
        </w:tc>
        <w:tc>
          <w:tcPr>
            <w:tcW w:w="3421"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霍尔果斯南部产业园区管理委员会</w:t>
            </w:r>
          </w:p>
        </w:tc>
        <w:tc>
          <w:tcPr>
            <w:tcW w:w="142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实施单位</w:t>
            </w:r>
          </w:p>
        </w:tc>
        <w:tc>
          <w:tcPr>
            <w:tcW w:w="262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霍尔果斯南部产业园区管理委员会</w:t>
            </w:r>
          </w:p>
        </w:tc>
      </w:tr>
      <w:tr>
        <w:tblPrEx>
          <w:tblLayout w:type="fixed"/>
          <w:tblCellMar>
            <w:top w:w="0" w:type="dxa"/>
            <w:left w:w="0" w:type="dxa"/>
            <w:bottom w:w="0" w:type="dxa"/>
            <w:right w:w="0" w:type="dxa"/>
          </w:tblCellMar>
        </w:tblPrEx>
        <w:trPr>
          <w:trHeight w:val="276" w:hRule="atLeast"/>
        </w:trPr>
        <w:tc>
          <w:tcPr>
            <w:tcW w:w="13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年初预算数</w:t>
            </w: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全年预算数</w:t>
            </w:r>
          </w:p>
        </w:tc>
        <w:tc>
          <w:tcPr>
            <w:tcW w:w="142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全年执行数</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执行率</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3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年度资金总额</w:t>
            </w:r>
          </w:p>
        </w:tc>
        <w:tc>
          <w:tcPr>
            <w:tcW w:w="6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350.00</w:t>
            </w: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350</w:t>
            </w:r>
          </w:p>
        </w:tc>
        <w:tc>
          <w:tcPr>
            <w:tcW w:w="142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350.00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100.00%</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10.00分</w:t>
            </w:r>
          </w:p>
        </w:tc>
      </w:tr>
      <w:tr>
        <w:tblPrEx>
          <w:tblLayout w:type="fixed"/>
          <w:tblCellMar>
            <w:top w:w="0" w:type="dxa"/>
            <w:left w:w="0" w:type="dxa"/>
            <w:bottom w:w="0" w:type="dxa"/>
            <w:right w:w="0" w:type="dxa"/>
          </w:tblCellMar>
        </w:tblPrEx>
        <w:trPr>
          <w:trHeight w:val="638" w:hRule="atLeast"/>
        </w:trPr>
        <w:tc>
          <w:tcPr>
            <w:tcW w:w="13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其中：当年财政拨款</w:t>
            </w:r>
          </w:p>
        </w:tc>
        <w:tc>
          <w:tcPr>
            <w:tcW w:w="6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350.00</w:t>
            </w: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350.00</w:t>
            </w:r>
          </w:p>
        </w:tc>
        <w:tc>
          <w:tcPr>
            <w:tcW w:w="142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350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上年结转资金</w:t>
            </w:r>
          </w:p>
        </w:tc>
        <w:tc>
          <w:tcPr>
            <w:tcW w:w="6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2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其他资金</w:t>
            </w:r>
          </w:p>
        </w:tc>
        <w:tc>
          <w:tcPr>
            <w:tcW w:w="6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0.00</w:t>
            </w: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0.00</w:t>
            </w:r>
          </w:p>
        </w:tc>
        <w:tc>
          <w:tcPr>
            <w:tcW w:w="142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年度总体目标</w:t>
            </w:r>
          </w:p>
        </w:tc>
        <w:tc>
          <w:tcPr>
            <w:tcW w:w="4119"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预期目标</w:t>
            </w:r>
          </w:p>
        </w:tc>
        <w:tc>
          <w:tcPr>
            <w:tcW w:w="4052"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19"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保障南部产业园区用户正常用电，保障变电站及配网正常运行，提高用户的用电质量。</w:t>
            </w:r>
          </w:p>
        </w:tc>
        <w:tc>
          <w:tcPr>
            <w:tcW w:w="4052"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已完成资金3500000元支付，保障南部产业园区2023年度用户正常用电，保障变电站及配网正常运行，提高用户的用电质量。</w:t>
            </w:r>
          </w:p>
        </w:tc>
      </w:tr>
      <w:tr>
        <w:tblPrEx>
          <w:tblLayout w:type="fixed"/>
          <w:tblCellMar>
            <w:top w:w="0" w:type="dxa"/>
            <w:left w:w="0" w:type="dxa"/>
            <w:bottom w:w="0" w:type="dxa"/>
            <w:right w:w="0" w:type="dxa"/>
          </w:tblCellMar>
        </w:tblPrEx>
        <w:trPr>
          <w:trHeight w:val="408"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一级指标</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二级指标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三级指标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年度指标值</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实际完成值</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年度绩效指标完成情况</w:t>
            </w:r>
          </w:p>
        </w:tc>
        <w:tc>
          <w:tcPr>
            <w:tcW w:w="6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产出指标</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技术人员人数</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=11人</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11人</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5</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租赁车辆数</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=2辆</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2辆</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5</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110KV变电站</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=2座</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2座</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6</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售电量</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=20000000千瓦·时</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19200000千瓦·时</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6</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5.76</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年初预估值与实际稍有偏差</w:t>
            </w:r>
          </w:p>
        </w:tc>
      </w:tr>
      <w:tr>
        <w:tblPrEx>
          <w:tblLayout w:type="fixed"/>
          <w:tblCellMar>
            <w:top w:w="0" w:type="dxa"/>
            <w:left w:w="0" w:type="dxa"/>
            <w:bottom w:w="0" w:type="dxa"/>
            <w:right w:w="0" w:type="dxa"/>
          </w:tblCellMar>
        </w:tblPrEx>
        <w:trPr>
          <w:trHeight w:val="62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质量指标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供电质量合格率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6</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质量指标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资金发放准确率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6</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时效指标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资金发放及时率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6</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成本指标</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经济成本指标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变电站运维费用</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&lt;=143.40万元</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154.3万元</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因运维线路增多，线路增长，导致运维成本增加，运维费用增多，今后严格做好预算管理。。</w:t>
            </w:r>
          </w:p>
        </w:tc>
      </w:tr>
      <w:tr>
        <w:tblPrEx>
          <w:tblLayout w:type="fixed"/>
          <w:tblCellMar>
            <w:top w:w="0" w:type="dxa"/>
            <w:left w:w="0" w:type="dxa"/>
            <w:bottom w:w="0" w:type="dxa"/>
            <w:right w:w="0" w:type="dxa"/>
          </w:tblCellMar>
        </w:tblPrEx>
        <w:trPr>
          <w:trHeight w:val="432"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经济成本指标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车辆租赁及燃油费用</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&lt;=22万元</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22万元</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经济成本指标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人工工资金额</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&lt;=104.60万元</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96.9万元</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4.63</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人员工资调整</w:t>
            </w:r>
          </w:p>
        </w:tc>
      </w:tr>
      <w:tr>
        <w:tblPrEx>
          <w:tblLayout w:type="fixed"/>
          <w:tblCellMar>
            <w:top w:w="0" w:type="dxa"/>
            <w:left w:w="0" w:type="dxa"/>
            <w:bottom w:w="0" w:type="dxa"/>
            <w:right w:w="0" w:type="dxa"/>
          </w:tblCellMar>
        </w:tblPrEx>
        <w:trPr>
          <w:trHeight w:val="432"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经济成本指标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售电量补贴成本</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&lt;=0.04元</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0.04元</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社会成本指标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color w:val="000000"/>
                <w:kern w:val="0"/>
                <w:sz w:val="20"/>
                <w:szCs w:val="20"/>
                <w:u w:val="none"/>
                <w:lang w:val="en-US" w:eastAsia="zh-CN" w:bidi="ar"/>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生态环境成本指标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color w:val="000000"/>
                <w:kern w:val="0"/>
                <w:sz w:val="20"/>
                <w:szCs w:val="20"/>
                <w:u w:val="none"/>
                <w:lang w:val="en-US" w:eastAsia="zh-CN" w:bidi="ar"/>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效益指标</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经济效益指标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color w:val="000000"/>
                <w:kern w:val="0"/>
                <w:sz w:val="20"/>
                <w:szCs w:val="20"/>
                <w:u w:val="none"/>
                <w:lang w:val="en-US" w:eastAsia="zh-CN" w:bidi="ar"/>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社会效益指标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提高南部产业园区用户用电质量</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有效提高</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有效提高</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生态效益指标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color w:val="000000"/>
                <w:kern w:val="0"/>
                <w:sz w:val="20"/>
                <w:szCs w:val="20"/>
                <w:u w:val="none"/>
                <w:lang w:val="en-US" w:eastAsia="zh-CN" w:bidi="ar"/>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满意度指标</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用户满意度</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&gt;=95%</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已全额及时支付</w:t>
            </w:r>
          </w:p>
        </w:tc>
      </w:tr>
      <w:tr>
        <w:tblPrEx>
          <w:tblLayout w:type="fixed"/>
          <w:tblCellMar>
            <w:top w:w="0" w:type="dxa"/>
            <w:left w:w="0" w:type="dxa"/>
            <w:bottom w:w="0" w:type="dxa"/>
            <w:right w:w="0" w:type="dxa"/>
          </w:tblCellMar>
        </w:tblPrEx>
        <w:trPr>
          <w:trHeight w:val="432" w:hRule="atLeast"/>
        </w:trPr>
        <w:tc>
          <w:tcPr>
            <w:tcW w:w="5678"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总分</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94.39分</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rPr>
      </w:pPr>
      <w:bookmarkStart w:id="20" w:name="_Toc30064_WPSOffice_Level1"/>
      <w:bookmarkStart w:id="21" w:name="_Toc26499_WPSOffice_Level2"/>
      <w:r>
        <w:rPr>
          <w:rFonts w:hint="eastAsia"/>
          <w:b/>
          <w:bCs/>
          <w:sz w:val="28"/>
          <w:szCs w:val="40"/>
        </w:rPr>
        <w:t>南部产业园区变电站及输配电运维费项目绩效评价指标体系及综合评分表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7.32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DFF5F47"/>
    <w:multiLevelType w:val="singleLevel"/>
    <w:tmpl w:val="FDFF5F47"/>
    <w:lvl w:ilvl="0" w:tentative="0">
      <w:start w:val="1"/>
      <w:numFmt w:val="decimal"/>
      <w:lvlText w:val="%1."/>
      <w:lvlJc w:val="left"/>
      <w:pPr>
        <w:tabs>
          <w:tab w:val="left" w:pos="312"/>
        </w:tabs>
      </w:pPr>
    </w:lvl>
  </w:abstractNum>
  <w:abstractNum w:abstractNumId="3">
    <w:nsid w:val="42717433"/>
    <w:multiLevelType w:val="singleLevel"/>
    <w:tmpl w:val="42717433"/>
    <w:lvl w:ilvl="0" w:tentative="0">
      <w:start w:val="1"/>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1CD015A"/>
    <w:rsid w:val="05253FFE"/>
    <w:rsid w:val="0D020289"/>
    <w:rsid w:val="0F2A6BF7"/>
    <w:rsid w:val="109627EE"/>
    <w:rsid w:val="17136327"/>
    <w:rsid w:val="181871E2"/>
    <w:rsid w:val="19166846"/>
    <w:rsid w:val="1BBE7325"/>
    <w:rsid w:val="20E92B23"/>
    <w:rsid w:val="22AC2218"/>
    <w:rsid w:val="2729052F"/>
    <w:rsid w:val="28C14634"/>
    <w:rsid w:val="2D5F65EC"/>
    <w:rsid w:val="2EC724D4"/>
    <w:rsid w:val="2EE30257"/>
    <w:rsid w:val="321145C7"/>
    <w:rsid w:val="34CE3978"/>
    <w:rsid w:val="34DA27CE"/>
    <w:rsid w:val="36411DC5"/>
    <w:rsid w:val="36B72533"/>
    <w:rsid w:val="39875AE6"/>
    <w:rsid w:val="3ACF21D0"/>
    <w:rsid w:val="3C9048D9"/>
    <w:rsid w:val="4057649F"/>
    <w:rsid w:val="41E17361"/>
    <w:rsid w:val="450B6AE4"/>
    <w:rsid w:val="50D93FD6"/>
    <w:rsid w:val="538E3287"/>
    <w:rsid w:val="54873A1A"/>
    <w:rsid w:val="56796849"/>
    <w:rsid w:val="568F383B"/>
    <w:rsid w:val="56BA294D"/>
    <w:rsid w:val="5D555EEF"/>
    <w:rsid w:val="5DA95371"/>
    <w:rsid w:val="64A55EEF"/>
    <w:rsid w:val="686F7714"/>
    <w:rsid w:val="68D853F9"/>
    <w:rsid w:val="6A862BA8"/>
    <w:rsid w:val="6A933F00"/>
    <w:rsid w:val="6DFC1C65"/>
    <w:rsid w:val="73791F60"/>
    <w:rsid w:val="75FA041F"/>
    <w:rsid w:val="760F49BD"/>
    <w:rsid w:val="76966891"/>
    <w:rsid w:val="76E870A0"/>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2</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2024-06-11T12:54:19Z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