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48"/>
          <w:szCs w:val="48"/>
        </w:rPr>
      </w:pPr>
    </w:p>
    <w:p>
      <w:pPr>
        <w:spacing w:line="540" w:lineRule="exact"/>
        <w:jc w:val="center"/>
        <w:rPr>
          <w:rFonts w:eastAsia="方正小标宋_GBK"/>
          <w:kern w:val="0"/>
          <w:sz w:val="48"/>
          <w:szCs w:val="48"/>
        </w:rPr>
      </w:pPr>
      <w:r>
        <w:rPr>
          <w:rFonts w:hint="eastAsia" w:eastAsia="方正小标宋_GBK"/>
          <w:kern w:val="0"/>
          <w:sz w:val="48"/>
          <w:szCs w:val="48"/>
          <w:lang w:eastAsia="zh-CN"/>
        </w:rPr>
        <w:t>霍尔果斯综合保税区管理委员会</w:t>
      </w:r>
      <w:r>
        <w:rPr>
          <w:rFonts w:eastAsia="方正小标宋_GBK"/>
          <w:kern w:val="0"/>
          <w:sz w:val="48"/>
          <w:szCs w:val="48"/>
        </w:rPr>
        <w:t>资金项目支出绩效评价报告</w:t>
      </w:r>
    </w:p>
    <w:p>
      <w:pPr>
        <w:jc w:val="center"/>
        <w:rPr>
          <w:rFonts w:ascii="宋体" w:hAnsi="宋体" w:eastAsia="宋体"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红豆小标宋简体" w:hAnsi="红豆小标宋简体" w:eastAsia="红豆小标宋简体" w:cs="红豆小标宋简体"/>
          <w:color w:val="000000"/>
          <w:kern w:val="0"/>
          <w:sz w:val="36"/>
          <w:szCs w:val="36"/>
        </w:rPr>
        <w:t>（2</w:t>
      </w:r>
      <w:r>
        <w:rPr>
          <w:rFonts w:ascii="红豆小标宋简体" w:hAnsi="红豆小标宋简体" w:eastAsia="红豆小标宋简体" w:cs="红豆小标宋简体"/>
          <w:color w:val="000000"/>
          <w:kern w:val="0"/>
          <w:sz w:val="36"/>
          <w:szCs w:val="36"/>
        </w:rPr>
        <w:t>02</w:t>
      </w:r>
      <w:r>
        <w:rPr>
          <w:rFonts w:hint="eastAsia" w:ascii="红豆小标宋简体" w:hAnsi="红豆小标宋简体" w:eastAsia="红豆小标宋简体" w:cs="红豆小标宋简体"/>
          <w:color w:val="000000"/>
          <w:kern w:val="0"/>
          <w:sz w:val="36"/>
          <w:szCs w:val="36"/>
          <w:lang w:val="en-US" w:eastAsia="zh-CN"/>
        </w:rPr>
        <w:t>3</w:t>
      </w:r>
      <w:r>
        <w:rPr>
          <w:rFonts w:hint="eastAsia" w:ascii="红豆小标宋简体" w:hAnsi="红豆小标宋简体" w:eastAsia="红豆小标宋简体" w:cs="红豆小标宋简体"/>
          <w:color w:val="000000"/>
          <w:kern w:val="0"/>
          <w:sz w:val="36"/>
          <w:szCs w:val="36"/>
        </w:rPr>
        <w:t>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560" w:lineRule="exact"/>
        <w:ind w:firstLine="321" w:firstLineChars="100"/>
        <w:jc w:val="both"/>
        <w:rPr>
          <w:rFonts w:ascii="宋体" w:hAnsi="宋体" w:eastAsia="宋体" w:cs="宋体"/>
          <w:kern w:val="0"/>
          <w:sz w:val="32"/>
          <w:szCs w:val="32"/>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项目名称：综保区土地补偿项目</w:t>
      </w:r>
    </w:p>
    <w:p>
      <w:pPr>
        <w:spacing w:line="560" w:lineRule="exact"/>
        <w:jc w:val="both"/>
        <w:rPr>
          <w:rFonts w:hint="eastAsia" w:ascii="宋体" w:hAnsi="宋体" w:eastAsia="宋体" w:cs="仿宋_GB2312"/>
          <w:b/>
          <w:bCs/>
          <w:color w:val="000000"/>
          <w:kern w:val="0"/>
          <w:sz w:val="32"/>
          <w:szCs w:val="32"/>
          <w:lang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实施单位（公章）：</w:t>
      </w:r>
      <w:r>
        <w:rPr>
          <w:rFonts w:hint="eastAsia" w:ascii="宋体" w:hAnsi="宋体" w:eastAsia="宋体" w:cs="仿宋_GB2312"/>
          <w:b/>
          <w:bCs/>
          <w:color w:val="000000"/>
          <w:kern w:val="0"/>
          <w:sz w:val="32"/>
          <w:szCs w:val="32"/>
          <w:lang w:eastAsia="zh-CN"/>
        </w:rPr>
        <w:t>开建集团　　　　　</w:t>
      </w:r>
    </w:p>
    <w:p>
      <w:pPr>
        <w:spacing w:line="560" w:lineRule="exact"/>
        <w:ind w:firstLine="1606" w:firstLineChars="500"/>
        <w:jc w:val="both"/>
        <w:rPr>
          <w:rFonts w:hint="eastAsia"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rPr>
        <w:t>主管部门（公章）：霍尔果斯综合保税区管理委员会</w:t>
      </w:r>
    </w:p>
    <w:p>
      <w:pPr>
        <w:spacing w:line="560" w:lineRule="exact"/>
        <w:ind w:firstLine="321" w:firstLineChars="100"/>
        <w:jc w:val="both"/>
        <w:rPr>
          <w:rFonts w:hint="eastAsia" w:ascii="宋体" w:hAnsi="宋体" w:eastAsia="宋体" w:cs="宋体"/>
          <w:kern w:val="0"/>
          <w:sz w:val="32"/>
          <w:szCs w:val="32"/>
          <w:lang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项目负责人（签章）：</w:t>
      </w:r>
      <w:r>
        <w:rPr>
          <w:rFonts w:hint="eastAsia" w:ascii="宋体" w:hAnsi="宋体" w:eastAsia="宋体" w:cs="仿宋_GB2312"/>
          <w:b/>
          <w:bCs/>
          <w:color w:val="000000"/>
          <w:kern w:val="0"/>
          <w:sz w:val="32"/>
          <w:szCs w:val="32"/>
          <w:lang w:eastAsia="zh-CN"/>
        </w:rPr>
        <w:t>苏磊</w:t>
      </w:r>
    </w:p>
    <w:p>
      <w:pPr>
        <w:spacing w:line="560" w:lineRule="exact"/>
        <w:ind w:firstLine="321" w:firstLineChars="100"/>
        <w:jc w:val="both"/>
        <w:rPr>
          <w:rFonts w:ascii="宋体" w:hAnsi="宋体" w:eastAsia="宋体" w:cs="仿宋_GB2312"/>
          <w:color w:val="000000"/>
          <w:kern w:val="0"/>
          <w:sz w:val="32"/>
          <w:szCs w:val="32"/>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填报时间：</w:t>
      </w:r>
      <w:r>
        <w:rPr>
          <w:rFonts w:hint="default" w:ascii="Times New Roman" w:hAnsi="Times New Roman" w:eastAsia="宋体" w:cs="Times New Roman"/>
          <w:color w:val="000000"/>
          <w:kern w:val="0"/>
          <w:sz w:val="32"/>
          <w:szCs w:val="32"/>
        </w:rPr>
        <w:t>202</w:t>
      </w:r>
      <w:r>
        <w:rPr>
          <w:rFonts w:hint="default" w:ascii="Times New Roman" w:hAnsi="Times New Roman" w:eastAsia="宋体" w:cs="Times New Roman"/>
          <w:color w:val="000000"/>
          <w:kern w:val="0"/>
          <w:sz w:val="32"/>
          <w:szCs w:val="32"/>
          <w:lang w:val="en-US" w:eastAsia="zh-CN"/>
        </w:rPr>
        <w:t>4</w:t>
      </w:r>
      <w:r>
        <w:rPr>
          <w:rFonts w:hint="eastAsia" w:ascii="宋体" w:hAnsi="宋体" w:eastAsia="宋体" w:cs="仿宋_GB2312"/>
          <w:color w:val="000000"/>
          <w:kern w:val="0"/>
          <w:sz w:val="32"/>
          <w:szCs w:val="32"/>
        </w:rPr>
        <w:t>年</w:t>
      </w:r>
      <w:r>
        <w:rPr>
          <w:rFonts w:hint="default" w:ascii="Times New Roman" w:hAnsi="Times New Roman" w:eastAsia="宋体" w:cs="Times New Roman"/>
          <w:color w:val="000000"/>
          <w:kern w:val="0"/>
          <w:sz w:val="32"/>
          <w:szCs w:val="32"/>
        </w:rPr>
        <w:t xml:space="preserve">  </w:t>
      </w:r>
      <w:r>
        <w:rPr>
          <w:rFonts w:hint="default" w:ascii="Times New Roman" w:hAnsi="Times New Roman" w:eastAsia="宋体" w:cs="Times New Roman"/>
          <w:color w:val="000000"/>
          <w:kern w:val="0"/>
          <w:sz w:val="32"/>
          <w:szCs w:val="32"/>
          <w:lang w:val="en-US" w:eastAsia="zh-CN"/>
        </w:rPr>
        <w:t>4</w:t>
      </w:r>
      <w:r>
        <w:rPr>
          <w:rFonts w:hint="default" w:ascii="Times New Roman" w:hAnsi="Times New Roman" w:eastAsia="宋体" w:cs="Times New Roman"/>
          <w:color w:val="000000"/>
          <w:kern w:val="0"/>
          <w:sz w:val="32"/>
          <w:szCs w:val="32"/>
        </w:rPr>
        <w:t xml:space="preserve"> </w:t>
      </w:r>
      <w:r>
        <w:rPr>
          <w:rFonts w:hint="eastAsia" w:ascii="宋体" w:hAnsi="宋体" w:eastAsia="宋体" w:cs="仿宋_GB2312"/>
          <w:color w:val="000000"/>
          <w:kern w:val="0"/>
          <w:sz w:val="32"/>
          <w:szCs w:val="32"/>
        </w:rPr>
        <w:t xml:space="preserve">月  </w:t>
      </w:r>
      <w:r>
        <w:rPr>
          <w:rFonts w:hint="default" w:ascii="Times New Roman" w:hAnsi="Times New Roman" w:eastAsia="宋体" w:cs="Times New Roman"/>
          <w:color w:val="000000"/>
          <w:kern w:val="0"/>
          <w:sz w:val="32"/>
          <w:szCs w:val="32"/>
          <w:lang w:val="en-US" w:eastAsia="zh-CN"/>
        </w:rPr>
        <w:t>11</w:t>
      </w:r>
      <w:r>
        <w:rPr>
          <w:rFonts w:hint="eastAsia" w:ascii="宋体" w:hAnsi="宋体" w:eastAsia="宋体" w:cs="仿宋_GB2312"/>
          <w:color w:val="000000"/>
          <w:kern w:val="0"/>
          <w:sz w:val="32"/>
          <w:szCs w:val="32"/>
        </w:rPr>
        <w:t xml:space="preserve"> 日</w:t>
      </w:r>
    </w:p>
    <w:p>
      <w:pPr>
        <w:widowControl/>
        <w:jc w:val="left"/>
        <w:rPr>
          <w:rFonts w:ascii="宋体" w:hAnsi="宋体" w:eastAsia="宋体" w:cs="Arial"/>
          <w:b/>
          <w:bCs/>
          <w:sz w:val="36"/>
          <w:szCs w:val="36"/>
        </w:rPr>
      </w:pPr>
      <w:r>
        <w:rPr>
          <w:rFonts w:ascii="宋体" w:hAnsi="宋体" w:eastAsia="宋体" w:cs="Arial"/>
          <w:b/>
          <w:bCs/>
          <w:sz w:val="36"/>
          <w:szCs w:val="36"/>
        </w:rPr>
        <w:br w:type="page"/>
      </w:r>
    </w:p>
    <w:p>
      <w:pPr>
        <w:numPr>
          <w:ilvl w:val="0"/>
          <w:numId w:val="1"/>
        </w:numPr>
        <w:spacing w:line="560" w:lineRule="exact"/>
        <w:rPr>
          <w:rFonts w:hint="eastAsia" w:ascii="Times New Roman" w:hAnsi="Times New Roman" w:eastAsia="黑体" w:cs="Times New Roman"/>
          <w:bCs/>
          <w:sz w:val="32"/>
          <w:szCs w:val="32"/>
        </w:rPr>
      </w:pPr>
      <w:bookmarkStart w:id="0" w:name="_Toc68703827"/>
      <w:r>
        <w:rPr>
          <w:rFonts w:hint="eastAsia" w:ascii="Times New Roman" w:hAnsi="Times New Roman" w:eastAsia="黑体" w:cs="Times New Roman"/>
          <w:bCs/>
          <w:sz w:val="32"/>
          <w:szCs w:val="32"/>
        </w:rPr>
        <w:t>基本情况</w:t>
      </w:r>
      <w:bookmarkEnd w:id="0"/>
      <w:bookmarkStart w:id="1" w:name="_Toc68703828"/>
    </w:p>
    <w:p>
      <w:pPr>
        <w:numPr>
          <w:ilvl w:val="0"/>
          <w:numId w:val="0"/>
        </w:numPr>
        <w:spacing w:line="560" w:lineRule="exact"/>
        <w:rPr>
          <w:rFonts w:hint="eastAsia" w:ascii="Times New Roman" w:hAnsi="Times New Roman" w:eastAsia="楷体_GB2312" w:cs="Times New Roman"/>
          <w:b/>
          <w:bCs/>
          <w:sz w:val="32"/>
          <w:szCs w:val="32"/>
          <w:lang w:eastAsia="zh-CN"/>
        </w:rPr>
      </w:pPr>
      <w:r>
        <w:rPr>
          <w:rFonts w:hint="eastAsia" w:ascii="Times New Roman" w:hAnsi="Times New Roman" w:eastAsia="楷体_GB2312" w:cs="Times New Roman"/>
          <w:b/>
          <w:bCs/>
          <w:sz w:val="32"/>
          <w:szCs w:val="32"/>
          <w:lang w:eastAsia="zh-CN"/>
        </w:rPr>
        <w:t>（一）</w:t>
      </w:r>
      <w:r>
        <w:rPr>
          <w:rFonts w:hint="eastAsia" w:ascii="Times New Roman" w:hAnsi="Times New Roman" w:eastAsia="楷体_GB2312" w:cs="Times New Roman"/>
          <w:b/>
          <w:bCs/>
          <w:sz w:val="32"/>
          <w:szCs w:val="32"/>
        </w:rPr>
        <w:t>项目概况</w:t>
      </w:r>
      <w:bookmarkEnd w:id="1"/>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lang w:eastAsia="zh-CN"/>
        </w:rPr>
      </w:pPr>
      <w:r>
        <w:rPr>
          <w:rFonts w:hint="eastAsia" w:ascii="Times New Roman" w:hAnsi="Times New Roman" w:cs="Times New Roman"/>
          <w:b w:val="0"/>
          <w:bCs w:val="0"/>
          <w:sz w:val="32"/>
          <w:szCs w:val="32"/>
          <w:lang w:val="en-US" w:eastAsia="zh-CN"/>
        </w:rPr>
        <w:t>　</w:t>
      </w:r>
      <w:r>
        <w:rPr>
          <w:rFonts w:hint="eastAsia" w:cs="Times New Roman"/>
          <w:b w:val="0"/>
          <w:bCs w:val="0"/>
          <w:sz w:val="32"/>
          <w:szCs w:val="32"/>
          <w:lang w:val="en-US" w:eastAsia="zh-CN"/>
        </w:rPr>
        <w:t>　</w:t>
      </w:r>
      <w:r>
        <w:rPr>
          <w:rFonts w:hint="eastAsia" w:ascii="Times New Roman" w:hAnsi="Times New Roman" w:eastAsia="仿宋_GB2312" w:cs="Times New Roman"/>
          <w:b w:val="0"/>
          <w:bCs w:val="0"/>
          <w:sz w:val="32"/>
          <w:szCs w:val="32"/>
          <w:lang w:val="en-US" w:eastAsia="zh-CN"/>
        </w:rPr>
        <w:t>1.项目背景：</w:t>
      </w:r>
    </w:p>
    <w:p>
      <w:pPr>
        <w:pStyle w:val="21"/>
      </w:pPr>
      <w:r>
        <w:t>窗体顶端</w:t>
      </w:r>
    </w:p>
    <w:p>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
          <w:color w:val="000000" w:themeColor="text1"/>
          <w:sz w:val="32"/>
          <w:szCs w:val="32"/>
          <w:lang w:val="en-US" w:eastAsia="zh-CN"/>
          <w14:textFill>
            <w14:solidFill>
              <w14:schemeClr w14:val="tx1"/>
            </w14:solidFill>
          </w14:textFill>
        </w:rPr>
      </w:pPr>
      <w:r>
        <w:rPr>
          <w:rFonts w:hint="eastAsia" w:ascii="仿宋_GB2312" w:hAnsi="仿宋"/>
          <w:color w:val="000000" w:themeColor="text1"/>
          <w:sz w:val="32"/>
          <w:szCs w:val="32"/>
          <w:lang w:val="en-US" w:eastAsia="zh-CN"/>
          <w14:textFill>
            <w14:solidFill>
              <w14:schemeClr w14:val="tx1"/>
            </w14:solidFill>
          </w14:textFill>
        </w:rPr>
        <w:t>以通道建设为依托扩大新疆对内对外开放，加强基础设施建设，发展现代产业，立足区位优势，把新建建设成丝绸之路经济带核心区。</w:t>
      </w:r>
      <w:r>
        <w:rPr>
          <w:rFonts w:ascii="宋体" w:hAnsi="宋体" w:eastAsia="宋体" w:cs="宋体"/>
          <w:color w:val="000000" w:themeColor="text1"/>
          <w:sz w:val="24"/>
          <w:szCs w:val="24"/>
          <w14:textFill>
            <w14:solidFill>
              <w14:schemeClr w14:val="tx1"/>
            </w14:solidFill>
          </w14:textFill>
        </w:rPr>
        <w:br w:type="textWrapping"/>
      </w:r>
      <w:r>
        <w:rPr>
          <w:rFonts w:hint="eastAsia" w:ascii="仿宋_GB2312" w:hAnsi="仿宋"/>
          <w:color w:val="000000" w:themeColor="text1"/>
          <w:sz w:val="32"/>
          <w:szCs w:val="32"/>
          <w:lang w:val="en-US" w:eastAsia="zh-CN"/>
          <w14:textFill>
            <w14:solidFill>
              <w14:schemeClr w14:val="tx1"/>
            </w14:solidFill>
          </w14:textFill>
        </w:rPr>
        <w:t>新建霍尔果斯国际产能合作园区建设项目，建设厂房总建筑面积约为3.6万平方米标准化厂房及及室外管线等附属设施的建设。</w:t>
      </w:r>
    </w:p>
    <w:p>
      <w:pPr>
        <w:pStyle w:val="22"/>
      </w:pPr>
      <w:r>
        <w:t>窗体底端</w:t>
      </w:r>
    </w:p>
    <w:p>
      <w:pPr>
        <w:pStyle w:val="21"/>
      </w:pPr>
      <w:r>
        <w:t>窗体顶端</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lang w:eastAsia="zh-CN"/>
        </w:rPr>
      </w:pPr>
      <w:r>
        <w:rPr>
          <w:rFonts w:hint="eastAsia" w:ascii="Times New Roman" w:hAnsi="Times New Roman" w:eastAsia="仿宋_GB2312" w:cs="Times New Roman"/>
          <w:b w:val="0"/>
          <w:bCs w:val="0"/>
          <w:sz w:val="32"/>
          <w:szCs w:val="32"/>
          <w:lang w:eastAsia="zh-CN"/>
        </w:rPr>
        <w:t>2</w:t>
      </w:r>
      <w:r>
        <w:rPr>
          <w:rFonts w:hint="eastAsia" w:ascii="Times New Roman" w:hAnsi="Times New Roman" w:eastAsia="仿宋_GB2312" w:cs="Times New Roman"/>
          <w:b w:val="0"/>
          <w:bCs w:val="0"/>
          <w:sz w:val="32"/>
          <w:szCs w:val="32"/>
          <w:lang w:val="en-US" w:eastAsia="zh-CN"/>
        </w:rPr>
        <w:t>.</w:t>
      </w:r>
      <w:r>
        <w:rPr>
          <w:rFonts w:hint="eastAsia" w:ascii="Times New Roman" w:hAnsi="Times New Roman" w:eastAsia="仿宋_GB2312" w:cs="Times New Roman"/>
          <w:b w:val="0"/>
          <w:bCs w:val="0"/>
          <w:sz w:val="32"/>
          <w:szCs w:val="32"/>
          <w:lang w:eastAsia="zh-CN"/>
        </w:rPr>
        <w:t>主要内容及实施情况</w:t>
      </w:r>
    </w:p>
    <w:p>
      <w:pPr>
        <w:spacing w:line="560" w:lineRule="exact"/>
        <w:ind w:firstLine="640" w:firstLineChars="200"/>
        <w:rPr>
          <w:rFonts w:hint="eastAsia" w:ascii="仿宋_GB2312"/>
          <w:sz w:val="32"/>
          <w:szCs w:val="32"/>
        </w:rPr>
      </w:pPr>
      <w:r>
        <w:rPr>
          <w:rFonts w:hint="eastAsia" w:ascii="仿宋_GB2312"/>
          <w:sz w:val="32"/>
          <w:szCs w:val="32"/>
          <w:lang w:val="en-US" w:eastAsia="zh-CN"/>
        </w:rPr>
        <w:t>主要内容：新建霍尔果斯国际产能合作园区建设项目，建设厂房总建筑面积约为3.6万平方米标准化厂房及及室外管线等附属设施的建设。</w:t>
      </w:r>
    </w:p>
    <w:p>
      <w:pPr>
        <w:spacing w:line="560" w:lineRule="exact"/>
        <w:ind w:firstLine="640" w:firstLineChars="200"/>
        <w:rPr>
          <w:rFonts w:hint="eastAsia" w:ascii="仿宋_GB2312"/>
          <w:sz w:val="32"/>
          <w:szCs w:val="32"/>
        </w:rPr>
      </w:pPr>
      <w:r>
        <w:rPr>
          <w:rFonts w:hint="eastAsia" w:ascii="仿宋_GB2312"/>
          <w:sz w:val="32"/>
          <w:szCs w:val="32"/>
          <w:lang w:val="en-US" w:eastAsia="zh-CN"/>
        </w:rPr>
        <w:t>测算依据：征收土地面积60752.8㎡，征收标准为75元/㎡，资金总额为456万元。</w:t>
      </w:r>
    </w:p>
    <w:p>
      <w:pPr>
        <w:spacing w:line="560" w:lineRule="exact"/>
        <w:ind w:firstLine="640" w:firstLineChars="200"/>
      </w:pPr>
      <w:r>
        <w:rPr>
          <w:rFonts w:hint="eastAsia" w:ascii="仿宋_GB2312"/>
          <w:sz w:val="32"/>
          <w:szCs w:val="32"/>
        </w:rPr>
        <w:t>实施情况：</w:t>
      </w:r>
      <w:r>
        <w:rPr>
          <w:rFonts w:eastAsia="仿宋_GB2312"/>
          <w:sz w:val="32"/>
          <w:szCs w:val="32"/>
        </w:rPr>
        <w:t>项目目前已经完成实际设立的目标，项目在实施过程中严格按照目标设立的各阶段任务进行开展工作，在前期立项过程中严格把质量关，建立安全防护机制，保证项目实施各阶段安全顺利进行。</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cs="Times New Roman"/>
          <w:b w:val="0"/>
          <w:bCs w:val="0"/>
          <w:sz w:val="32"/>
          <w:szCs w:val="32"/>
          <w:lang w:eastAsia="zh-CN"/>
        </w:rPr>
      </w:pPr>
      <w:r>
        <w:rPr>
          <w:rFonts w:hint="eastAsia" w:ascii="Times New Roman" w:hAnsi="Times New Roman" w:cs="Times New Roman"/>
          <w:b w:val="0"/>
          <w:bCs w:val="0"/>
          <w:sz w:val="32"/>
          <w:szCs w:val="32"/>
          <w:lang w:eastAsia="zh-CN"/>
        </w:rPr>
        <w:t>　3</w:t>
      </w:r>
      <w:r>
        <w:rPr>
          <w:rFonts w:hint="eastAsia" w:ascii="Times New Roman" w:hAnsi="Times New Roman" w:cs="Times New Roman"/>
          <w:b w:val="0"/>
          <w:bCs w:val="0"/>
          <w:sz w:val="32"/>
          <w:szCs w:val="32"/>
          <w:lang w:val="en-US" w:eastAsia="zh-CN"/>
        </w:rPr>
        <w:t>.</w:t>
      </w:r>
      <w:r>
        <w:rPr>
          <w:rFonts w:hint="eastAsia" w:ascii="Times New Roman" w:hAnsi="Times New Roman" w:cs="Times New Roman"/>
          <w:b w:val="0"/>
          <w:bCs w:val="0"/>
          <w:sz w:val="32"/>
          <w:szCs w:val="32"/>
          <w:lang w:eastAsia="zh-CN"/>
        </w:rPr>
        <w:t>资金投入和使用情况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sz w:val="32"/>
          <w:szCs w:val="32"/>
        </w:rPr>
      </w:pPr>
      <w:r>
        <w:rPr>
          <w:rFonts w:hint="eastAsia"/>
          <w:sz w:val="32"/>
          <w:szCs w:val="32"/>
        </w:rPr>
        <w:t>资金投入情况：该项目年初预算数</w:t>
      </w:r>
      <w:r>
        <w:rPr>
          <w:rFonts w:hint="eastAsia"/>
          <w:sz w:val="32"/>
          <w:szCs w:val="32"/>
          <w:lang w:val="en-US" w:eastAsia="zh-CN"/>
        </w:rPr>
        <w:t>456</w:t>
      </w:r>
      <w:r>
        <w:rPr>
          <w:rFonts w:hint="eastAsia"/>
          <w:sz w:val="32"/>
          <w:szCs w:val="32"/>
        </w:rPr>
        <w:t>万元，全年预算数</w:t>
      </w:r>
      <w:r>
        <w:rPr>
          <w:rFonts w:hint="eastAsia"/>
          <w:sz w:val="32"/>
          <w:szCs w:val="32"/>
          <w:lang w:val="en-US" w:eastAsia="zh-CN"/>
        </w:rPr>
        <w:t>456</w:t>
      </w:r>
      <w:r>
        <w:rPr>
          <w:rFonts w:hint="eastAsia"/>
          <w:sz w:val="32"/>
          <w:szCs w:val="32"/>
        </w:rPr>
        <w:t>万元，实际总投入</w:t>
      </w:r>
      <w:r>
        <w:rPr>
          <w:rFonts w:hint="eastAsia"/>
          <w:sz w:val="32"/>
          <w:szCs w:val="32"/>
          <w:lang w:val="en-US" w:eastAsia="zh-CN"/>
        </w:rPr>
        <w:t>456</w:t>
      </w:r>
      <w:r>
        <w:rPr>
          <w:rFonts w:hint="eastAsia"/>
          <w:sz w:val="32"/>
          <w:szCs w:val="32"/>
        </w:rPr>
        <w:t>万元，该项目资金已全部落实到位，资金来源为</w:t>
      </w:r>
      <w:r>
        <w:rPr>
          <w:rFonts w:hint="eastAsia"/>
          <w:sz w:val="32"/>
          <w:szCs w:val="32"/>
          <w:lang w:eastAsia="zh-CN"/>
        </w:rPr>
        <w:t>财政拨款</w:t>
      </w:r>
      <w:r>
        <w:rPr>
          <w:rFonts w:hint="eastAsia"/>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FF0000"/>
          <w:sz w:val="32"/>
          <w:szCs w:val="32"/>
          <w:highlight w:val="none"/>
          <w:lang w:eastAsia="zh-CN"/>
        </w:rPr>
      </w:pPr>
      <w:r>
        <w:rPr>
          <w:rFonts w:hint="eastAsia"/>
          <w:sz w:val="32"/>
          <w:szCs w:val="32"/>
        </w:rPr>
        <w:t>资金使用情况：</w:t>
      </w:r>
      <w:r>
        <w:rPr>
          <w:rFonts w:hint="eastAsia"/>
          <w:color w:val="auto"/>
          <w:sz w:val="32"/>
          <w:szCs w:val="32"/>
        </w:rPr>
        <w:t>该项目年初预</w:t>
      </w:r>
      <w:r>
        <w:rPr>
          <w:rFonts w:hint="eastAsia"/>
          <w:sz w:val="32"/>
          <w:szCs w:val="32"/>
        </w:rPr>
        <w:t>算数</w:t>
      </w:r>
      <w:r>
        <w:rPr>
          <w:rFonts w:hint="eastAsia"/>
          <w:sz w:val="32"/>
          <w:szCs w:val="32"/>
          <w:lang w:val="en-US" w:eastAsia="zh-CN"/>
        </w:rPr>
        <w:t>456</w:t>
      </w:r>
      <w:r>
        <w:rPr>
          <w:rFonts w:hint="eastAsia"/>
          <w:sz w:val="32"/>
          <w:szCs w:val="32"/>
        </w:rPr>
        <w:t>万元，全年预算数</w:t>
      </w:r>
      <w:r>
        <w:rPr>
          <w:rFonts w:hint="eastAsia"/>
          <w:sz w:val="32"/>
          <w:szCs w:val="32"/>
          <w:lang w:val="en-US" w:eastAsia="zh-CN"/>
        </w:rPr>
        <w:t>456</w:t>
      </w:r>
      <w:r>
        <w:rPr>
          <w:rFonts w:hint="eastAsia"/>
          <w:sz w:val="32"/>
          <w:szCs w:val="32"/>
        </w:rPr>
        <w:t>万</w:t>
      </w:r>
      <w:r>
        <w:rPr>
          <w:rFonts w:hint="eastAsia"/>
          <w:sz w:val="32"/>
          <w:szCs w:val="32"/>
          <w:highlight w:val="none"/>
        </w:rPr>
        <w:t>元</w:t>
      </w:r>
      <w:r>
        <w:rPr>
          <w:rFonts w:hint="eastAsia"/>
          <w:sz w:val="32"/>
          <w:szCs w:val="32"/>
          <w:highlight w:val="none"/>
          <w:lang w:eastAsia="zh-CN"/>
        </w:rPr>
        <w:t>，</w:t>
      </w:r>
      <w:r>
        <w:rPr>
          <w:rFonts w:hint="eastAsia"/>
          <w:sz w:val="32"/>
          <w:szCs w:val="32"/>
          <w:highlight w:val="none"/>
        </w:rPr>
        <w:t>全年执行数</w:t>
      </w:r>
      <w:r>
        <w:rPr>
          <w:rFonts w:hint="eastAsia"/>
          <w:sz w:val="32"/>
          <w:szCs w:val="32"/>
          <w:highlight w:val="none"/>
          <w:lang w:val="en-US" w:eastAsia="zh-CN"/>
        </w:rPr>
        <w:t>456</w:t>
      </w:r>
      <w:r>
        <w:rPr>
          <w:rFonts w:hint="eastAsia"/>
          <w:sz w:val="32"/>
          <w:szCs w:val="32"/>
          <w:highlight w:val="none"/>
        </w:rPr>
        <w:t>万元，预算执行率为</w:t>
      </w:r>
      <w:r>
        <w:rPr>
          <w:rFonts w:hint="eastAsia"/>
          <w:sz w:val="32"/>
          <w:szCs w:val="32"/>
          <w:highlight w:val="none"/>
          <w:lang w:val="en-US" w:eastAsia="zh-CN"/>
        </w:rPr>
        <w:t>100</w:t>
      </w:r>
      <w:r>
        <w:rPr>
          <w:rFonts w:hint="eastAsia"/>
          <w:sz w:val="32"/>
          <w:szCs w:val="32"/>
          <w:highlight w:val="none"/>
        </w:rPr>
        <w:t>%</w:t>
      </w:r>
      <w:r>
        <w:rPr>
          <w:rFonts w:hint="eastAsia"/>
          <w:color w:val="auto"/>
          <w:sz w:val="32"/>
          <w:szCs w:val="32"/>
          <w:highlight w:val="none"/>
          <w:lang w:eastAsia="zh-CN"/>
        </w:rPr>
        <w:t>，主要</w:t>
      </w:r>
      <w:r>
        <w:rPr>
          <w:rFonts w:hint="eastAsia"/>
          <w:color w:val="auto"/>
          <w:sz w:val="32"/>
          <w:szCs w:val="32"/>
          <w:highlight w:val="none"/>
        </w:rPr>
        <w:t>用于：</w:t>
      </w:r>
      <w:bookmarkStart w:id="2" w:name="_Toc68703829"/>
      <w:r>
        <w:rPr>
          <w:rFonts w:hint="eastAsia"/>
          <w:color w:val="auto"/>
          <w:sz w:val="32"/>
          <w:szCs w:val="32"/>
          <w:highlight w:val="none"/>
          <w:lang w:val="en-US" w:eastAsia="zh-CN"/>
        </w:rPr>
        <w:t>土地征收补偿，土地征收面积60752.8平方米，土地征收标准75元/平方米</w:t>
      </w:r>
      <w:r>
        <w:rPr>
          <w:rFonts w:hint="eastAsia"/>
          <w:color w:val="auto"/>
          <w:sz w:val="32"/>
          <w:szCs w:val="32"/>
          <w:highlight w:val="none"/>
          <w:lang w:eastAsia="zh-CN"/>
        </w:rPr>
        <w:t>。</w:t>
      </w:r>
    </w:p>
    <w:p>
      <w:pPr>
        <w:spacing w:line="560" w:lineRule="exact"/>
        <w:rPr>
          <w:rFonts w:hint="eastAsia" w:ascii="Times New Roman" w:hAnsi="Times New Roman" w:eastAsia="楷体_GB2312" w:cs="Times New Roman"/>
          <w:b/>
          <w:bCs/>
          <w:sz w:val="32"/>
          <w:szCs w:val="32"/>
          <w:lang w:eastAsia="zh-CN"/>
        </w:rPr>
      </w:pPr>
      <w:r>
        <w:rPr>
          <w:rFonts w:hint="eastAsia" w:ascii="Times New Roman" w:hAnsi="Times New Roman" w:eastAsia="楷体_GB2312" w:cs="Times New Roman"/>
          <w:b/>
          <w:bCs/>
          <w:sz w:val="32"/>
          <w:szCs w:val="32"/>
          <w:highlight w:val="none"/>
          <w:lang w:eastAsia="zh-CN"/>
        </w:rPr>
        <w:t>（二）项目绩</w:t>
      </w:r>
      <w:r>
        <w:rPr>
          <w:rFonts w:hint="eastAsia" w:ascii="Times New Roman" w:hAnsi="Times New Roman" w:eastAsia="楷体_GB2312" w:cs="Times New Roman"/>
          <w:b/>
          <w:bCs/>
          <w:sz w:val="32"/>
          <w:szCs w:val="32"/>
          <w:lang w:eastAsia="zh-CN"/>
        </w:rPr>
        <w:t>效目标</w:t>
      </w:r>
      <w:bookmarkEnd w:id="2"/>
    </w:p>
    <w:p>
      <w:pPr>
        <w:keepNext w:val="0"/>
        <w:keepLines w:val="0"/>
        <w:pageBreakBefore w:val="0"/>
        <w:widowControl w:val="0"/>
        <w:kinsoku/>
        <w:wordWrap/>
        <w:overflowPunct/>
        <w:topLinePunct w:val="0"/>
        <w:autoSpaceDE/>
        <w:autoSpaceDN/>
        <w:bidi w:val="0"/>
        <w:adjustRightInd/>
        <w:snapToGrid/>
        <w:spacing w:line="560" w:lineRule="exact"/>
        <w:ind w:left="640" w:hanging="640" w:hangingChars="200"/>
        <w:textAlignment w:val="auto"/>
        <w:rPr>
          <w:rFonts w:hint="eastAsia" w:ascii="Times New Roman" w:hAnsi="Times New Roman" w:eastAsia="仿宋_GB2312" w:cs="Times New Roman"/>
          <w:b w:val="0"/>
          <w:bCs w:val="0"/>
          <w:sz w:val="32"/>
          <w:szCs w:val="32"/>
          <w:lang w:val="en-US" w:eastAsia="zh-CN"/>
        </w:rPr>
      </w:pPr>
      <w:r>
        <w:rPr>
          <w:rFonts w:hint="eastAsia"/>
          <w:color w:val="FF0000"/>
          <w:sz w:val="32"/>
          <w:szCs w:val="32"/>
          <w:lang w:eastAsia="zh-CN"/>
        </w:rPr>
        <w:t>　</w:t>
      </w:r>
      <w:r>
        <w:rPr>
          <w:rFonts w:hint="eastAsia"/>
          <w:b w:val="0"/>
          <w:bCs w:val="0"/>
          <w:sz w:val="32"/>
          <w:szCs w:val="32"/>
          <w:lang w:eastAsia="zh-CN"/>
        </w:rPr>
        <w:t>　</w:t>
      </w:r>
      <w:r>
        <w:rPr>
          <w:rFonts w:hint="eastAsia" w:ascii="Times New Roman" w:hAnsi="Times New Roman" w:eastAsia="仿宋_GB2312" w:cs="Times New Roman"/>
          <w:b w:val="0"/>
          <w:bCs w:val="0"/>
          <w:sz w:val="32"/>
          <w:szCs w:val="32"/>
          <w:lang w:val="en-US" w:eastAsia="zh-CN"/>
        </w:rPr>
        <w:t>1.总体目标：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b w:val="0"/>
          <w:bCs w:val="0"/>
          <w:sz w:val="32"/>
          <w:szCs w:val="32"/>
          <w:highlight w:val="none"/>
          <w:lang w:val="en-US" w:eastAsia="zh-CN"/>
        </w:rPr>
      </w:pPr>
      <w:r>
        <w:rPr>
          <w:rFonts w:hint="eastAsia" w:ascii="Times New Roman" w:hAnsi="Times New Roman" w:eastAsia="仿宋_GB2312" w:cs="Times New Roman"/>
          <w:b w:val="0"/>
          <w:bCs w:val="0"/>
          <w:sz w:val="32"/>
          <w:szCs w:val="32"/>
          <w:lang w:val="en-US" w:eastAsia="zh-CN"/>
        </w:rPr>
        <w:t>征收土地面积60752.8㎡，征收标准为75元/㎡；优化综保区环境，为项目的实施提供了进场条件，有效提高土地利用率，实现土地资源</w:t>
      </w:r>
      <w:r>
        <w:rPr>
          <w:rFonts w:hint="eastAsia" w:ascii="Times New Roman" w:hAnsi="Times New Roman" w:eastAsia="仿宋_GB2312" w:cs="Times New Roman"/>
          <w:b w:val="0"/>
          <w:bCs w:val="0"/>
          <w:sz w:val="32"/>
          <w:szCs w:val="32"/>
          <w:highlight w:val="none"/>
          <w:lang w:val="en-US" w:eastAsia="zh-CN"/>
        </w:rPr>
        <w:t>优化配置。</w:t>
      </w:r>
    </w:p>
    <w:p>
      <w:pPr>
        <w:keepNext w:val="0"/>
        <w:keepLines w:val="0"/>
        <w:pageBreakBefore w:val="0"/>
        <w:widowControl w:val="0"/>
        <w:kinsoku/>
        <w:wordWrap/>
        <w:overflowPunct/>
        <w:topLinePunct w:val="0"/>
        <w:autoSpaceDE/>
        <w:autoSpaceDN/>
        <w:bidi w:val="0"/>
        <w:adjustRightInd/>
        <w:snapToGrid/>
        <w:spacing w:line="560" w:lineRule="exact"/>
        <w:ind w:left="636" w:leftChars="212" w:firstLine="0" w:firstLineChars="0"/>
        <w:textAlignment w:val="auto"/>
        <w:rPr>
          <w:rFonts w:hint="default"/>
          <w:b w:val="0"/>
          <w:bCs w:val="0"/>
          <w:sz w:val="32"/>
          <w:szCs w:val="32"/>
          <w:highlight w:val="none"/>
          <w:lang w:val="en-US" w:eastAsia="zh-CN"/>
        </w:rPr>
      </w:pPr>
      <w:bookmarkStart w:id="3" w:name="_Toc68703830"/>
      <w:r>
        <w:rPr>
          <w:rFonts w:hint="eastAsia"/>
          <w:b w:val="0"/>
          <w:bCs w:val="0"/>
          <w:sz w:val="32"/>
          <w:szCs w:val="32"/>
          <w:highlight w:val="none"/>
          <w:lang w:val="en-US" w:eastAsia="zh-CN"/>
        </w:rPr>
        <w:t>2.阶段性目标: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b w:val="0"/>
          <w:bCs w:val="0"/>
          <w:sz w:val="32"/>
          <w:szCs w:val="32"/>
          <w:highlight w:val="none"/>
          <w:lang w:val="en-US" w:eastAsia="zh-CN"/>
        </w:rPr>
      </w:pPr>
      <w:r>
        <w:rPr>
          <w:rFonts w:hint="eastAsia" w:ascii="Times New Roman" w:hAnsi="Times New Roman" w:eastAsia="仿宋_GB2312" w:cs="Times New Roman"/>
          <w:b w:val="0"/>
          <w:bCs w:val="0"/>
          <w:sz w:val="32"/>
          <w:szCs w:val="32"/>
          <w:highlight w:val="none"/>
          <w:lang w:val="en-US" w:eastAsia="zh-CN"/>
        </w:rPr>
        <w:t>为项目的实施提供了进场条件，有效提高土地利用率，实现土地资源优化配置。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lang w:val="en-US" w:eastAsia="zh-CN"/>
        </w:rPr>
      </w:pPr>
      <w:r>
        <w:rPr>
          <w:rFonts w:hint="eastAsia" w:cs="Times New Roman"/>
          <w:b w:val="0"/>
          <w:bCs w:val="0"/>
          <w:kern w:val="2"/>
          <w:sz w:val="32"/>
          <w:szCs w:val="32"/>
          <w:highlight w:val="none"/>
          <w:lang w:val="en-US" w:eastAsia="zh-CN" w:bidi="ar-SA"/>
        </w:rPr>
        <w:t>为</w:t>
      </w:r>
      <w:r>
        <w:rPr>
          <w:rFonts w:hint="eastAsia" w:ascii="Times New Roman" w:hAnsi="Times New Roman" w:eastAsia="仿宋_GB2312" w:cs="Times New Roman"/>
          <w:b w:val="0"/>
          <w:bCs w:val="0"/>
          <w:kern w:val="2"/>
          <w:sz w:val="32"/>
          <w:szCs w:val="32"/>
          <w:highlight w:val="none"/>
          <w:lang w:val="en-US" w:eastAsia="zh-CN" w:bidi="ar-SA"/>
        </w:rPr>
        <w:t>建设项目依托霍尔果斯综合保税区，建立新型国际产能合作园区，推动霍尔果斯经济</w:t>
      </w:r>
      <w:r>
        <w:rPr>
          <w:rFonts w:hint="eastAsia" w:ascii="Times New Roman" w:hAnsi="Times New Roman" w:eastAsia="仿宋_GB2312" w:cs="Times New Roman"/>
          <w:b w:val="0"/>
          <w:bCs w:val="0"/>
          <w:kern w:val="2"/>
          <w:sz w:val="32"/>
          <w:szCs w:val="32"/>
          <w:lang w:val="en-US" w:eastAsia="zh-CN" w:bidi="ar-SA"/>
        </w:rPr>
        <w:t>的高质量发展，为霍尔果斯当地的经济发展提供了有力支撑。</w:t>
      </w:r>
    </w:p>
    <w:p>
      <w:pPr>
        <w:spacing w:line="560" w:lineRule="exact"/>
        <w:rPr>
          <w:rFonts w:hint="eastAsia" w:ascii="Times New Roman" w:hAnsi="Times New Roman" w:eastAsia="黑体" w:cs="Times New Roman"/>
          <w:bCs/>
          <w:sz w:val="32"/>
          <w:szCs w:val="32"/>
          <w:lang w:val="en-US" w:eastAsia="zh-CN"/>
        </w:rPr>
      </w:pPr>
      <w:r>
        <w:rPr>
          <w:rFonts w:hint="eastAsia" w:ascii="Times New Roman" w:hAnsi="Times New Roman" w:eastAsia="黑体" w:cs="Times New Roman"/>
          <w:bCs/>
          <w:sz w:val="32"/>
          <w:szCs w:val="32"/>
          <w:lang w:val="en-US" w:eastAsia="zh-CN"/>
        </w:rPr>
        <w:t>二、绩效评价工作开展情况</w:t>
      </w:r>
      <w:bookmarkEnd w:id="3"/>
    </w:p>
    <w:p>
      <w:pPr>
        <w:numPr>
          <w:ilvl w:val="0"/>
          <w:numId w:val="0"/>
        </w:numPr>
        <w:spacing w:line="560" w:lineRule="exact"/>
        <w:rPr>
          <w:rFonts w:hint="eastAsia" w:ascii="Times New Roman" w:hAnsi="Times New Roman" w:eastAsia="楷体_GB2312" w:cs="Times New Roman"/>
          <w:b/>
          <w:bCs/>
          <w:sz w:val="32"/>
          <w:szCs w:val="32"/>
          <w:lang w:eastAsia="zh-CN"/>
        </w:rPr>
      </w:pPr>
      <w:bookmarkStart w:id="4" w:name="_Toc68703831"/>
      <w:r>
        <w:rPr>
          <w:rFonts w:hint="eastAsia" w:ascii="Times New Roman" w:hAnsi="Times New Roman" w:eastAsia="楷体_GB2312" w:cs="Times New Roman"/>
          <w:b/>
          <w:bCs/>
          <w:sz w:val="32"/>
          <w:szCs w:val="32"/>
          <w:lang w:val="en-US" w:eastAsia="zh-CN"/>
        </w:rPr>
        <w:t>（一）绩效评价目的、对象和范围</w:t>
      </w:r>
      <w:bookmarkEnd w:id="4"/>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1.绩效评价目的</w:t>
      </w:r>
    </w:p>
    <w:p>
      <w:pPr>
        <w:spacing w:line="560" w:lineRule="exact"/>
        <w:ind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2"/>
        </w:numPr>
        <w:spacing w:line="560" w:lineRule="exact"/>
        <w:ind w:firstLine="640" w:firstLineChars="20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pPr>
        <w:spacing w:line="560" w:lineRule="exact"/>
        <w:ind w:firstLine="640" w:firstLineChars="200"/>
        <w:rPr>
          <w:rFonts w:eastAsia="仿宋_GB2312"/>
          <w:sz w:val="32"/>
          <w:szCs w:val="32"/>
        </w:rPr>
      </w:pPr>
      <w:r>
        <w:rPr>
          <w:rFonts w:eastAsia="仿宋_GB2312"/>
          <w:sz w:val="32"/>
          <w:szCs w:val="32"/>
        </w:rPr>
        <w:t>（2）项目绩效管理财政支出运行提供及时、有效的信息。</w:t>
      </w:r>
    </w:p>
    <w:p>
      <w:pPr>
        <w:pStyle w:val="20"/>
        <w:spacing w:line="560" w:lineRule="exact"/>
        <w:ind w:firstLine="640" w:firstLineChars="200"/>
        <w:rPr>
          <w:rFonts w:eastAsia="方正仿宋_GBK" w:cs="方正仿宋_GBK"/>
          <w:sz w:val="32"/>
          <w:szCs w:val="32"/>
        </w:rPr>
      </w:pPr>
      <w:r>
        <w:rPr>
          <w:rFonts w:eastAsia="仿宋_GB2312"/>
          <w:sz w:val="32"/>
          <w:szCs w:val="32"/>
        </w:rPr>
        <w:t>综合来看，通过开展有效的财政支出绩效评价管理，</w:t>
      </w:r>
      <w:r>
        <w:rPr>
          <w:rFonts w:hint="eastAsia" w:eastAsia="仿宋_GB2312"/>
          <w:sz w:val="32"/>
          <w:szCs w:val="32"/>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spacing w:line="560" w:lineRule="exact"/>
        <w:rPr>
          <w:rFonts w:hint="eastAsia" w:ascii="Times New Roman" w:hAnsi="Times New Roman" w:eastAsia="仿宋_GB2312" w:cs="Times New Roman"/>
          <w:b w:val="0"/>
          <w:bCs w:val="0"/>
          <w:sz w:val="32"/>
          <w:szCs w:val="32"/>
          <w:lang w:val="en-US" w:eastAsia="zh-CN"/>
        </w:rPr>
      </w:pPr>
      <w:r>
        <w:rPr>
          <w:rFonts w:hint="eastAsia" w:ascii="Times New Roman" w:hAnsi="Times New Roman" w:cs="Times New Roman"/>
          <w:b/>
          <w:bCs/>
          <w:sz w:val="30"/>
          <w:szCs w:val="30"/>
          <w:lang w:val="en-US" w:eastAsia="zh-CN"/>
        </w:rPr>
        <w:t>　</w:t>
      </w:r>
      <w:r>
        <w:rPr>
          <w:rFonts w:hint="eastAsia" w:ascii="Times New Roman" w:hAnsi="Times New Roman" w:eastAsia="仿宋_GB2312" w:cs="Times New Roman"/>
          <w:b w:val="0"/>
          <w:bCs w:val="0"/>
          <w:sz w:val="32"/>
          <w:szCs w:val="32"/>
          <w:lang w:val="en-US" w:eastAsia="zh-CN"/>
        </w:rPr>
        <w:t>2.绩效评价对象：</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highlight w:val="none"/>
        </w:rPr>
        <w:t>综保区土地补偿项</w:t>
      </w:r>
      <w:r>
        <w:rPr>
          <w:rFonts w:hint="eastAsia" w:ascii="仿宋_GB2312" w:hAnsi="仿宋_GB2312" w:eastAsia="仿宋_GB2312" w:cs="仿宋_GB2312"/>
          <w:sz w:val="32"/>
          <w:szCs w:val="32"/>
        </w:rPr>
        <w:t>目所包含的全部项目内容。</w:t>
      </w:r>
    </w:p>
    <w:p>
      <w:pPr>
        <w:spacing w:line="560" w:lineRule="exact"/>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3.绩效评价范围：</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color w:val="auto"/>
          <w:sz w:val="32"/>
          <w:szCs w:val="32"/>
        </w:rPr>
      </w:pPr>
      <w:r>
        <w:rPr>
          <w:rFonts w:hint="eastAsia"/>
          <w:color w:val="auto"/>
          <w:sz w:val="32"/>
          <w:szCs w:val="32"/>
        </w:rPr>
        <w:t>本次评价从项目决策（包括绩效目标、决策过程）、项目管理（包括项目资金、项目实施）、项目产出（包括项目产出数量、产出质量、产出时效和产出成本）项目效益四个维度</w:t>
      </w:r>
      <w:r>
        <w:rPr>
          <w:rFonts w:hint="eastAsia"/>
          <w:color w:val="000000" w:themeColor="text1"/>
          <w:sz w:val="32"/>
          <w:szCs w:val="32"/>
          <w14:textFill>
            <w14:solidFill>
              <w14:schemeClr w14:val="tx1"/>
            </w14:solidFill>
          </w14:textFill>
        </w:rPr>
        <w:t>进行综保区土地补偿项目评价</w:t>
      </w:r>
      <w:r>
        <w:rPr>
          <w:rFonts w:hint="eastAsia"/>
          <w:color w:val="auto"/>
          <w:sz w:val="32"/>
          <w:szCs w:val="32"/>
        </w:rPr>
        <w:t>，评价核心为资金的支出完成情况和效果。</w:t>
      </w:r>
    </w:p>
    <w:p>
      <w:pPr>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Times New Roman"/>
          <w:b/>
          <w:bCs/>
          <w:kern w:val="2"/>
          <w:sz w:val="32"/>
          <w:szCs w:val="32"/>
          <w:lang w:val="en-US" w:eastAsia="zh-CN" w:bidi="ar-SA"/>
        </w:rPr>
      </w:pPr>
      <w:bookmarkStart w:id="5" w:name="_Toc68703832"/>
      <w:r>
        <w:rPr>
          <w:rFonts w:hint="eastAsia" w:ascii="Times New Roman" w:hAnsi="Times New Roman" w:eastAsia="楷体_GB2312" w:cs="Times New Roman"/>
          <w:b/>
          <w:bCs/>
          <w:kern w:val="2"/>
          <w:sz w:val="32"/>
          <w:szCs w:val="32"/>
          <w:lang w:val="en-US" w:eastAsia="zh-CN" w:bidi="ar-SA"/>
        </w:rPr>
        <w:t>（二）绩效评价原则、评价指标体系、评价方法、评价标准</w:t>
      </w:r>
      <w:bookmarkEnd w:id="5"/>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sz w:val="32"/>
          <w:szCs w:val="32"/>
        </w:rPr>
      </w:pPr>
      <w:r>
        <w:rPr>
          <w:rFonts w:hint="eastAsia"/>
          <w:sz w:val="32"/>
          <w:szCs w:val="32"/>
        </w:rPr>
        <w:t>1</w:t>
      </w:r>
      <w:r>
        <w:rPr>
          <w:rFonts w:hint="eastAsia"/>
          <w:sz w:val="32"/>
          <w:szCs w:val="32"/>
          <w:lang w:val="en-US" w:eastAsia="zh-CN"/>
        </w:rPr>
        <w:t>.</w:t>
      </w:r>
      <w:r>
        <w:rPr>
          <w:rFonts w:hint="eastAsia"/>
          <w:sz w:val="32"/>
          <w:szCs w:val="32"/>
        </w:rPr>
        <w:t>绩效评价原则</w:t>
      </w:r>
    </w:p>
    <w:p>
      <w:pPr>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pPr>
        <w:pStyle w:val="2"/>
        <w:spacing w:before="0" w:after="0" w:line="560" w:lineRule="exact"/>
        <w:ind w:firstLine="640" w:firstLineChars="200"/>
        <w:jc w:val="both"/>
        <w:outlineLvl w:val="9"/>
      </w:pPr>
      <w:r>
        <w:rPr>
          <w:rFonts w:ascii="Times New Roman" w:hAnsi="Times New Roman" w:eastAsia="仿宋_GB2312"/>
          <w:b w:val="0"/>
          <w:bCs w:val="0"/>
        </w:rPr>
        <w:t>（4）公开透明。绩效评价结果应依法依规公开，并自觉接受社会监督。</w:t>
      </w:r>
    </w:p>
    <w:p>
      <w:pPr>
        <w:spacing w:line="360" w:lineRule="auto"/>
        <w:ind w:firstLine="600" w:firstLineChars="200"/>
        <w:jc w:val="left"/>
        <w:rPr>
          <w:rFonts w:hint="eastAsia"/>
          <w:sz w:val="32"/>
          <w:szCs w:val="32"/>
        </w:rPr>
      </w:pPr>
      <w:r>
        <w:rPr>
          <w:rFonts w:hint="eastAsia"/>
        </w:rPr>
        <w:t>2、</w:t>
      </w:r>
      <w:r>
        <w:rPr>
          <w:rFonts w:hint="eastAsia"/>
          <w:sz w:val="32"/>
          <w:szCs w:val="32"/>
        </w:rPr>
        <w:t>评价指标体系</w:t>
      </w:r>
    </w:p>
    <w:p>
      <w:pPr>
        <w:spacing w:line="56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spacing w:before="0" w:after="0" w:line="56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widowControl w:val="0"/>
        <w:spacing w:before="0" w:after="0" w:line="560" w:lineRule="exact"/>
        <w:ind w:firstLine="708" w:firstLineChars="200"/>
        <w:jc w:val="both"/>
        <w:outlineLvl w:val="9"/>
        <w:rPr>
          <w:rFonts w:hint="eastAsia"/>
        </w:rPr>
      </w:pPr>
      <w:r>
        <w:rPr>
          <w:rFonts w:ascii="Times New Roman" w:hAnsi="Times New Roman" w:eastAsia="仿宋_GB2312"/>
          <w:b w:val="0"/>
          <w:bCs w:val="0"/>
          <w:color w:val="000000"/>
          <w:spacing w:val="17"/>
        </w:rPr>
        <w:t>具体评价指标体系详情见附件1</w:t>
      </w:r>
    </w:p>
    <w:p>
      <w:pPr>
        <w:pStyle w:val="6"/>
        <w:rPr>
          <w:rFonts w:hint="eastAsia"/>
          <w:sz w:val="32"/>
          <w:szCs w:val="32"/>
        </w:rPr>
      </w:pPr>
      <w:r>
        <w:rPr>
          <w:rFonts w:hint="eastAsia"/>
          <w:sz w:val="32"/>
          <w:szCs w:val="32"/>
        </w:rPr>
        <w:t>3、评价方法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hint="eastAsia" w:eastAsia="仿宋_GB2312"/>
          <w:bCs/>
          <w:color w:val="FF0000"/>
          <w:sz w:val="32"/>
          <w:szCs w:val="32"/>
          <w:lang w:eastAsia="zh-CN"/>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（1）比较法</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通过对绩效目标与实施效果、历史与当期情况，综合分析绩效目标实现程度。对</w:t>
      </w:r>
      <w:r>
        <w:rPr>
          <w:rFonts w:eastAsia="仿宋_GB2312"/>
          <w:color w:val="000000" w:themeColor="text1"/>
          <w:sz w:val="32"/>
          <w:szCs w:val="32"/>
          <w14:textFill>
            <w14:solidFill>
              <w14:schemeClr w14:val="tx1"/>
            </w14:solidFill>
          </w14:textFill>
        </w:rPr>
        <w:t>项目</w:t>
      </w:r>
      <w:r>
        <w:rPr>
          <w:rFonts w:eastAsia="仿宋_GB2312"/>
          <w:color w:val="000000" w:themeColor="text1"/>
          <w:spacing w:val="17"/>
          <w:sz w:val="32"/>
          <w:szCs w:val="32"/>
          <w14:textFill>
            <w14:solidFill>
              <w14:schemeClr w14:val="tx1"/>
            </w14:solidFill>
          </w14:textFill>
        </w:rPr>
        <w:t>最终验收情况与年度绩效目标对比、预算资金执行情况等相关因素进行比较。</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（2）因素分析法</w:t>
      </w:r>
    </w:p>
    <w:p>
      <w:pPr>
        <w:spacing w:line="560" w:lineRule="exact"/>
        <w:ind w:firstLine="708" w:firstLineChars="200"/>
        <w:rPr>
          <w:rFonts w:hint="eastAsia" w:eastAsia="仿宋_GB2312"/>
          <w:bCs/>
          <w:color w:val="000000" w:themeColor="text1"/>
          <w:sz w:val="32"/>
          <w:szCs w:val="32"/>
          <w:lang w:eastAsia="zh-CN"/>
          <w14:textFill>
            <w14:solidFill>
              <w14:schemeClr w14:val="tx1"/>
            </w14:solidFill>
          </w14:textFill>
        </w:rPr>
      </w:pPr>
      <w:r>
        <w:rPr>
          <w:rFonts w:eastAsia="仿宋_GB2312"/>
          <w:color w:val="000000" w:themeColor="text1"/>
          <w:spacing w:val="17"/>
          <w:sz w:val="32"/>
          <w:szCs w:val="32"/>
          <w14:textFill>
            <w14:solidFill>
              <w14:schemeClr w14:val="tx1"/>
            </w14:solidFill>
          </w14:textFill>
        </w:rPr>
        <w:t>通过综合分析影响绩效目标实现、实施效果的内外因素，评价绩效目标实现程度。通过对</w:t>
      </w:r>
      <w:r>
        <w:rPr>
          <w:rFonts w:eastAsia="仿宋_GB2312"/>
          <w:color w:val="000000" w:themeColor="text1"/>
          <w:sz w:val="32"/>
          <w:szCs w:val="32"/>
          <w14:textFill>
            <w14:solidFill>
              <w14:schemeClr w14:val="tx1"/>
            </w14:solidFill>
          </w14:textFill>
        </w:rPr>
        <w:t>项目</w:t>
      </w:r>
      <w:r>
        <w:rPr>
          <w:rFonts w:eastAsia="仿宋_GB2312"/>
          <w:color w:val="000000" w:themeColor="text1"/>
          <w:spacing w:val="17"/>
          <w:sz w:val="32"/>
          <w:szCs w:val="32"/>
          <w14:textFill>
            <w14:solidFill>
              <w14:schemeClr w14:val="tx1"/>
            </w14:solidFill>
          </w14:textFill>
        </w:rPr>
        <w:t>的开展情况、项目产出数量、成本控制、资金拨付文件及自评报告等相关资料的收集和审核，综合分析各因素对绩效目标实现的影响。</w:t>
      </w:r>
    </w:p>
    <w:p>
      <w:pPr>
        <w:pageBreakBefore w:val="0"/>
        <w:widowControl w:val="0"/>
        <w:kinsoku/>
        <w:wordWrap/>
        <w:overflowPunct/>
        <w:topLinePunct w:val="0"/>
        <w:autoSpaceDE/>
        <w:autoSpaceDN/>
        <w:bidi w:val="0"/>
        <w:adjustRightInd/>
        <w:snapToGrid/>
        <w:spacing w:line="560" w:lineRule="exact"/>
        <w:jc w:val="left"/>
        <w:textAlignment w:val="auto"/>
        <w:rPr>
          <w:rFonts w:hint="eastAsia"/>
        </w:rPr>
      </w:pPr>
      <w:r>
        <w:rPr>
          <w:rFonts w:hint="eastAsia"/>
          <w:lang w:eastAsia="zh-CN"/>
        </w:rPr>
        <w:t>　　</w:t>
      </w:r>
      <w:r>
        <w:rPr>
          <w:rFonts w:hint="eastAsia"/>
          <w:sz w:val="32"/>
          <w:szCs w:val="32"/>
        </w:rPr>
        <w:t>4</w:t>
      </w:r>
      <w:r>
        <w:rPr>
          <w:rFonts w:hint="eastAsia"/>
          <w:sz w:val="32"/>
          <w:szCs w:val="32"/>
          <w:lang w:val="en-US" w:eastAsia="zh-CN"/>
        </w:rPr>
        <w:t>.</w:t>
      </w:r>
      <w:r>
        <w:rPr>
          <w:rFonts w:hint="eastAsia"/>
          <w:sz w:val="32"/>
          <w:szCs w:val="32"/>
        </w:rPr>
        <w:t>评价标准</w:t>
      </w:r>
    </w:p>
    <w:p>
      <w:pPr>
        <w:spacing w:line="560" w:lineRule="exact"/>
        <w:ind w:firstLine="640"/>
        <w:rPr>
          <w:rFonts w:hint="eastAsia"/>
          <w:bCs/>
          <w:color w:val="000000" w:themeColor="text1"/>
          <w:sz w:val="32"/>
          <w:szCs w:val="32"/>
          <w14:textFill>
            <w14:solidFill>
              <w14:schemeClr w14:val="tx1"/>
            </w14:solidFill>
          </w14:textFill>
        </w:rPr>
      </w:pPr>
      <w:r>
        <w:rPr>
          <w:rFonts w:hint="eastAsia"/>
          <w:bCs/>
          <w:color w:val="000000" w:themeColor="text1"/>
          <w:sz w:val="32"/>
          <w:szCs w:val="32"/>
          <w14:textFill>
            <w14:solidFill>
              <w14:schemeClr w14:val="tx1"/>
            </w14:solidFill>
          </w14:textFill>
        </w:rPr>
        <w:t>绩效评价标准通常包括计划标准、行业标准、历史标准等，用于对绩效指标完成情况进行比较、分析、评价。本次评价主要采用了</w:t>
      </w:r>
      <w:r>
        <w:rPr>
          <w:rFonts w:hint="eastAsia"/>
          <w:bCs/>
          <w:color w:val="000000" w:themeColor="text1"/>
          <w:sz w:val="32"/>
          <w:szCs w:val="32"/>
          <w:lang w:eastAsia="zh-CN"/>
          <w14:textFill>
            <w14:solidFill>
              <w14:schemeClr w14:val="tx1"/>
            </w14:solidFill>
          </w14:textFill>
        </w:rPr>
        <w:t>计划</w:t>
      </w:r>
      <w:r>
        <w:rPr>
          <w:rFonts w:hint="eastAsia"/>
          <w:bCs/>
          <w:color w:val="000000" w:themeColor="text1"/>
          <w:sz w:val="32"/>
          <w:szCs w:val="32"/>
          <w14:textFill>
            <w14:solidFill>
              <w14:schemeClr w14:val="tx1"/>
            </w14:solidFill>
          </w14:textFill>
        </w:rPr>
        <w:t>标准。</w:t>
      </w:r>
    </w:p>
    <w:p>
      <w:pPr>
        <w:spacing w:line="560" w:lineRule="exact"/>
        <w:ind w:firstLine="640"/>
        <w:rPr>
          <w:rFonts w:hint="eastAsia"/>
          <w:bCs/>
          <w:color w:val="000000" w:themeColor="text1"/>
          <w:sz w:val="32"/>
          <w:szCs w:val="32"/>
          <w14:textFill>
            <w14:solidFill>
              <w14:schemeClr w14:val="tx1"/>
            </w14:solidFill>
          </w14:textFill>
        </w:rPr>
      </w:pPr>
      <w:r>
        <w:rPr>
          <w:rFonts w:hint="eastAsia"/>
          <w:bCs/>
          <w:color w:val="000000" w:themeColor="text1"/>
          <w:sz w:val="32"/>
          <w:szCs w:val="32"/>
          <w14:textFill>
            <w14:solidFill>
              <w14:schemeClr w14:val="tx1"/>
            </w14:solidFill>
          </w14:textFill>
        </w:rPr>
        <w:t>计划标准。指以预先制定的目标、计划、预算、定额等作为评价标准。</w:t>
      </w:r>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6" w:name="_Toc68703833"/>
      <w:r>
        <w:rPr>
          <w:rFonts w:hint="eastAsia" w:ascii="Times New Roman" w:hAnsi="Times New Roman" w:eastAsia="楷体_GB2312" w:cs="Times New Roman"/>
          <w:b/>
          <w:bCs/>
          <w:kern w:val="2"/>
          <w:sz w:val="32"/>
          <w:szCs w:val="32"/>
          <w:lang w:val="en-US" w:eastAsia="zh-CN" w:bidi="ar-SA"/>
        </w:rPr>
        <w:t>（三）绩效评价工作过程</w:t>
      </w:r>
      <w:bookmarkEnd w:id="6"/>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1</w:t>
      </w:r>
      <w:r>
        <w:rPr>
          <w:rFonts w:hint="eastAsia"/>
          <w:sz w:val="32"/>
          <w:szCs w:val="32"/>
          <w:lang w:val="en-US" w:eastAsia="zh-CN"/>
        </w:rPr>
        <w:t>.</w:t>
      </w:r>
      <w:r>
        <w:rPr>
          <w:rFonts w:hint="eastAsia"/>
          <w:sz w:val="32"/>
          <w:szCs w:val="32"/>
        </w:rPr>
        <w:t>前期准备：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rPr>
        <w:t>首先成立评价工作组，开展前期调研；其次明确项目绩效目标，设计绩效评价指标体系并确定绩效评价方法；接着确定现场和非现场评价范围，设计资料清单；最后制定评价实施方案并进行论证。</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2</w:t>
      </w:r>
      <w:r>
        <w:rPr>
          <w:rFonts w:hint="eastAsia"/>
          <w:sz w:val="32"/>
          <w:szCs w:val="32"/>
          <w:lang w:val="en-US" w:eastAsia="zh-CN"/>
        </w:rPr>
        <w:t>.</w:t>
      </w:r>
      <w:r>
        <w:rPr>
          <w:rFonts w:hint="eastAsia"/>
          <w:sz w:val="32"/>
          <w:szCs w:val="32"/>
        </w:rPr>
        <w:t>组织实施：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rPr>
        <w:t>制定绩效评价工作方案，具体包括项目概况、评价思路、方法手段、组织实施、进度安排等。收集项目立项依据、相关会议纪要、实施方案、财政资金分配方案、支付管理情况等相关评价资料并进行梳理。</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3</w:t>
      </w:r>
      <w:r>
        <w:rPr>
          <w:rFonts w:hint="eastAsia"/>
          <w:sz w:val="32"/>
          <w:szCs w:val="32"/>
          <w:lang w:val="en-US" w:eastAsia="zh-CN"/>
        </w:rPr>
        <w:t>.</w:t>
      </w:r>
      <w:r>
        <w:rPr>
          <w:rFonts w:hint="eastAsia"/>
          <w:sz w:val="32"/>
          <w:szCs w:val="32"/>
        </w:rPr>
        <w:t>分析评价：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sz w:val="32"/>
          <w:szCs w:val="32"/>
        </w:rPr>
      </w:pPr>
      <w:bookmarkStart w:id="7" w:name="_Toc68703834"/>
      <w:r>
        <w:rPr>
          <w:rFonts w:hint="eastAsia" w:eastAsia="仿宋_GB2312"/>
          <w:bCs/>
          <w:sz w:val="32"/>
          <w:szCs w:val="32"/>
        </w:rPr>
        <w:t>根据收集梳理的资料围绕项目立项、资金落实、业务管理、财务管理、项目产出、项目效益等内容，对照已确定的绩效评价指标进行详细全面的分析评价，逐项打分并形成绩效评价最终结果。</w:t>
      </w:r>
    </w:p>
    <w:p>
      <w:pPr>
        <w:numPr>
          <w:ilvl w:val="0"/>
          <w:numId w:val="0"/>
        </w:numPr>
        <w:spacing w:line="560" w:lineRule="exact"/>
        <w:rPr>
          <w:rFonts w:hint="eastAsia" w:ascii="Times New Roman" w:hAnsi="Times New Roman" w:eastAsia="黑体" w:cs="Times New Roman"/>
          <w:bCs/>
          <w:sz w:val="32"/>
          <w:szCs w:val="32"/>
          <w:lang w:val="en-US" w:eastAsia="zh-CN"/>
        </w:rPr>
      </w:pPr>
      <w:r>
        <w:rPr>
          <w:rFonts w:hint="eastAsia" w:eastAsia="黑体" w:cs="Times New Roman"/>
          <w:bCs/>
          <w:sz w:val="32"/>
          <w:szCs w:val="32"/>
          <w:lang w:val="en-US" w:eastAsia="zh-CN"/>
        </w:rPr>
        <w:t>三、</w:t>
      </w:r>
      <w:r>
        <w:rPr>
          <w:rFonts w:hint="eastAsia" w:ascii="Times New Roman" w:hAnsi="Times New Roman" w:eastAsia="黑体" w:cs="Times New Roman"/>
          <w:bCs/>
          <w:sz w:val="32"/>
          <w:szCs w:val="32"/>
          <w:lang w:val="en-US" w:eastAsia="zh-CN"/>
        </w:rPr>
        <w:t>综合评价情况及评价结论</w:t>
      </w:r>
      <w:bookmarkEnd w:id="7"/>
      <w:r>
        <w:rPr>
          <w:rFonts w:eastAsia="黑体"/>
          <w:sz w:val="32"/>
          <w:szCs w:val="32"/>
        </w:rPr>
        <w:t>（附相关评分表）</w:t>
      </w:r>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8" w:name="_Toc68703835"/>
      <w:r>
        <w:rPr>
          <w:rFonts w:hint="eastAsia" w:ascii="Times New Roman" w:hAnsi="Times New Roman" w:eastAsia="楷体_GB2312" w:cs="Times New Roman"/>
          <w:b/>
          <w:bCs/>
          <w:kern w:val="2"/>
          <w:sz w:val="32"/>
          <w:szCs w:val="32"/>
          <w:lang w:val="en-US" w:eastAsia="zh-CN" w:bidi="ar-SA"/>
        </w:rPr>
        <w:t>（一）综合评价情况</w:t>
      </w:r>
      <w:bookmarkEnd w:id="8"/>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FF0000"/>
          <w:sz w:val="32"/>
          <w:szCs w:val="32"/>
        </w:rPr>
      </w:pPr>
      <w:r>
        <w:rPr>
          <w:rFonts w:hint="eastAsia" w:ascii="Times New Roman" w:hAnsi="Times New Roman" w:eastAsia="仿宋_GB2312" w:cs="Times New Roman"/>
          <w:b w:val="0"/>
          <w:bCs w:val="0"/>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Times New Roman"/>
          <w:b/>
          <w:bCs/>
          <w:kern w:val="2"/>
          <w:sz w:val="32"/>
          <w:szCs w:val="32"/>
          <w:lang w:val="en-US" w:eastAsia="zh-CN" w:bidi="ar-SA"/>
        </w:rPr>
      </w:pPr>
      <w:bookmarkStart w:id="9" w:name="_Toc68703836"/>
      <w:r>
        <w:rPr>
          <w:rFonts w:hint="eastAsia" w:ascii="Times New Roman" w:hAnsi="Times New Roman" w:eastAsia="楷体_GB2312" w:cs="Times New Roman"/>
          <w:b/>
          <w:bCs/>
          <w:kern w:val="2"/>
          <w:sz w:val="32"/>
          <w:szCs w:val="32"/>
          <w:lang w:val="en-US" w:eastAsia="zh-CN" w:bidi="ar-SA"/>
        </w:rPr>
        <w:t>（二）评价结论</w:t>
      </w:r>
      <w:bookmarkEnd w:id="9"/>
    </w:p>
    <w:p>
      <w:pPr>
        <w:pStyle w:val="2"/>
        <w:keepNext w:val="0"/>
        <w:keepLines w:val="0"/>
        <w:pageBreakBefore w:val="0"/>
        <w:widowControl/>
        <w:kinsoku/>
        <w:wordWrap/>
        <w:overflowPunct/>
        <w:topLinePunct w:val="0"/>
        <w:autoSpaceDE/>
        <w:autoSpaceDN/>
        <w:bidi w:val="0"/>
        <w:adjustRightInd/>
        <w:snapToGrid/>
        <w:spacing w:line="560" w:lineRule="exact"/>
        <w:jc w:val="both"/>
        <w:textAlignment w:val="auto"/>
        <w:outlineLvl w:val="9"/>
        <w:rPr>
          <w:rFonts w:hint="eastAsia"/>
        </w:rPr>
      </w:pPr>
      <w:r>
        <w:rPr>
          <w:rFonts w:hint="eastAsia" w:ascii="Times New Roman" w:hAnsi="Times New Roman" w:eastAsia="仿宋_GB2312"/>
          <w:b w:val="0"/>
          <w:bCs w:val="0"/>
          <w:lang w:eastAsia="zh-CN"/>
        </w:rPr>
        <w:t>　　</w:t>
      </w:r>
      <w:r>
        <w:rPr>
          <w:rFonts w:hint="eastAsia" w:ascii="Times New Roman" w:hAnsi="Times New Roman" w:eastAsia="仿宋_GB2312"/>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eastAsia" w:ascii="Times New Roman" w:hAnsi="Times New Roman" w:eastAsia="仿宋_GB2312"/>
          <w:b w:val="0"/>
          <w:bCs w:val="0"/>
          <w:highlight w:val="none"/>
        </w:rPr>
        <w:t xml:space="preserve">：总得分为 </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分，属于“优”。其中，项目决策类指标权重为20分，得分为</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%。项目过程类指标权重为20分，得分</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%。项目产出类指标权重为40分，得分为</w:t>
      </w:r>
      <w:r>
        <w:rPr>
          <w:rFonts w:hint="eastAsia" w:ascii="Times New Roman" w:hAnsi="Times New Roman" w:eastAsia="仿宋_GB2312"/>
          <w:b w:val="0"/>
          <w:bCs w:val="0"/>
          <w:highlight w:val="none"/>
          <w:lang w:val="en-US" w:eastAsia="zh-CN"/>
        </w:rPr>
        <w:t>40</w:t>
      </w:r>
      <w:r>
        <w:rPr>
          <w:rFonts w:hint="eastAsia"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%。项目效益类指标权重为20分，得分为</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%。具体</w:t>
      </w:r>
      <w:r>
        <w:rPr>
          <w:rFonts w:hint="eastAsia" w:ascii="Times New Roman" w:hAnsi="Times New Roman" w:eastAsia="仿宋_GB2312"/>
          <w:b w:val="0"/>
          <w:bCs w:val="0"/>
        </w:rPr>
        <w:t>打分情况详见：附件1综合评分表</w:t>
      </w:r>
      <w:r>
        <w:rPr>
          <w:rFonts w:hint="eastAsia" w:ascii="Times New Roman" w:hAnsi="Times New Roman" w:eastAsia="仿宋_GB2312"/>
          <w:b w:val="0"/>
          <w:bCs w:val="0"/>
          <w:lang w:eastAsia="zh-CN"/>
        </w:rPr>
        <w:t>。</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Times New Roman" w:hAnsi="Times New Roman" w:eastAsia="仿宋_GB2312" w:cs="Times New Roman"/>
          <w:b w:val="0"/>
          <w:bCs w:val="0"/>
          <w:kern w:val="28"/>
          <w:sz w:val="32"/>
          <w:szCs w:val="32"/>
          <w:lang w:val="en-US" w:eastAsia="zh-CN" w:bidi="ar-SA"/>
        </w:rPr>
      </w:pPr>
      <w:r>
        <w:rPr>
          <w:rFonts w:hint="eastAsia"/>
          <w:sz w:val="30"/>
          <w:szCs w:val="30"/>
          <w:lang w:eastAsia="zh-CN"/>
        </w:rPr>
        <w:t>　　　　　　　　</w:t>
      </w:r>
      <w:r>
        <w:rPr>
          <w:rFonts w:hint="eastAsia" w:ascii="Times New Roman" w:hAnsi="Times New Roman" w:eastAsia="仿宋_GB2312" w:cs="Times New Roman"/>
          <w:b w:val="0"/>
          <w:bCs w:val="0"/>
          <w:kern w:val="28"/>
          <w:sz w:val="32"/>
          <w:szCs w:val="32"/>
          <w:lang w:val="en-US" w:eastAsia="zh-CN" w:bidi="ar-SA"/>
        </w:rPr>
        <w:t>表1综合评分表</w:t>
      </w:r>
    </w:p>
    <w:tbl>
      <w:tblPr>
        <w:tblStyle w:val="11"/>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40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000000"/>
                <w:sz w:val="22"/>
                <w:lang w:val="en-US" w:eastAsia="zh-CN"/>
              </w:rPr>
            </w:pPr>
            <w:r>
              <w:rPr>
                <w:rFonts w:hint="eastAsia"/>
                <w:b/>
                <w:bCs/>
                <w:color w:val="000000"/>
                <w:sz w:val="22"/>
                <w:lang w:val="en-US" w:eastAsia="zh-CN"/>
              </w:rPr>
              <w:t>100</w:t>
            </w:r>
          </w:p>
        </w:tc>
      </w:tr>
    </w:tbl>
    <w:p>
      <w:pPr>
        <w:spacing w:line="560" w:lineRule="exact"/>
        <w:rPr>
          <w:rFonts w:hint="eastAsia" w:ascii="Times New Roman" w:hAnsi="Times New Roman" w:eastAsia="黑体" w:cs="Times New Roman"/>
          <w:bCs/>
          <w:sz w:val="32"/>
          <w:szCs w:val="32"/>
          <w:lang w:val="en-US" w:eastAsia="zh-CN"/>
        </w:rPr>
      </w:pPr>
      <w:bookmarkStart w:id="10" w:name="_Toc68703837"/>
      <w:r>
        <w:rPr>
          <w:rFonts w:hint="eastAsia" w:ascii="Times New Roman" w:hAnsi="Times New Roman" w:eastAsia="黑体" w:cs="Times New Roman"/>
          <w:bCs/>
          <w:sz w:val="32"/>
          <w:szCs w:val="32"/>
          <w:lang w:val="en-US" w:eastAsia="zh-CN"/>
        </w:rPr>
        <w:t>四、绩效评价指标分析</w:t>
      </w:r>
      <w:bookmarkEnd w:id="10"/>
    </w:p>
    <w:p>
      <w:pPr>
        <w:spacing w:line="560" w:lineRule="exact"/>
        <w:rPr>
          <w:rFonts w:hint="eastAsia" w:ascii="Times New Roman" w:hAnsi="Times New Roman" w:eastAsia="楷体_GB2312" w:cs="Times New Roman"/>
          <w:b/>
          <w:bCs/>
          <w:kern w:val="2"/>
          <w:sz w:val="32"/>
          <w:szCs w:val="32"/>
          <w:lang w:val="en-US" w:eastAsia="zh-CN" w:bidi="ar-SA"/>
        </w:rPr>
      </w:pPr>
      <w:bookmarkStart w:id="11" w:name="_Toc68703838"/>
      <w:r>
        <w:rPr>
          <w:rFonts w:hint="eastAsia" w:ascii="Times New Roman" w:hAnsi="Times New Roman" w:eastAsia="楷体_GB2312" w:cs="Times New Roman"/>
          <w:b/>
          <w:bCs/>
          <w:kern w:val="2"/>
          <w:sz w:val="32"/>
          <w:szCs w:val="32"/>
          <w:lang w:val="en-US" w:eastAsia="zh-CN" w:bidi="ar-SA"/>
        </w:rPr>
        <w:t>（一）项目决策情况</w:t>
      </w:r>
      <w:bookmarkEnd w:id="11"/>
    </w:p>
    <w:p>
      <w:pPr>
        <w:pageBreakBefore w:val="0"/>
        <w:widowControl w:val="0"/>
        <w:kinsoku/>
        <w:wordWrap/>
        <w:overflowPunct/>
        <w:topLinePunct w:val="0"/>
        <w:autoSpaceDE/>
        <w:autoSpaceDN/>
        <w:bidi w:val="0"/>
        <w:adjustRightInd/>
        <w:snapToGrid/>
        <w:spacing w:line="560" w:lineRule="exact"/>
        <w:jc w:val="left"/>
        <w:textAlignment w:val="auto"/>
        <w:rPr>
          <w:rFonts w:hint="eastAsia"/>
          <w:color w:val="000000" w:themeColor="text1"/>
          <w:lang w:val="en-US" w:eastAsia="zh-CN"/>
          <w14:textFill>
            <w14:solidFill>
              <w14:schemeClr w14:val="tx1"/>
            </w14:solidFill>
          </w14:textFill>
        </w:rPr>
      </w:pPr>
      <w:r>
        <w:rPr>
          <w:rFonts w:hint="eastAsia"/>
          <w:b w:val="0"/>
          <w:bCs w:val="0"/>
          <w:sz w:val="32"/>
          <w:szCs w:val="32"/>
          <w:lang w:val="en-US" w:eastAsia="zh-CN"/>
        </w:rPr>
        <w:t>　　项目决策类指标包括项目立项、绩效目标和资金投入三方面的内容，由6个三级指标构成，权重分值为20分，实</w:t>
      </w:r>
      <w:r>
        <w:rPr>
          <w:rFonts w:hint="eastAsia"/>
          <w:b w:val="0"/>
          <w:bCs w:val="0"/>
          <w:color w:val="000000" w:themeColor="text1"/>
          <w:sz w:val="32"/>
          <w:szCs w:val="32"/>
          <w:lang w:val="en-US" w:eastAsia="zh-CN"/>
          <w14:textFill>
            <w14:solidFill>
              <w14:schemeClr w14:val="tx1"/>
            </w14:solidFill>
          </w14:textFill>
        </w:rPr>
        <w:t>际得分20分，得分率为100%。</w:t>
      </w:r>
    </w:p>
    <w:p>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1.</w:t>
      </w:r>
      <w:r>
        <w:rPr>
          <w:rFonts w:hint="eastAsia" w:ascii="仿宋_GB2312" w:hAnsi="仿宋_GB2312" w:eastAsia="仿宋_GB2312" w:cs="仿宋_GB2312"/>
          <w:b/>
          <w:bCs/>
          <w:sz w:val="32"/>
          <w:szCs w:val="32"/>
          <w:lang w:val="en-US" w:eastAsia="zh-CN"/>
        </w:rPr>
        <w:t>项目立项</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（1）立项依据充分性</w:t>
      </w:r>
    </w:p>
    <w:p>
      <w:pPr>
        <w:shd w:val="clear"/>
        <w:spacing w:line="600" w:lineRule="exact"/>
        <w:ind w:firstLine="640" w:firstLineChars="200"/>
        <w:outlineLvl w:val="0"/>
        <w:rPr>
          <w:color w:val="FF0000"/>
          <w:sz w:val="32"/>
          <w:szCs w:val="32"/>
        </w:rPr>
      </w:pPr>
      <w:r>
        <w:rPr>
          <w:rFonts w:hint="eastAsia" w:ascii="仿宋_GB2312" w:hAnsi="仿宋_GB2312" w:eastAsia="仿宋_GB2312" w:cs="仿宋_GB2312"/>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b w:val="0"/>
          <w:bCs w:val="0"/>
          <w:sz w:val="32"/>
          <w:szCs w:val="32"/>
        </w:rPr>
      </w:pPr>
      <w:r>
        <w:rPr>
          <w:rFonts w:hint="eastAsia"/>
          <w:b w:val="0"/>
          <w:bCs w:val="0"/>
          <w:sz w:val="32"/>
          <w:szCs w:val="32"/>
        </w:rPr>
        <w:t>2</w:t>
      </w:r>
      <w:r>
        <w:rPr>
          <w:rFonts w:hint="eastAsia"/>
          <w:b w:val="0"/>
          <w:bCs w:val="0"/>
          <w:sz w:val="32"/>
          <w:szCs w:val="32"/>
          <w:lang w:val="en-US" w:eastAsia="zh-CN"/>
        </w:rPr>
        <w:t>.</w:t>
      </w:r>
      <w:r>
        <w:rPr>
          <w:rFonts w:hint="eastAsia"/>
          <w:b w:val="0"/>
          <w:bCs w:val="0"/>
          <w:sz w:val="32"/>
          <w:szCs w:val="32"/>
        </w:rPr>
        <w:t>立项程序规范性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b w:val="0"/>
          <w:bCs w:val="0"/>
          <w:sz w:val="32"/>
          <w:szCs w:val="32"/>
        </w:rPr>
      </w:pPr>
      <w:r>
        <w:rPr>
          <w:rFonts w:hint="eastAsia" w:ascii="仿宋_GB2312" w:hAnsi="仿宋_GB2312" w:eastAsia="仿宋_GB2312" w:cs="仿宋_GB2312"/>
          <w:b/>
          <w:bCs/>
          <w:sz w:val="32"/>
          <w:szCs w:val="32"/>
          <w:lang w:val="en-US" w:eastAsia="zh-CN"/>
        </w:rPr>
        <w:t>2.绩效目标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（1）绩效目标合理性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年初结合实际工作内容</w:t>
      </w:r>
      <w:r>
        <w:rPr>
          <w:rFonts w:hint="eastAsia" w:ascii="仿宋_GB2312" w:hAnsi="仿宋_GB2312" w:eastAsia="仿宋_GB2312" w:cs="仿宋_GB2312"/>
          <w:sz w:val="32"/>
          <w:szCs w:val="32"/>
          <w:lang w:val="en-US" w:eastAsia="zh-CN"/>
        </w:rPr>
        <w:t>设定绩效目标</w:t>
      </w:r>
      <w:r>
        <w:rPr>
          <w:rFonts w:hint="eastAsia" w:ascii="仿宋_GB2312" w:hAnsi="仿宋_GB2312" w:eastAsia="仿宋_GB2312" w:cs="仿宋_GB2312"/>
          <w:sz w:val="32"/>
          <w:szCs w:val="32"/>
          <w:lang w:val="en-US" w:eastAsia="zh-Hans"/>
        </w:rPr>
        <w:t>，绩效目标</w:t>
      </w:r>
      <w:r>
        <w:rPr>
          <w:rFonts w:hint="eastAsia" w:ascii="仿宋_GB2312" w:hAnsi="仿宋_GB2312" w:eastAsia="仿宋_GB2312" w:cs="仿宋_GB2312"/>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bookmarkStart w:id="12" w:name="_Hlk68699917"/>
      <w:r>
        <w:rPr>
          <w:rFonts w:hint="eastAsia" w:ascii="仿宋_GB2312" w:hAnsi="仿宋_GB2312" w:eastAsia="仿宋_GB2312" w:cs="仿宋_GB2312"/>
          <w:sz w:val="32"/>
          <w:szCs w:val="32"/>
          <w:lang w:val="en-US" w:eastAsia="zh-CN"/>
        </w:rPr>
        <w:t>（2）绩效指标明确性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项目设置了明确的预期产出效益和效果，将绩效目标细化分解为具体的绩效指标，绩效目标与项目目标任务数相对应，绩效目标设定的绩效指标清晰、细化、可衡量。</w:t>
      </w:r>
    </w:p>
    <w:bookmarkEnd w:id="12"/>
    <w:p>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3.</w:t>
      </w:r>
      <w:r>
        <w:rPr>
          <w:rFonts w:hint="eastAsia" w:ascii="仿宋_GB2312" w:hAnsi="仿宋_GB2312" w:eastAsia="仿宋_GB2312" w:cs="仿宋_GB2312"/>
          <w:b/>
          <w:bCs/>
          <w:sz w:val="32"/>
          <w:szCs w:val="32"/>
          <w:lang w:val="en-US" w:eastAsia="zh-CN"/>
        </w:rPr>
        <w:t>资金投入</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（1）预算编制科学性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预算编制经过科学论证，提供充分的测算依据佐证资料，预算内容与项目内容相匹配。项目投资额与工作任务相匹配。</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（2）资金分配合理性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资金分配额度与项目单位实际工作内容相适应，资金分配额度合理，资金分配依据充分。</w:t>
      </w:r>
    </w:p>
    <w:p>
      <w:pPr>
        <w:pStyle w:val="2"/>
        <w:numPr>
          <w:ilvl w:val="0"/>
          <w:numId w:val="0"/>
        </w:numPr>
        <w:spacing w:before="0" w:after="0" w:line="560" w:lineRule="exact"/>
        <w:jc w:val="both"/>
        <w:rPr>
          <w:rFonts w:ascii="楷体" w:hAnsi="楷体" w:eastAsia="楷体" w:cs="楷体"/>
        </w:rPr>
      </w:pPr>
      <w:r>
        <w:rPr>
          <w:rFonts w:hint="eastAsia" w:ascii="楷体" w:hAnsi="楷体" w:eastAsia="楷体" w:cs="楷体"/>
          <w:lang w:eastAsia="zh-CN"/>
        </w:rPr>
        <w:t>（二）</w:t>
      </w:r>
      <w:r>
        <w:rPr>
          <w:rFonts w:hint="eastAsia" w:ascii="楷体" w:hAnsi="楷体" w:eastAsia="楷体" w:cs="楷体"/>
        </w:rPr>
        <w:t>项目过程情况</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项目过程类指标包括资金管理和组织实施两方面的内容，由</w:t>
      </w:r>
      <w:r>
        <w:rPr>
          <w:rFonts w:hint="eastAsia" w:ascii="仿宋_GB2312" w:hAnsi="仿宋_GB2312" w:eastAsia="仿宋_GB2312" w:cs="仿宋_GB2312"/>
          <w:sz w:val="32"/>
          <w:szCs w:val="32"/>
          <w:highlight w:val="none"/>
          <w:lang w:val="en-US" w:eastAsia="zh-CN"/>
        </w:rPr>
        <w:t>5个</w:t>
      </w:r>
      <w:r>
        <w:rPr>
          <w:rFonts w:hint="eastAsia" w:ascii="仿宋_GB2312" w:hAnsi="仿宋_GB2312" w:eastAsia="仿宋_GB2312" w:cs="仿宋_GB2312"/>
          <w:sz w:val="32"/>
          <w:szCs w:val="32"/>
          <w:lang w:val="en-US" w:eastAsia="zh-CN"/>
        </w:rPr>
        <w:t>三级指标构成，权重分值为20分</w:t>
      </w:r>
      <w:r>
        <w:rPr>
          <w:rFonts w:hint="eastAsia" w:ascii="仿宋_GB2312" w:hAnsi="仿宋_GB2312" w:eastAsia="仿宋_GB2312" w:cs="仿宋_GB2312"/>
          <w:sz w:val="32"/>
          <w:szCs w:val="32"/>
          <w:highlight w:val="none"/>
          <w:lang w:val="en-US" w:eastAsia="zh-CN"/>
        </w:rPr>
        <w:t>，实际得分</w:t>
      </w:r>
      <w:r>
        <w:rPr>
          <w:rFonts w:hint="eastAsia" w:ascii="仿宋_GB2312" w:hAnsi="仿宋_GB2312" w:cs="仿宋_GB2312"/>
          <w:sz w:val="32"/>
          <w:szCs w:val="32"/>
          <w:highlight w:val="none"/>
          <w:lang w:val="en-US" w:eastAsia="zh-CN"/>
        </w:rPr>
        <w:t>20</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1.资金管理</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（1）资金到位率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本项目</w:t>
      </w:r>
      <w:r>
        <w:rPr>
          <w:rFonts w:hint="eastAsia" w:ascii="仿宋_GB2312" w:hAnsi="仿宋_GB2312" w:eastAsia="仿宋_GB2312" w:cs="仿宋_GB2312"/>
          <w:sz w:val="32"/>
          <w:szCs w:val="32"/>
          <w:highlight w:val="none"/>
          <w:lang w:val="en-US" w:eastAsia="zh-CN"/>
        </w:rPr>
        <w:t>总投资</w:t>
      </w:r>
      <w:r>
        <w:rPr>
          <w:rFonts w:hint="eastAsia" w:ascii="仿宋_GB2312" w:hAnsi="仿宋_GB2312" w:cs="仿宋_GB2312"/>
          <w:sz w:val="32"/>
          <w:szCs w:val="32"/>
          <w:highlight w:val="none"/>
          <w:lang w:val="en-US" w:eastAsia="zh-CN"/>
        </w:rPr>
        <w:t>456</w:t>
      </w:r>
      <w:r>
        <w:rPr>
          <w:rFonts w:hint="eastAsia" w:ascii="仿宋_GB2312" w:hAnsi="仿宋_GB2312" w:eastAsia="仿宋_GB2312" w:cs="仿宋_GB2312"/>
          <w:sz w:val="32"/>
          <w:szCs w:val="32"/>
          <w:highlight w:val="none"/>
          <w:lang w:val="en-US" w:eastAsia="zh-CN"/>
        </w:rPr>
        <w:t>万元，财政资金及时足额到位，到位率</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%，预算资金按计划进度执行。</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（2）预算执行率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预算编制较为详细，项目资金支出总体能够按照预算执行，预算资金支出</w:t>
      </w:r>
      <w:r>
        <w:rPr>
          <w:rFonts w:hint="eastAsia" w:ascii="仿宋_GB2312" w:hAnsi="仿宋_GB2312" w:cs="仿宋_GB2312"/>
          <w:sz w:val="32"/>
          <w:szCs w:val="32"/>
          <w:highlight w:val="none"/>
          <w:lang w:val="en-US" w:eastAsia="zh-CN"/>
        </w:rPr>
        <w:t>456</w:t>
      </w:r>
      <w:r>
        <w:rPr>
          <w:rFonts w:hint="eastAsia" w:ascii="仿宋_GB2312" w:hAnsi="仿宋_GB2312" w:eastAsia="仿宋_GB2312" w:cs="仿宋_GB2312"/>
          <w:sz w:val="32"/>
          <w:szCs w:val="32"/>
          <w:highlight w:val="none"/>
          <w:lang w:val="en-US" w:eastAsia="zh-CN"/>
        </w:rPr>
        <w:t>万元，预算执行率为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（3）资金使用合规性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（1）管理制度健全性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对资金使用的合法合规性进行监督，年末对资金使用效果进行评价。项目管理、实施人员落实到位，有效按照计划执行。项</w:t>
      </w:r>
      <w:r>
        <w:rPr>
          <w:rFonts w:hint="eastAsia" w:ascii="仿宋_GB2312" w:hAnsi="仿宋_GB2312" w:eastAsia="仿宋_GB2312" w:cs="仿宋_GB2312"/>
          <w:sz w:val="32"/>
          <w:szCs w:val="32"/>
          <w:highlight w:val="none"/>
          <w:lang w:val="en-US" w:eastAsia="zh-CN"/>
        </w:rPr>
        <w:t>目执行情况等资料齐全，项目相关手续完备，及时进行归档。</w:t>
      </w:r>
    </w:p>
    <w:p>
      <w:pPr>
        <w:pStyle w:val="6"/>
        <w:keepNext w:val="0"/>
        <w:keepLines w:val="0"/>
        <w:pageBreakBefore w:val="0"/>
        <w:widowControl w:val="0"/>
        <w:numPr>
          <w:numId w:val="0"/>
        </w:numPr>
        <w:kinsoku/>
        <w:wordWrap/>
        <w:overflowPunct/>
        <w:topLinePunct w:val="0"/>
        <w:autoSpaceDE/>
        <w:autoSpaceDN/>
        <w:bidi w:val="0"/>
        <w:adjustRightInd/>
        <w:snapToGrid/>
        <w:textAlignment w:val="auto"/>
        <w:outlineLvl w:val="9"/>
        <w:rPr>
          <w:rFonts w:hint="eastAsia" w:ascii="Times New Roman" w:hAnsi="Times New Roman" w:eastAsia="楷体_GB2312" w:cs="Times New Roman"/>
          <w:b/>
          <w:bCs/>
          <w:kern w:val="2"/>
          <w:sz w:val="32"/>
          <w:szCs w:val="32"/>
          <w:highlight w:val="none"/>
          <w:lang w:val="en-US" w:eastAsia="zh-CN" w:bidi="ar-SA"/>
        </w:rPr>
      </w:pPr>
      <w:bookmarkStart w:id="13" w:name="_Toc68703840"/>
      <w:r>
        <w:rPr>
          <w:rFonts w:hint="eastAsia" w:ascii="Times New Roman" w:hAnsi="Times New Roman" w:eastAsia="楷体_GB2312" w:cs="Times New Roman"/>
          <w:b/>
          <w:bCs/>
          <w:kern w:val="2"/>
          <w:sz w:val="32"/>
          <w:szCs w:val="32"/>
          <w:highlight w:val="none"/>
          <w:lang w:val="en-US" w:eastAsia="zh-CN" w:bidi="ar-SA"/>
        </w:rPr>
        <w:t>（三）项目产出情况</w:t>
      </w:r>
      <w:bookmarkEnd w:id="13"/>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项目产出类指标包括产出数量、产出质量、产出时效、产出成本四方面的内容，由</w:t>
      </w:r>
      <w:r>
        <w:rPr>
          <w:rFonts w:hint="eastAsia" w:ascii="仿宋_GB2312" w:hAnsi="仿宋_GB2312" w:cs="仿宋_GB2312"/>
          <w:sz w:val="32"/>
          <w:szCs w:val="32"/>
          <w:highlight w:val="none"/>
          <w:lang w:val="en-US" w:eastAsia="zh-CN"/>
        </w:rPr>
        <w:t>4</w:t>
      </w:r>
      <w:r>
        <w:rPr>
          <w:rFonts w:hint="eastAsia" w:ascii="仿宋_GB2312" w:hAnsi="仿宋_GB2312" w:eastAsia="仿宋_GB2312" w:cs="仿宋_GB2312"/>
          <w:sz w:val="32"/>
          <w:szCs w:val="32"/>
          <w:highlight w:val="none"/>
          <w:lang w:val="en-US" w:eastAsia="zh-CN"/>
        </w:rPr>
        <w:t>个三级指标构成，权重分为</w:t>
      </w:r>
      <w:r>
        <w:rPr>
          <w:rFonts w:hint="eastAsia" w:ascii="仿宋_GB2312" w:hAnsi="仿宋_GB2312" w:cs="仿宋_GB2312"/>
          <w:sz w:val="32"/>
          <w:szCs w:val="32"/>
          <w:highlight w:val="none"/>
          <w:lang w:val="en-US" w:eastAsia="zh-CN"/>
        </w:rPr>
        <w:t>40</w:t>
      </w:r>
      <w:r>
        <w:rPr>
          <w:rFonts w:hint="eastAsia" w:ascii="仿宋_GB2312" w:hAnsi="仿宋_GB2312" w:eastAsia="仿宋_GB2312" w:cs="仿宋_GB2312"/>
          <w:sz w:val="32"/>
          <w:szCs w:val="32"/>
          <w:highlight w:val="none"/>
          <w:lang w:val="en-US" w:eastAsia="zh-CN"/>
        </w:rPr>
        <w:t>分，实际得分</w:t>
      </w:r>
      <w:r>
        <w:rPr>
          <w:rFonts w:hint="eastAsia" w:ascii="仿宋_GB2312" w:hAnsi="仿宋_GB2312" w:cs="仿宋_GB2312"/>
          <w:sz w:val="32"/>
          <w:szCs w:val="32"/>
          <w:highlight w:val="none"/>
          <w:lang w:val="en-US" w:eastAsia="zh-CN"/>
        </w:rPr>
        <w:t>40</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%。具体产出指标完成情况如下：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数量指标：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color w:val="auto"/>
          <w:sz w:val="32"/>
          <w:szCs w:val="32"/>
          <w:highlight w:val="none"/>
        </w:rPr>
        <w:t>指标1：</w:t>
      </w:r>
      <w:r>
        <w:rPr>
          <w:rFonts w:hint="eastAsia"/>
          <w:color w:val="auto"/>
          <w:sz w:val="32"/>
          <w:szCs w:val="32"/>
          <w:highlight w:val="none"/>
          <w:lang w:eastAsia="zh-CN"/>
        </w:rPr>
        <w:t>土地征收面积</w:t>
      </w:r>
      <w:r>
        <w:rPr>
          <w:rFonts w:hint="eastAsia"/>
          <w:color w:val="auto"/>
          <w:sz w:val="32"/>
          <w:szCs w:val="32"/>
          <w:highlight w:val="none"/>
        </w:rPr>
        <w:t>，指标值：</w:t>
      </w:r>
      <w:r>
        <w:rPr>
          <w:rFonts w:hint="eastAsia"/>
          <w:color w:val="auto"/>
          <w:sz w:val="32"/>
          <w:szCs w:val="32"/>
          <w:highlight w:val="none"/>
          <w:lang w:val="en-US" w:eastAsia="zh-CN"/>
        </w:rPr>
        <w:t>&gt;=60752.8平方米</w:t>
      </w:r>
      <w:r>
        <w:rPr>
          <w:rFonts w:hint="eastAsia"/>
          <w:color w:val="auto"/>
          <w:sz w:val="32"/>
          <w:szCs w:val="32"/>
          <w:highlight w:val="none"/>
        </w:rPr>
        <w:t>，实际完成值</w:t>
      </w:r>
      <w:r>
        <w:rPr>
          <w:rFonts w:hint="eastAsia"/>
          <w:color w:val="auto"/>
          <w:sz w:val="32"/>
          <w:szCs w:val="32"/>
          <w:highlight w:val="none"/>
          <w:lang w:eastAsia="zh-CN"/>
        </w:rPr>
        <w:t>：</w:t>
      </w:r>
      <w:r>
        <w:rPr>
          <w:rFonts w:hint="eastAsia"/>
          <w:color w:val="auto"/>
          <w:sz w:val="32"/>
          <w:szCs w:val="32"/>
          <w:highlight w:val="none"/>
          <w:lang w:val="en-US" w:eastAsia="zh-CN"/>
        </w:rPr>
        <w:t>60752.8平方米</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w:t>
      </w:r>
      <w:r>
        <w:rPr>
          <w:rFonts w:hint="eastAsia"/>
          <w:color w:val="auto"/>
          <w:sz w:val="32"/>
          <w:szCs w:val="32"/>
          <w:highlight w:val="none"/>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2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质量指标：</w:t>
      </w:r>
    </w:p>
    <w:p>
      <w:pPr>
        <w:shd w:val="clear"/>
        <w:spacing w:line="600" w:lineRule="exact"/>
        <w:ind w:firstLine="640" w:firstLineChars="200"/>
        <w:outlineLvl w:val="0"/>
        <w:rPr>
          <w:rFonts w:hint="eastAsia"/>
          <w:lang w:eastAsia="zh-CN"/>
        </w:rPr>
      </w:pPr>
      <w:r>
        <w:rPr>
          <w:rFonts w:hint="eastAsia"/>
          <w:color w:val="auto"/>
          <w:sz w:val="32"/>
          <w:szCs w:val="32"/>
        </w:rPr>
        <w:t>指标1：</w:t>
      </w:r>
      <w:r>
        <w:rPr>
          <w:rFonts w:hint="eastAsia"/>
          <w:color w:val="auto"/>
          <w:sz w:val="32"/>
          <w:szCs w:val="32"/>
          <w:lang w:eastAsia="zh-CN"/>
        </w:rPr>
        <w:t>土地合理利用率</w:t>
      </w:r>
      <w:r>
        <w:rPr>
          <w:rFonts w:hint="eastAsia"/>
          <w:color w:val="auto"/>
          <w:sz w:val="32"/>
          <w:szCs w:val="32"/>
        </w:rPr>
        <w:t>，指标值：</w:t>
      </w:r>
      <w:r>
        <w:rPr>
          <w:rFonts w:hint="eastAsia"/>
          <w:color w:val="auto"/>
          <w:sz w:val="32"/>
          <w:szCs w:val="32"/>
          <w:lang w:val="en-US" w:eastAsia="zh-CN"/>
        </w:rPr>
        <w:t>=100%</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r>
        <w:rPr>
          <w:rFonts w:hint="eastAsia"/>
          <w:color w:val="auto"/>
          <w:sz w:val="32"/>
          <w:szCs w:val="32"/>
        </w:rPr>
        <w:t>指标2：</w:t>
      </w:r>
      <w:r>
        <w:rPr>
          <w:rFonts w:hint="eastAsia"/>
          <w:color w:val="auto"/>
          <w:sz w:val="32"/>
          <w:szCs w:val="32"/>
          <w:lang w:eastAsia="zh-CN"/>
        </w:rPr>
        <w:t>资金使用合规率</w:t>
      </w:r>
      <w:r>
        <w:rPr>
          <w:rFonts w:hint="eastAsia"/>
          <w:color w:val="auto"/>
          <w:sz w:val="32"/>
          <w:szCs w:val="32"/>
        </w:rPr>
        <w:t>，指标值：</w:t>
      </w:r>
      <w:r>
        <w:rPr>
          <w:rFonts w:hint="eastAsia"/>
          <w:color w:val="auto"/>
          <w:sz w:val="32"/>
          <w:szCs w:val="32"/>
          <w:lang w:val="en-US" w:eastAsia="zh-CN"/>
        </w:rPr>
        <w:t>=100%，</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3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③</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时效指标：</w:t>
      </w:r>
    </w:p>
    <w:p>
      <w:pPr>
        <w:shd w:val="clear"/>
        <w:spacing w:line="600" w:lineRule="exact"/>
        <w:ind w:firstLine="640" w:firstLineChars="200"/>
        <w:outlineLvl w:val="0"/>
        <w:rPr>
          <w:rFonts w:hint="eastAsia"/>
          <w:color w:val="auto"/>
          <w:sz w:val="32"/>
          <w:szCs w:val="32"/>
          <w:lang w:eastAsia="zh-CN"/>
        </w:rPr>
      </w:pPr>
      <w:bookmarkStart w:id="14" w:name="_Toc68703841"/>
      <w:r>
        <w:rPr>
          <w:rFonts w:hint="eastAsia" w:ascii="仿宋_GB2312" w:hAnsi="仿宋_GB2312" w:eastAsia="仿宋_GB2312" w:cs="仿宋_GB2312"/>
          <w:sz w:val="32"/>
          <w:szCs w:val="32"/>
          <w:highlight w:val="none"/>
          <w:lang w:eastAsia="zh-CN"/>
        </w:rPr>
        <w:t>　</w:t>
      </w:r>
      <w:r>
        <w:rPr>
          <w:rFonts w:hint="eastAsia"/>
          <w:color w:val="auto"/>
          <w:sz w:val="32"/>
          <w:szCs w:val="32"/>
        </w:rPr>
        <w:t>指标1：</w:t>
      </w:r>
      <w:r>
        <w:rPr>
          <w:rFonts w:hint="eastAsia"/>
          <w:color w:val="auto"/>
          <w:sz w:val="32"/>
          <w:szCs w:val="32"/>
          <w:lang w:eastAsia="zh-CN"/>
        </w:rPr>
        <w:t>资金拨付及时率</w:t>
      </w:r>
      <w:r>
        <w:rPr>
          <w:rFonts w:hint="eastAsia"/>
          <w:color w:val="auto"/>
          <w:sz w:val="32"/>
          <w:szCs w:val="32"/>
        </w:rPr>
        <w:t>，指标值：</w:t>
      </w:r>
      <w:r>
        <w:rPr>
          <w:rFonts w:hint="eastAsia"/>
          <w:color w:val="auto"/>
          <w:sz w:val="32"/>
          <w:szCs w:val="32"/>
          <w:lang w:val="en-US" w:eastAsia="zh-CN"/>
        </w:rPr>
        <w:t>=100%</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fldChar w:fldCharType="begin"/>
      </w:r>
      <w:r>
        <w:rPr>
          <w:rFonts w:hint="eastAsia" w:ascii="仿宋_GB2312" w:hAnsi="仿宋_GB2312" w:eastAsia="仿宋_GB2312" w:cs="仿宋_GB2312"/>
          <w:sz w:val="32"/>
          <w:szCs w:val="32"/>
          <w:highlight w:val="none"/>
          <w:lang w:val="en-US" w:eastAsia="zh-CN"/>
        </w:rPr>
        <w:instrText xml:space="preserve"> = 4 \* GB3 </w:instrText>
      </w:r>
      <w:r>
        <w:rPr>
          <w:rFonts w:hint="eastAsia" w:ascii="仿宋_GB2312" w:hAnsi="仿宋_GB2312" w:eastAsia="仿宋_GB2312" w:cs="仿宋_GB2312"/>
          <w:sz w:val="32"/>
          <w:szCs w:val="32"/>
          <w:highlight w:val="none"/>
          <w:lang w:val="en-US" w:eastAsia="zh-CN"/>
        </w:rPr>
        <w:fldChar w:fldCharType="separate"/>
      </w:r>
      <w:r>
        <w:rPr>
          <w:rFonts w:hint="eastAsia" w:ascii="仿宋_GB2312" w:hAnsi="仿宋_GB2312" w:eastAsia="仿宋_GB2312" w:cs="仿宋_GB2312"/>
          <w:sz w:val="32"/>
          <w:szCs w:val="32"/>
          <w:highlight w:val="none"/>
          <w:lang w:val="en-US" w:eastAsia="zh-CN"/>
        </w:rPr>
        <w:t>④</w:t>
      </w:r>
      <w:r>
        <w:rPr>
          <w:rFonts w:hint="eastAsia" w:ascii="仿宋_GB2312" w:hAnsi="仿宋_GB2312" w:eastAsia="仿宋_GB2312" w:cs="仿宋_GB2312"/>
          <w:sz w:val="32"/>
          <w:szCs w:val="32"/>
          <w:highlight w:val="none"/>
          <w:lang w:val="en-US" w:eastAsia="zh-CN"/>
        </w:rPr>
        <w:fldChar w:fldCharType="end"/>
      </w:r>
      <w:r>
        <w:rPr>
          <w:rFonts w:hint="eastAsia" w:ascii="仿宋_GB2312" w:hAnsi="仿宋_GB2312" w:eastAsia="仿宋_GB2312" w:cs="仿宋_GB2312"/>
          <w:sz w:val="32"/>
          <w:szCs w:val="32"/>
          <w:highlight w:val="none"/>
          <w:lang w:val="en-US" w:eastAsia="zh-CN"/>
        </w:rPr>
        <w:t>成本指标：</w:t>
      </w:r>
    </w:p>
    <w:p>
      <w:pPr>
        <w:shd w:val="clear"/>
        <w:spacing w:line="600" w:lineRule="exact"/>
        <w:ind w:firstLine="640" w:firstLineChars="200"/>
        <w:outlineLvl w:val="0"/>
        <w:rPr>
          <w:rFonts w:hint="eastAsia"/>
          <w:color w:val="auto"/>
          <w:sz w:val="32"/>
          <w:szCs w:val="32"/>
          <w:lang w:eastAsia="zh-CN"/>
        </w:rPr>
      </w:pPr>
      <w:r>
        <w:rPr>
          <w:rFonts w:hint="eastAsia"/>
          <w:color w:val="auto"/>
          <w:sz w:val="32"/>
          <w:szCs w:val="32"/>
        </w:rPr>
        <w:t>指标1：</w:t>
      </w:r>
      <w:r>
        <w:rPr>
          <w:rFonts w:hint="eastAsia"/>
          <w:color w:val="auto"/>
          <w:sz w:val="32"/>
          <w:szCs w:val="32"/>
          <w:lang w:val="en-US" w:eastAsia="zh-CN"/>
        </w:rPr>
        <w:t>土地征收标准</w:t>
      </w:r>
      <w:r>
        <w:rPr>
          <w:rFonts w:hint="eastAsia"/>
          <w:color w:val="auto"/>
          <w:sz w:val="32"/>
          <w:szCs w:val="32"/>
        </w:rPr>
        <w:t>，指标值：</w:t>
      </w:r>
      <w:r>
        <w:rPr>
          <w:rFonts w:hint="eastAsia"/>
          <w:color w:val="auto"/>
          <w:sz w:val="32"/>
          <w:szCs w:val="32"/>
          <w:lang w:val="en-US" w:eastAsia="zh-CN"/>
        </w:rPr>
        <w:t>&lt;=75元/平方米</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75元/平方米</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pageBreakBefore w:val="0"/>
        <w:widowControl w:val="0"/>
        <w:numPr>
          <w:ilvl w:val="0"/>
          <w:numId w:val="0"/>
        </w:numPr>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Times New Roman"/>
          <w:b/>
          <w:bCs/>
          <w:kern w:val="2"/>
          <w:sz w:val="32"/>
          <w:szCs w:val="32"/>
          <w:lang w:val="en-US" w:eastAsia="zh-CN" w:bidi="ar-SA"/>
        </w:rPr>
      </w:pPr>
      <w:r>
        <w:rPr>
          <w:rFonts w:hint="eastAsia" w:ascii="Times New Roman" w:hAnsi="Times New Roman" w:eastAsia="楷体_GB2312" w:cs="Times New Roman"/>
          <w:b/>
          <w:bCs/>
          <w:kern w:val="2"/>
          <w:sz w:val="32"/>
          <w:szCs w:val="32"/>
          <w:lang w:val="en-US" w:eastAsia="zh-CN" w:bidi="ar-SA"/>
        </w:rPr>
        <w:t>（四）项目效益情况</w:t>
      </w:r>
      <w:bookmarkEnd w:id="14"/>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eastAsia"/>
          <w:highlight w:val="none"/>
          <w:lang w:val="en-US" w:eastAsia="zh-CN"/>
        </w:rPr>
      </w:pPr>
      <w:r>
        <w:rPr>
          <w:rFonts w:hint="eastAsia" w:ascii="仿宋_GB2312" w:hAnsi="仿宋_GB2312" w:eastAsia="仿宋_GB2312" w:cs="仿宋_GB2312"/>
          <w:sz w:val="32"/>
          <w:szCs w:val="32"/>
          <w:highlight w:val="none"/>
          <w:lang w:val="en-US" w:eastAsia="zh-CN"/>
        </w:rPr>
        <w:t>项目效益类指标包括项目实施效益和满意度两方面的内容，由</w:t>
      </w:r>
      <w:r>
        <w:rPr>
          <w:rFonts w:hint="eastAsia" w:ascii="仿宋_GB2312" w:hAnsi="仿宋_GB2312" w:cs="仿宋_GB2312"/>
          <w:sz w:val="32"/>
          <w:szCs w:val="32"/>
          <w:highlight w:val="none"/>
          <w:lang w:val="en-US" w:eastAsia="zh-CN"/>
        </w:rPr>
        <w:t>2</w:t>
      </w:r>
      <w:r>
        <w:rPr>
          <w:rFonts w:hint="eastAsia" w:ascii="仿宋_GB2312" w:hAnsi="仿宋_GB2312" w:eastAsia="仿宋_GB2312" w:cs="仿宋_GB2312"/>
          <w:sz w:val="32"/>
          <w:szCs w:val="32"/>
          <w:highlight w:val="none"/>
          <w:lang w:val="en-US" w:eastAsia="zh-CN"/>
        </w:rPr>
        <w:t>个三级指标构成，权重分为</w:t>
      </w:r>
      <w:r>
        <w:rPr>
          <w:rFonts w:hint="eastAsia" w:ascii="仿宋_GB2312" w:hAnsi="仿宋_GB2312" w:cs="仿宋_GB2312"/>
          <w:sz w:val="32"/>
          <w:szCs w:val="32"/>
          <w:highlight w:val="none"/>
          <w:lang w:val="en-US" w:eastAsia="zh-CN"/>
        </w:rPr>
        <w:t>20</w:t>
      </w:r>
      <w:r>
        <w:rPr>
          <w:rFonts w:hint="eastAsia" w:ascii="仿宋_GB2312" w:hAnsi="仿宋_GB2312" w:eastAsia="仿宋_GB2312" w:cs="仿宋_GB2312"/>
          <w:sz w:val="32"/>
          <w:szCs w:val="32"/>
          <w:highlight w:val="none"/>
          <w:lang w:val="en-US" w:eastAsia="zh-CN"/>
        </w:rPr>
        <w:t>分，实际得分</w:t>
      </w:r>
      <w:r>
        <w:rPr>
          <w:rFonts w:hint="eastAsia" w:ascii="仿宋_GB2312" w:hAnsi="仿宋_GB2312" w:cs="仿宋_GB2312"/>
          <w:sz w:val="32"/>
          <w:szCs w:val="32"/>
          <w:highlight w:val="none"/>
          <w:lang w:val="en-US" w:eastAsia="zh-CN"/>
        </w:rPr>
        <w:t>20</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%。具体效益指标及满意度指标完成情况如下：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1.实施效益</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①</w:t>
      </w:r>
      <w:r>
        <w:rPr>
          <w:rFonts w:hint="eastAsia" w:ascii="仿宋_GB2312" w:hAnsi="仿宋_GB2312" w:eastAsia="仿宋_GB2312" w:cs="仿宋_GB2312"/>
          <w:sz w:val="32"/>
          <w:szCs w:val="32"/>
          <w:highlight w:val="none"/>
        </w:rPr>
        <w:t>经济效益指标：</w:t>
      </w:r>
    </w:p>
    <w:p>
      <w:pPr>
        <w:shd w:val="clear"/>
        <w:spacing w:line="600" w:lineRule="exact"/>
        <w:ind w:firstLine="640" w:firstLineChars="200"/>
        <w:outlineLvl w:val="0"/>
        <w:rPr>
          <w:rFonts w:hint="eastAsia"/>
          <w:color w:val="auto"/>
          <w:sz w:val="32"/>
          <w:szCs w:val="32"/>
          <w:highlight w:val="none"/>
          <w:lang w:eastAsia="zh-CN"/>
        </w:rPr>
      </w:pPr>
      <w:r>
        <w:rPr>
          <w:rFonts w:hint="eastAsia"/>
          <w:color w:val="auto"/>
          <w:sz w:val="32"/>
          <w:szCs w:val="32"/>
          <w:highlight w:val="none"/>
        </w:rPr>
        <w:t>指标1：</w:t>
      </w:r>
      <w:r>
        <w:rPr>
          <w:rFonts w:hint="eastAsia"/>
          <w:color w:val="auto"/>
          <w:sz w:val="32"/>
          <w:szCs w:val="32"/>
          <w:highlight w:val="none"/>
          <w:lang w:eastAsia="zh-CN"/>
        </w:rPr>
        <w:t>优化土地配置</w:t>
      </w:r>
      <w:r>
        <w:rPr>
          <w:rFonts w:hint="eastAsia"/>
          <w:color w:val="auto"/>
          <w:sz w:val="32"/>
          <w:szCs w:val="32"/>
          <w:highlight w:val="none"/>
        </w:rPr>
        <w:t>，指标值：</w:t>
      </w:r>
      <w:r>
        <w:rPr>
          <w:rFonts w:hint="eastAsia"/>
          <w:color w:val="auto"/>
          <w:sz w:val="32"/>
          <w:szCs w:val="32"/>
          <w:highlight w:val="none"/>
          <w:lang w:val="en-US" w:eastAsia="zh-CN"/>
        </w:rPr>
        <w:t>不断优化</w:t>
      </w:r>
      <w:r>
        <w:rPr>
          <w:rFonts w:hint="eastAsia"/>
          <w:color w:val="auto"/>
          <w:sz w:val="32"/>
          <w:szCs w:val="32"/>
          <w:highlight w:val="none"/>
        </w:rPr>
        <w:t>，实际完成值</w:t>
      </w:r>
      <w:r>
        <w:rPr>
          <w:rFonts w:hint="eastAsia"/>
          <w:color w:val="auto"/>
          <w:sz w:val="32"/>
          <w:szCs w:val="32"/>
          <w:highlight w:val="none"/>
          <w:lang w:eastAsia="zh-CN"/>
        </w:rPr>
        <w:t>：</w:t>
      </w:r>
      <w:r>
        <w:rPr>
          <w:rFonts w:hint="eastAsia"/>
          <w:color w:val="auto"/>
          <w:sz w:val="32"/>
          <w:szCs w:val="32"/>
          <w:highlight w:val="none"/>
          <w:lang w:val="en-US" w:eastAsia="zh-CN"/>
        </w:rPr>
        <w:t>不断优化</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w:t>
      </w:r>
      <w:r>
        <w:rPr>
          <w:rFonts w:hint="eastAsia"/>
          <w:color w:val="auto"/>
          <w:sz w:val="32"/>
          <w:szCs w:val="32"/>
          <w:highlight w:val="none"/>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2.满意度</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①满意度指标</w:t>
      </w:r>
      <w:r>
        <w:rPr>
          <w:rFonts w:hint="eastAsia" w:ascii="仿宋_GB2312" w:hAnsi="仿宋_GB2312" w:cs="仿宋_GB2312"/>
          <w:sz w:val="32"/>
          <w:szCs w:val="32"/>
          <w:highlight w:val="none"/>
          <w:lang w:val="en-US" w:eastAsia="zh-CN"/>
        </w:rPr>
        <w:t>:</w:t>
      </w:r>
    </w:p>
    <w:p>
      <w:pPr>
        <w:shd w:val="clear"/>
        <w:spacing w:line="600" w:lineRule="exact"/>
        <w:ind w:firstLine="640" w:firstLineChars="200"/>
        <w:outlineLvl w:val="0"/>
        <w:rPr>
          <w:rFonts w:hint="default"/>
          <w:lang w:val="en-US" w:eastAsia="zh-CN"/>
        </w:rPr>
      </w:pPr>
      <w:r>
        <w:rPr>
          <w:rFonts w:hint="eastAsia"/>
          <w:color w:val="auto"/>
          <w:sz w:val="32"/>
          <w:szCs w:val="32"/>
        </w:rPr>
        <w:t>指标1：</w:t>
      </w:r>
      <w:r>
        <w:rPr>
          <w:rFonts w:hint="eastAsia"/>
          <w:color w:val="auto"/>
          <w:sz w:val="32"/>
          <w:szCs w:val="32"/>
          <w:lang w:eastAsia="zh-CN"/>
        </w:rPr>
        <w:t>被征收对象满意度</w:t>
      </w:r>
      <w:r>
        <w:rPr>
          <w:rFonts w:hint="eastAsia"/>
          <w:color w:val="auto"/>
          <w:sz w:val="32"/>
          <w:szCs w:val="32"/>
        </w:rPr>
        <w:t>，指标值：</w:t>
      </w:r>
      <w:r>
        <w:rPr>
          <w:rFonts w:hint="eastAsia"/>
          <w:color w:val="auto"/>
          <w:sz w:val="32"/>
          <w:szCs w:val="32"/>
          <w:lang w:val="en-US" w:eastAsia="zh-CN"/>
        </w:rPr>
        <w:t>=</w:t>
      </w:r>
      <w:r>
        <w:rPr>
          <w:rFonts w:hint="eastAsia"/>
          <w:color w:val="auto"/>
          <w:sz w:val="32"/>
          <w:szCs w:val="32"/>
          <w:highlight w:val="none"/>
          <w:lang w:val="en-US" w:eastAsia="zh-CN"/>
        </w:rPr>
        <w:t>100</w:t>
      </w:r>
      <w:r>
        <w:rPr>
          <w:rFonts w:hint="eastAsia"/>
          <w:color w:val="auto"/>
          <w:sz w:val="32"/>
          <w:szCs w:val="32"/>
          <w:highlight w:val="none"/>
        </w:rPr>
        <w:t>%</w:t>
      </w:r>
      <w:r>
        <w:rPr>
          <w:rFonts w:hint="eastAsia"/>
          <w:color w:val="auto"/>
          <w:sz w:val="32"/>
          <w:szCs w:val="32"/>
        </w:rPr>
        <w:t>，实际完成值</w:t>
      </w:r>
      <w:r>
        <w:rPr>
          <w:rFonts w:hint="eastAsia"/>
          <w:color w:val="auto"/>
          <w:sz w:val="32"/>
          <w:szCs w:val="32"/>
          <w:lang w:eastAsia="zh-CN"/>
        </w:rPr>
        <w:t>：</w:t>
      </w:r>
      <w:r>
        <w:rPr>
          <w:rFonts w:hint="eastAsia"/>
          <w:color w:val="auto"/>
          <w:sz w:val="32"/>
          <w:szCs w:val="32"/>
          <w:highlight w:val="none"/>
          <w:lang w:val="en-US" w:eastAsia="zh-CN"/>
        </w:rPr>
        <w:t>100</w:t>
      </w:r>
      <w:r>
        <w:rPr>
          <w:rFonts w:hint="eastAsia"/>
          <w:color w:val="auto"/>
          <w:sz w:val="32"/>
          <w:szCs w:val="32"/>
          <w:highlight w:val="none"/>
        </w:rPr>
        <w:t>%</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pacing w:line="560" w:lineRule="exact"/>
        <w:rPr>
          <w:rFonts w:hint="eastAsia" w:ascii="Times New Roman" w:hAnsi="Times New Roman" w:eastAsia="黑体" w:cs="Times New Roman"/>
          <w:sz w:val="32"/>
          <w:szCs w:val="32"/>
          <w:lang w:eastAsia="zh-Hans"/>
        </w:rPr>
      </w:pPr>
      <w:r>
        <w:rPr>
          <w:rFonts w:hint="eastAsia" w:ascii="Times New Roman" w:hAnsi="Times New Roman" w:eastAsia="黑体" w:cs="Times New Roman"/>
          <w:sz w:val="32"/>
          <w:szCs w:val="32"/>
          <w:lang w:eastAsia="zh-Hans"/>
        </w:rPr>
        <w:t>五、预算执行进度与绩效指标总体完成率偏差</w:t>
      </w:r>
    </w:p>
    <w:p>
      <w:pPr>
        <w:pStyle w:val="20"/>
        <w:spacing w:line="560" w:lineRule="exact"/>
        <w:ind w:firstLine="640"/>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综保区土地补偿项目年初预算</w:t>
      </w:r>
      <w:r>
        <w:rPr>
          <w:rFonts w:hint="eastAsia" w:ascii="仿宋_GB2312" w:hAnsi="仿宋_GB2312" w:cs="仿宋_GB2312"/>
          <w:color w:val="000000" w:themeColor="text1"/>
          <w:kern w:val="2"/>
          <w:sz w:val="32"/>
          <w:szCs w:val="32"/>
          <w:lang w:val="en-US" w:eastAsia="zh-CN" w:bidi="ar-SA"/>
          <w14:textFill>
            <w14:solidFill>
              <w14:schemeClr w14:val="tx1"/>
            </w14:solidFill>
          </w14:textFill>
        </w:rPr>
        <w:t>456</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万元，全年预算</w:t>
      </w:r>
      <w:r>
        <w:rPr>
          <w:rFonts w:hint="eastAsia" w:ascii="仿宋_GB2312" w:hAnsi="仿宋_GB2312" w:cs="仿宋_GB2312"/>
          <w:color w:val="000000" w:themeColor="text1"/>
          <w:kern w:val="2"/>
          <w:sz w:val="32"/>
          <w:szCs w:val="32"/>
          <w:lang w:val="en-US" w:eastAsia="zh-CN" w:bidi="ar-SA"/>
          <w14:textFill>
            <w14:solidFill>
              <w14:schemeClr w14:val="tx1"/>
            </w14:solidFill>
          </w14:textFill>
        </w:rPr>
        <w:t>456</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万元，实际支出</w:t>
      </w:r>
      <w:r>
        <w:rPr>
          <w:rFonts w:hint="eastAsia" w:ascii="仿宋_GB2312" w:hAnsi="仿宋_GB2312" w:cs="仿宋_GB2312"/>
          <w:color w:val="000000" w:themeColor="text1"/>
          <w:kern w:val="2"/>
          <w:sz w:val="32"/>
          <w:szCs w:val="32"/>
          <w:lang w:val="en-US" w:eastAsia="zh-CN" w:bidi="ar-SA"/>
          <w14:textFill>
            <w14:solidFill>
              <w14:schemeClr w14:val="tx1"/>
            </w14:solidFill>
          </w14:textFill>
        </w:rPr>
        <w:t>456</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元，预算执行率为</w:t>
      </w:r>
      <w:r>
        <w:rPr>
          <w:rFonts w:hint="eastAsia" w:ascii="仿宋_GB2312" w:hAnsi="仿宋_GB2312" w:cs="仿宋_GB2312"/>
          <w:color w:val="000000" w:themeColor="text1"/>
          <w:kern w:val="2"/>
          <w:sz w:val="32"/>
          <w:szCs w:val="32"/>
          <w:lang w:val="en-US" w:eastAsia="zh-CN" w:bidi="ar-SA"/>
          <w14:textFill>
            <w14:solidFill>
              <w14:schemeClr w14:val="tx1"/>
            </w14:solidFill>
          </w14:textFill>
        </w:rPr>
        <w:t>100</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%，项目绩效指标总体完成率为</w:t>
      </w:r>
      <w:r>
        <w:rPr>
          <w:rFonts w:hint="eastAsia" w:ascii="仿宋_GB2312" w:hAnsi="仿宋_GB2312" w:cs="仿宋_GB2312"/>
          <w:color w:val="000000" w:themeColor="text1"/>
          <w:kern w:val="2"/>
          <w:sz w:val="32"/>
          <w:szCs w:val="32"/>
          <w:lang w:val="en-US" w:eastAsia="zh-CN" w:bidi="ar-SA"/>
          <w14:textFill>
            <w14:solidFill>
              <w14:schemeClr w14:val="tx1"/>
            </w14:solidFill>
          </w14:textFill>
        </w:rPr>
        <w:t>100</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w:t>
      </w:r>
      <w:r>
        <w:rPr>
          <w:rFonts w:hint="eastAsia" w:eastAsia="仿宋_GB2312"/>
          <w:kern w:val="2"/>
          <w:sz w:val="32"/>
          <w:szCs w:val="32"/>
        </w:rPr>
        <w:t>，</w:t>
      </w:r>
      <w:r>
        <w:rPr>
          <w:rFonts w:hint="eastAsia" w:eastAsia="仿宋_GB2312"/>
          <w:kern w:val="2"/>
          <w:sz w:val="32"/>
          <w:szCs w:val="32"/>
          <w:lang w:eastAsia="zh-Hans"/>
        </w:rPr>
        <w:t>总体</w:t>
      </w:r>
      <w:r>
        <w:rPr>
          <w:rFonts w:hint="eastAsia" w:eastAsia="仿宋_GB2312"/>
          <w:kern w:val="2"/>
          <w:sz w:val="32"/>
          <w:szCs w:val="32"/>
        </w:rPr>
        <w:t>偏差率为</w:t>
      </w:r>
      <w:r>
        <w:rPr>
          <w:rFonts w:hint="eastAsia"/>
          <w:kern w:val="2"/>
          <w:sz w:val="32"/>
          <w:szCs w:val="32"/>
          <w:lang w:val="en-US" w:eastAsia="zh-CN"/>
        </w:rPr>
        <w:t>0</w:t>
      </w:r>
      <w:r>
        <w:rPr>
          <w:rFonts w:hint="eastAsia" w:eastAsia="仿宋_GB2312"/>
          <w:kern w:val="2"/>
          <w:sz w:val="32"/>
          <w:szCs w:val="32"/>
        </w:rPr>
        <w:t>%,</w:t>
      </w:r>
      <w:r>
        <w:rPr>
          <w:rFonts w:hint="eastAsia" w:eastAsia="仿宋_GB2312"/>
          <w:kern w:val="2"/>
          <w:sz w:val="32"/>
          <w:szCs w:val="32"/>
          <w:lang w:eastAsia="zh-Hans"/>
        </w:rPr>
        <w:t>偏差</w:t>
      </w:r>
      <w:r>
        <w:rPr>
          <w:rFonts w:hint="eastAsia" w:eastAsia="仿宋_GB2312"/>
          <w:kern w:val="2"/>
          <w:sz w:val="32"/>
          <w:szCs w:val="32"/>
        </w:rPr>
        <w:t>原因</w:t>
      </w:r>
      <w:r>
        <w:rPr>
          <w:rFonts w:hint="eastAsia"/>
          <w:kern w:val="2"/>
          <w:sz w:val="32"/>
          <w:szCs w:val="32"/>
          <w:lang w:val="en-US" w:eastAsia="zh-CN"/>
        </w:rPr>
        <w:t>无</w:t>
      </w:r>
      <w:r>
        <w:rPr>
          <w:rFonts w:hint="eastAsia" w:eastAsia="仿宋_GB2312"/>
          <w:kern w:val="2"/>
          <w:sz w:val="32"/>
          <w:szCs w:val="32"/>
        </w:rPr>
        <w:t>，</w:t>
      </w:r>
      <w:r>
        <w:rPr>
          <w:rFonts w:hint="eastAsia" w:eastAsia="仿宋_GB2312"/>
          <w:kern w:val="2"/>
          <w:sz w:val="32"/>
          <w:szCs w:val="32"/>
          <w:lang w:eastAsia="zh-Hans"/>
        </w:rPr>
        <w:t>改进</w:t>
      </w:r>
      <w:r>
        <w:rPr>
          <w:rFonts w:hint="eastAsia" w:eastAsia="仿宋_GB2312"/>
          <w:kern w:val="2"/>
          <w:sz w:val="32"/>
          <w:szCs w:val="32"/>
        </w:rPr>
        <w:t>措施</w:t>
      </w:r>
      <w:r>
        <w:rPr>
          <w:rFonts w:hint="eastAsia"/>
          <w:kern w:val="2"/>
          <w:sz w:val="32"/>
          <w:szCs w:val="32"/>
          <w:lang w:val="en-US" w:eastAsia="zh-CN"/>
        </w:rPr>
        <w:t>无</w:t>
      </w:r>
      <w:r>
        <w:rPr>
          <w:rFonts w:hint="eastAsia" w:eastAsia="仿宋_GB2312"/>
          <w:kern w:val="2"/>
          <w:sz w:val="32"/>
          <w:szCs w:val="32"/>
        </w:rPr>
        <w:t>。</w:t>
      </w:r>
    </w:p>
    <w:p>
      <w:pPr>
        <w:spacing w:line="560" w:lineRule="exact"/>
        <w:rPr>
          <w:rFonts w:hint="eastAsia" w:ascii="Times New Roman" w:hAnsi="Times New Roman" w:eastAsia="黑体" w:cs="Times New Roman"/>
          <w:bCs/>
          <w:sz w:val="32"/>
          <w:szCs w:val="32"/>
          <w:lang w:val="en-US" w:eastAsia="zh-CN"/>
        </w:rPr>
      </w:pPr>
      <w:bookmarkStart w:id="15" w:name="_Toc68703842"/>
      <w:r>
        <w:rPr>
          <w:rFonts w:hint="eastAsia" w:eastAsia="黑体" w:cs="Times New Roman"/>
          <w:bCs/>
          <w:sz w:val="32"/>
          <w:szCs w:val="32"/>
          <w:lang w:val="en-US" w:eastAsia="zh-CN"/>
        </w:rPr>
        <w:t>六</w:t>
      </w:r>
      <w:r>
        <w:rPr>
          <w:rFonts w:hint="eastAsia" w:ascii="Times New Roman" w:hAnsi="Times New Roman" w:eastAsia="黑体" w:cs="Times New Roman"/>
          <w:bCs/>
          <w:sz w:val="32"/>
          <w:szCs w:val="32"/>
          <w:lang w:val="en-US" w:eastAsia="zh-CN"/>
        </w:rPr>
        <w:t>、主要经验及做法、存在的问题及原因分析</w:t>
      </w:r>
      <w:bookmarkEnd w:id="15"/>
    </w:p>
    <w:p>
      <w:pPr>
        <w:spacing w:line="560" w:lineRule="exact"/>
        <w:rPr>
          <w:rFonts w:hint="eastAsia" w:ascii="Times New Roman" w:hAnsi="Times New Roman" w:eastAsia="楷体_GB2312" w:cs="Times New Roman"/>
          <w:b/>
          <w:bCs/>
          <w:kern w:val="2"/>
          <w:sz w:val="32"/>
          <w:szCs w:val="32"/>
          <w:lang w:val="en-US" w:eastAsia="zh-CN" w:bidi="ar-SA"/>
        </w:rPr>
      </w:pPr>
      <w:bookmarkStart w:id="16" w:name="_Toc68703843"/>
      <w:r>
        <w:rPr>
          <w:rFonts w:hint="eastAsia" w:ascii="Times New Roman" w:hAnsi="Times New Roman" w:eastAsia="楷体_GB2312" w:cs="Times New Roman"/>
          <w:b/>
          <w:bCs/>
          <w:kern w:val="2"/>
          <w:sz w:val="32"/>
          <w:szCs w:val="32"/>
          <w:lang w:val="en-US" w:eastAsia="zh-CN" w:bidi="ar-SA"/>
        </w:rPr>
        <w:t>（一）主要经验及做法</w:t>
      </w:r>
      <w:bookmarkEnd w:id="16"/>
    </w:p>
    <w:p>
      <w:pPr>
        <w:spacing w:line="560" w:lineRule="exact"/>
        <w:ind w:firstLine="640" w:firstLineChars="200"/>
        <w:rPr>
          <w:rFonts w:eastAsia="仿宋_GB2312"/>
          <w:sz w:val="32"/>
          <w:szCs w:val="32"/>
        </w:rPr>
      </w:pPr>
      <w:r>
        <w:rPr>
          <w:rFonts w:hint="eastAsia" w:eastAsia="仿宋_GB2312"/>
          <w:sz w:val="32"/>
          <w:szCs w:val="32"/>
        </w:rPr>
        <w:t>霍尔果斯位于中国西部边陲，是中国对中亚开放的重要窗口，也是“一带一路”倡议下的关键节点，对于促进中国与中亚地区的贸易往来和文化交流起到了至关重要的作用。霍尔果斯国际产能合作园区建设项目依托霍尔果斯综合保税区，建立新型国际产能合作园区，推动霍尔果斯经济的高质量发展，为霍尔果斯当地的经济发展提供了有力支撑。</w:t>
      </w: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spacing w:before="0" w:after="0" w:line="560" w:lineRule="exact"/>
        <w:ind w:firstLine="640" w:firstLineChars="200"/>
        <w:jc w:val="left"/>
      </w:pPr>
      <w:r>
        <w:rPr>
          <w:rFonts w:ascii="Times New Roman" w:hAnsi="Times New Roman" w:eastAsia="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Times New Roman"/>
          <w:b/>
          <w:bCs/>
          <w:kern w:val="2"/>
          <w:sz w:val="32"/>
          <w:szCs w:val="32"/>
          <w:lang w:val="en-US" w:eastAsia="zh-CN" w:bidi="ar-SA"/>
        </w:rPr>
      </w:pPr>
      <w:bookmarkStart w:id="17" w:name="_Toc68703844"/>
      <w:r>
        <w:rPr>
          <w:rFonts w:hint="eastAsia" w:ascii="Times New Roman" w:hAnsi="Times New Roman" w:eastAsia="楷体_GB2312" w:cs="Times New Roman"/>
          <w:b/>
          <w:bCs/>
          <w:kern w:val="2"/>
          <w:sz w:val="32"/>
          <w:szCs w:val="32"/>
          <w:lang w:val="en-US" w:eastAsia="zh-CN" w:bidi="ar-SA"/>
        </w:rPr>
        <w:t>（二）存在的问题及原因分析</w:t>
      </w:r>
      <w:bookmarkEnd w:id="17"/>
      <w:r>
        <w:rPr>
          <w:rFonts w:hint="eastAsia" w:ascii="Times New Roman" w:hAnsi="Times New Roman" w:eastAsia="楷体_GB2312" w:cs="Times New Roman"/>
          <w:b/>
          <w:bCs/>
          <w:kern w:val="2"/>
          <w:sz w:val="32"/>
          <w:szCs w:val="32"/>
          <w:lang w:val="en-US" w:eastAsia="zh-CN" w:bidi="ar-SA"/>
        </w:rPr>
        <w:t>　</w:t>
      </w:r>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对绩效目标申报还不够重视，绩效目标设置量化程度进一步提高，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2、工作人员绩效观念模糊，绩效评价工作有待进一步提高。</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3、财政支出绩效管理工作还有待一步提高。</w:t>
      </w:r>
    </w:p>
    <w:p>
      <w:pPr>
        <w:pageBreakBefore w:val="0"/>
        <w:widowControl w:val="0"/>
        <w:numPr>
          <w:ilvl w:val="0"/>
          <w:numId w:val="0"/>
        </w:numPr>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Times New Roman"/>
          <w:b w:val="0"/>
          <w:bCs w:val="0"/>
          <w:color w:val="FF0000"/>
          <w:kern w:val="2"/>
          <w:sz w:val="32"/>
          <w:szCs w:val="32"/>
          <w:lang w:val="en-US" w:eastAsia="zh-CN" w:bidi="ar-SA"/>
        </w:rPr>
      </w:pPr>
      <w:bookmarkStart w:id="18" w:name="_Toc68703845"/>
      <w:r>
        <w:rPr>
          <w:rFonts w:hint="eastAsia" w:eastAsia="黑体" w:cs="Times New Roman"/>
          <w:b w:val="0"/>
          <w:bCs/>
          <w:kern w:val="2"/>
          <w:sz w:val="32"/>
          <w:szCs w:val="32"/>
          <w:lang w:val="en-US" w:eastAsia="zh-CN" w:bidi="ar-SA"/>
        </w:rPr>
        <w:t>七</w:t>
      </w:r>
      <w:r>
        <w:rPr>
          <w:rFonts w:hint="eastAsia" w:ascii="Times New Roman" w:hAnsi="Times New Roman" w:eastAsia="黑体" w:cs="Times New Roman"/>
          <w:b w:val="0"/>
          <w:bCs/>
          <w:kern w:val="2"/>
          <w:sz w:val="32"/>
          <w:szCs w:val="32"/>
          <w:lang w:val="en-US" w:eastAsia="zh-CN" w:bidi="ar-SA"/>
        </w:rPr>
        <w:t>、有关建议</w:t>
      </w:r>
      <w:bookmarkEnd w:id="18"/>
      <w:r>
        <w:rPr>
          <w:rFonts w:hint="eastAsia" w:ascii="Times New Roman" w:hAnsi="Times New Roman" w:eastAsia="黑体" w:cs="Times New Roman"/>
          <w:b w:val="0"/>
          <w:bCs/>
          <w:kern w:val="2"/>
          <w:sz w:val="32"/>
          <w:szCs w:val="32"/>
          <w:lang w:val="en-US" w:eastAsia="zh-CN" w:bidi="ar-SA"/>
        </w:rPr>
        <w:t>　</w:t>
      </w:r>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1.日常增强成本控制意识，做好绩效目标设置工作。</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2.加强工程项目的督促检查，严格规范资金的使用管理。并制定明确的计划，使整个项目在执行过程中安排条理清晰，明确方向，同时强化项目资金的管理工作。</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left"/>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 xml:space="preserve">3.科学合理编制预算，要做好编制前的调查研究和分析工作，进一步提高预算的准确性和科学性，减少预算编制的随意性。         </w:t>
      </w:r>
      <w:r>
        <w:rPr>
          <w:rFonts w:hint="eastAsia" w:ascii="仿宋_GB2312" w:hAnsi="仿宋_GB2312" w:cs="仿宋_GB2312"/>
          <w:sz w:val="32"/>
          <w:szCs w:val="32"/>
          <w:highlight w:val="none"/>
          <w:lang w:val="en-US" w:eastAsia="zh-CN"/>
        </w:rPr>
        <w:t xml:space="preserve">                   </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cs="仿宋_GB2312"/>
          <w:sz w:val="32"/>
          <w:szCs w:val="32"/>
          <w:highlight w:val="none"/>
          <w:lang w:val="en-US" w:eastAsia="zh-CN"/>
        </w:rPr>
        <w:t>4</w:t>
      </w:r>
      <w:r>
        <w:rPr>
          <w:rFonts w:hint="eastAsia" w:ascii="仿宋_GB2312" w:hAnsi="仿宋_GB2312" w:eastAsia="仿宋_GB2312" w:cs="仿宋_GB2312"/>
          <w:sz w:val="32"/>
          <w:szCs w:val="32"/>
          <w:highlight w:val="none"/>
          <w:lang w:val="en-US" w:eastAsia="zh-CN"/>
        </w:rPr>
        <w:t>.加快资金的合理安排，避免资金用途被随意改变。专门设定对绩效工作人员定职、定岗、定责等相关制度措施，进一步提升我单位绩效管理工作业务水平，扎实做好绩效管理工作。</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bookmarkStart w:id="19" w:name="_Toc68703846"/>
      <w:r>
        <w:rPr>
          <w:rFonts w:hint="eastAsia" w:ascii="仿宋_GB2312" w:hAnsi="仿宋_GB2312" w:cs="仿宋_GB2312"/>
          <w:sz w:val="32"/>
          <w:szCs w:val="32"/>
          <w:highlight w:val="none"/>
          <w:lang w:val="en-US" w:eastAsia="zh-CN"/>
        </w:rPr>
        <w:t>5</w:t>
      </w:r>
      <w:r>
        <w:rPr>
          <w:rFonts w:hint="eastAsia" w:ascii="仿宋_GB2312" w:hAnsi="仿宋_GB2312" w:eastAsia="仿宋_GB2312" w:cs="仿宋_GB2312"/>
          <w:sz w:val="32"/>
          <w:szCs w:val="32"/>
          <w:highlight w:val="none"/>
          <w:lang w:val="en-US" w:eastAsia="zh-CN"/>
        </w:rPr>
        <w:t>.加强资金使用部门对预算绩效评价工作的认识和重视程度，做好项目实施管理与资金使用的匹配，根据项目实施计划，制定出科学合理的资金计划，不断提高资金使用效率，做到专款专用。</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cs="仿宋_GB2312"/>
          <w:sz w:val="32"/>
          <w:szCs w:val="32"/>
          <w:highlight w:val="none"/>
          <w:lang w:val="en-US" w:eastAsia="zh-CN"/>
        </w:rPr>
        <w:t>6</w:t>
      </w:r>
      <w:r>
        <w:rPr>
          <w:rFonts w:hint="eastAsia" w:ascii="仿宋_GB2312" w:hAnsi="仿宋_GB2312" w:eastAsia="仿宋_GB2312" w:cs="仿宋_GB2312"/>
          <w:sz w:val="32"/>
          <w:szCs w:val="32"/>
          <w:highlight w:val="none"/>
          <w:lang w:val="en-US" w:eastAsia="zh-CN"/>
        </w:rPr>
        <w:t>.加强资金使用部门对绩效评价工作的认识和重视程度，并将评价结果运用于工作始终。明确财务人员的职责，全面参与项目资金使用的决策与控制，保证资金使用的高效率。同时做好项目实施管理与资金使用的匹配，根据项目实施计划，制定出科学合理的资金计划，不断提高资金使用效率。</w:t>
      </w:r>
    </w:p>
    <w:bookmarkEnd w:id="19"/>
    <w:p>
      <w:pPr>
        <w:pStyle w:val="3"/>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sz w:val="32"/>
          <w:szCs w:val="32"/>
        </w:rPr>
      </w:pPr>
      <w:r>
        <w:rPr>
          <w:rFonts w:hint="eastAsia" w:ascii="宋体" w:hAnsi="宋体" w:eastAsia="宋体"/>
          <w:sz w:val="32"/>
          <w:szCs w:val="32"/>
          <w:lang w:eastAsia="zh-CN"/>
        </w:rPr>
        <w:t>八</w:t>
      </w:r>
      <w:r>
        <w:rPr>
          <w:rFonts w:hint="eastAsia" w:ascii="宋体" w:hAnsi="宋体" w:eastAsia="宋体"/>
          <w:sz w:val="32"/>
          <w:szCs w:val="32"/>
        </w:rPr>
        <w:t>、其他需要说明的问题</w:t>
      </w:r>
    </w:p>
    <w:p>
      <w:pPr>
        <w:pStyle w:val="3"/>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kern w:val="2"/>
          <w:sz w:val="32"/>
          <w:szCs w:val="32"/>
          <w:lang w:val="en-US" w:eastAsia="zh-Hans" w:bidi="ar-SA"/>
        </w:rPr>
      </w:pPr>
      <w:r>
        <w:rPr>
          <w:rFonts w:hint="eastAsia" w:ascii="仿宋_GB2312" w:hAnsi="仿宋_GB2312" w:eastAsia="仿宋_GB2312" w:cs="仿宋_GB2312"/>
          <w:b w:val="0"/>
          <w:bCs w:val="0"/>
          <w:kern w:val="2"/>
          <w:sz w:val="32"/>
          <w:szCs w:val="32"/>
          <w:lang w:val="en-US" w:eastAsia="zh-Hans" w:bidi="ar-SA"/>
        </w:rPr>
        <w:t>本项目无其他需说明的问题</w:t>
      </w:r>
      <w:r>
        <w:rPr>
          <w:rFonts w:hint="eastAsia" w:ascii="仿宋_GB2312" w:hAnsi="仿宋_GB2312" w:eastAsia="仿宋_GB2312" w:cs="仿宋_GB2312"/>
          <w:b w:val="0"/>
          <w:bCs w:val="0"/>
          <w:kern w:val="2"/>
          <w:sz w:val="32"/>
          <w:szCs w:val="32"/>
          <w:lang w:val="en-US" w:eastAsia="zh-CN" w:bidi="ar-SA"/>
        </w:rPr>
        <w:t>。</w:t>
      </w:r>
    </w:p>
    <w:p/>
    <w:p>
      <w:pPr>
        <w:pStyle w:val="2"/>
      </w:pPr>
    </w:p>
    <w:p/>
    <w:p/>
    <w:p>
      <w:pPr>
        <w:pStyle w:val="2"/>
        <w:jc w:val="both"/>
      </w:pPr>
    </w:p>
    <w:p/>
    <w:p>
      <w:pPr>
        <w:pStyle w:val="2"/>
      </w:pPr>
    </w:p>
    <w:p/>
    <w:p>
      <w:pPr>
        <w:pStyle w:val="2"/>
      </w:pPr>
    </w:p>
    <w:p/>
    <w:p>
      <w:pPr>
        <w:pStyle w:val="2"/>
      </w:pPr>
    </w:p>
    <w:tbl>
      <w:tblPr>
        <w:tblStyle w:val="11"/>
        <w:tblW w:w="8834" w:type="dxa"/>
        <w:tblInd w:w="0" w:type="dxa"/>
        <w:tblLayout w:type="fixed"/>
        <w:tblCellMar>
          <w:top w:w="0" w:type="dxa"/>
          <w:left w:w="0" w:type="dxa"/>
          <w:bottom w:w="0" w:type="dxa"/>
          <w:right w:w="0" w:type="dxa"/>
        </w:tblCellMar>
      </w:tblPr>
      <w:tblGrid>
        <w:gridCol w:w="695"/>
        <w:gridCol w:w="531"/>
        <w:gridCol w:w="859"/>
        <w:gridCol w:w="695"/>
        <w:gridCol w:w="646"/>
        <w:gridCol w:w="405"/>
        <w:gridCol w:w="1197"/>
        <w:gridCol w:w="956"/>
        <w:gridCol w:w="233"/>
        <w:gridCol w:w="501"/>
        <w:gridCol w:w="570"/>
        <w:gridCol w:w="396"/>
        <w:gridCol w:w="454"/>
        <w:gridCol w:w="696"/>
      </w:tblGrid>
      <w:tr>
        <w:tblPrEx>
          <w:tblLayout w:type="fixed"/>
          <w:tblCellMar>
            <w:top w:w="0" w:type="dxa"/>
            <w:left w:w="0" w:type="dxa"/>
            <w:bottom w:w="0" w:type="dxa"/>
            <w:right w:w="0" w:type="dxa"/>
          </w:tblCellMar>
        </w:tblPrEx>
        <w:trPr>
          <w:trHeight w:val="420" w:hRule="atLeast"/>
        </w:trPr>
        <w:tc>
          <w:tcPr>
            <w:tcW w:w="8834" w:type="dxa"/>
            <w:gridSpan w:val="14"/>
            <w:tcBorders>
              <w:top w:val="nil"/>
              <w:left w:val="nil"/>
              <w:bottom w:val="single" w:color="auto" w:sz="4" w:space="0"/>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eastAsia="方正小标宋简体"/>
                <w:b/>
                <w:sz w:val="32"/>
                <w:szCs w:val="32"/>
                <w:u w:val="single"/>
              </w:rPr>
            </w:pPr>
            <w:r>
              <w:rPr>
                <w:rFonts w:hint="eastAsia" w:ascii="宋体" w:hAnsi="宋体" w:eastAsia="宋体" w:cs="宋体"/>
                <w:b/>
                <w:i w:val="0"/>
                <w:color w:val="000000"/>
                <w:kern w:val="0"/>
                <w:sz w:val="32"/>
                <w:szCs w:val="32"/>
                <w:highlight w:val="none"/>
                <w:u w:val="none"/>
                <w:lang w:val="en-US" w:eastAsia="zh-CN" w:bidi="ar"/>
              </w:rPr>
              <w:t>项目支出绩效自评表</w:t>
            </w:r>
          </w:p>
        </w:tc>
      </w:tr>
      <w:tr>
        <w:tblPrEx>
          <w:tblLayout w:type="fixed"/>
          <w:tblCellMar>
            <w:top w:w="0" w:type="dxa"/>
            <w:left w:w="0" w:type="dxa"/>
            <w:bottom w:w="0" w:type="dxa"/>
            <w:right w:w="0" w:type="dxa"/>
          </w:tblCellMar>
        </w:tblPrEx>
        <w:trPr>
          <w:trHeight w:val="288" w:hRule="atLeast"/>
        </w:trPr>
        <w:tc>
          <w:tcPr>
            <w:tcW w:w="8834" w:type="dxa"/>
            <w:gridSpan w:val="14"/>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(2023年度)</w:t>
            </w:r>
          </w:p>
        </w:tc>
      </w:tr>
      <w:tr>
        <w:tblPrEx>
          <w:tblLayout w:type="fixed"/>
          <w:tblCellMar>
            <w:top w:w="0" w:type="dxa"/>
            <w:left w:w="0" w:type="dxa"/>
            <w:bottom w:w="0" w:type="dxa"/>
            <w:right w:w="0" w:type="dxa"/>
          </w:tblCellMar>
        </w:tblPrEx>
        <w:trPr>
          <w:trHeight w:val="276" w:hRule="atLeast"/>
        </w:trPr>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项目名称</w:t>
            </w:r>
          </w:p>
        </w:tc>
        <w:tc>
          <w:tcPr>
            <w:tcW w:w="7608" w:type="dxa"/>
            <w:gridSpan w:val="1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综保区土地补偿项目</w:t>
            </w:r>
          </w:p>
        </w:tc>
      </w:tr>
      <w:tr>
        <w:tblPrEx>
          <w:tblLayout w:type="fixed"/>
          <w:tblCellMar>
            <w:top w:w="0" w:type="dxa"/>
            <w:left w:w="0" w:type="dxa"/>
            <w:bottom w:w="0" w:type="dxa"/>
            <w:right w:w="0" w:type="dxa"/>
          </w:tblCellMar>
        </w:tblPrEx>
        <w:trPr>
          <w:trHeight w:val="276" w:hRule="atLeast"/>
        </w:trPr>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主管部门</w:t>
            </w:r>
          </w:p>
        </w:tc>
        <w:tc>
          <w:tcPr>
            <w:tcW w:w="3802"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18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实施单位</w:t>
            </w:r>
          </w:p>
        </w:tc>
        <w:tc>
          <w:tcPr>
            <w:tcW w:w="2617"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eastAsia="zh-CN" w:bidi="ar"/>
              </w:rPr>
            </w:pPr>
            <w:r>
              <w:rPr>
                <w:rFonts w:hint="eastAsia" w:eastAsia="宋体" w:cs="Times New Roman"/>
                <w:kern w:val="0"/>
                <w:sz w:val="18"/>
                <w:szCs w:val="18"/>
                <w:lang w:eastAsia="zh-CN" w:bidi="ar"/>
              </w:rPr>
              <w:t>霍尔果斯综合保税区</w:t>
            </w:r>
          </w:p>
        </w:tc>
      </w:tr>
      <w:tr>
        <w:tblPrEx>
          <w:tblLayout w:type="fixed"/>
          <w:tblCellMar>
            <w:top w:w="0" w:type="dxa"/>
            <w:left w:w="0" w:type="dxa"/>
            <w:bottom w:w="0" w:type="dxa"/>
            <w:right w:w="0" w:type="dxa"/>
          </w:tblCellMar>
        </w:tblPrEx>
        <w:trPr>
          <w:trHeight w:val="276" w:hRule="atLeast"/>
        </w:trPr>
        <w:tc>
          <w:tcPr>
            <w:tcW w:w="122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项目资金</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（万元）</w:t>
            </w:r>
          </w:p>
        </w:tc>
        <w:tc>
          <w:tcPr>
            <w:tcW w:w="155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val="en-US" w:eastAsia="zh-CN" w:bidi="ar"/>
              </w:rPr>
            </w:pPr>
            <w:r>
              <w:rPr>
                <w:rFonts w:hint="eastAsia" w:eastAsia="宋体" w:cs="Times New Roman"/>
                <w:kern w:val="0"/>
                <w:sz w:val="18"/>
                <w:szCs w:val="18"/>
                <w:lang w:val="en-US" w:eastAsia="zh-CN" w:bidi="ar"/>
              </w:rPr>
              <w:t>456</w:t>
            </w: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年初预算数</w:t>
            </w:r>
          </w:p>
        </w:tc>
        <w:tc>
          <w:tcPr>
            <w:tcW w:w="160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全年预算数</w:t>
            </w:r>
          </w:p>
        </w:tc>
        <w:tc>
          <w:tcPr>
            <w:tcW w:w="118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全年执行数</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分值</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执行率</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得分</w:t>
            </w:r>
          </w:p>
        </w:tc>
      </w:tr>
      <w:tr>
        <w:tblPrEx>
          <w:tblLayout w:type="fixed"/>
          <w:tblCellMar>
            <w:top w:w="0" w:type="dxa"/>
            <w:left w:w="0" w:type="dxa"/>
            <w:bottom w:w="0" w:type="dxa"/>
            <w:right w:w="0" w:type="dxa"/>
          </w:tblCellMar>
        </w:tblPrEx>
        <w:trPr>
          <w:trHeight w:val="623" w:hRule="atLeast"/>
        </w:trPr>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55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年度资金总额</w:t>
            </w: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val="en-US" w:bidi="ar"/>
              </w:rPr>
            </w:pPr>
            <w:r>
              <w:rPr>
                <w:rFonts w:hint="eastAsia" w:ascii="宋体" w:hAnsi="宋体" w:eastAsia="宋体" w:cs="宋体"/>
                <w:i w:val="0"/>
                <w:color w:val="000000"/>
                <w:kern w:val="0"/>
                <w:sz w:val="20"/>
                <w:szCs w:val="20"/>
                <w:u w:val="none"/>
                <w:lang w:val="en-US" w:eastAsia="zh-CN" w:bidi="ar"/>
              </w:rPr>
              <w:t>456</w:t>
            </w:r>
          </w:p>
        </w:tc>
        <w:tc>
          <w:tcPr>
            <w:tcW w:w="160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lang w:val="en-US"/>
              </w:rPr>
            </w:pPr>
            <w:r>
              <w:rPr>
                <w:rFonts w:hint="eastAsia" w:ascii="宋体" w:hAnsi="宋体" w:eastAsia="宋体" w:cs="宋体"/>
                <w:i w:val="0"/>
                <w:color w:val="000000"/>
                <w:kern w:val="0"/>
                <w:sz w:val="20"/>
                <w:szCs w:val="20"/>
                <w:u w:val="none"/>
                <w:lang w:val="en-US" w:eastAsia="zh-CN" w:bidi="ar"/>
              </w:rPr>
              <w:t>456</w:t>
            </w:r>
          </w:p>
        </w:tc>
        <w:tc>
          <w:tcPr>
            <w:tcW w:w="118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val="en-US" w:bidi="ar"/>
              </w:rPr>
            </w:pPr>
            <w:r>
              <w:rPr>
                <w:rFonts w:hint="eastAsia" w:ascii="宋体" w:hAnsi="宋体" w:eastAsia="宋体" w:cs="宋体"/>
                <w:i w:val="0"/>
                <w:color w:val="000000"/>
                <w:kern w:val="0"/>
                <w:sz w:val="20"/>
                <w:szCs w:val="20"/>
                <w:u w:val="none"/>
                <w:lang w:val="en-US" w:eastAsia="zh-CN" w:bidi="ar"/>
              </w:rPr>
              <w:t>456</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val="en-US" w:eastAsia="zh-CN" w:bidi="ar"/>
              </w:rPr>
            </w:pPr>
            <w:r>
              <w:rPr>
                <w:rFonts w:hint="eastAsia" w:eastAsia="宋体" w:cs="Times New Roman"/>
                <w:kern w:val="0"/>
                <w:sz w:val="18"/>
                <w:szCs w:val="18"/>
                <w:lang w:val="en-US" w:eastAsia="zh-CN" w:bidi="ar"/>
              </w:rPr>
              <w:t>10</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100.00%</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lang w:val="en-US"/>
              </w:rPr>
            </w:pPr>
            <w:r>
              <w:rPr>
                <w:rFonts w:hint="eastAsia" w:ascii="宋体" w:hAnsi="宋体" w:eastAsia="宋体" w:cs="宋体"/>
                <w:i w:val="0"/>
                <w:color w:val="000000"/>
                <w:kern w:val="0"/>
                <w:sz w:val="20"/>
                <w:szCs w:val="20"/>
                <w:u w:val="none"/>
                <w:lang w:val="en-US" w:eastAsia="zh-CN" w:bidi="ar"/>
              </w:rPr>
              <w:t>10</w:t>
            </w:r>
          </w:p>
        </w:tc>
      </w:tr>
      <w:tr>
        <w:tblPrEx>
          <w:tblLayout w:type="fixed"/>
          <w:tblCellMar>
            <w:top w:w="0" w:type="dxa"/>
            <w:left w:w="0" w:type="dxa"/>
            <w:bottom w:w="0" w:type="dxa"/>
            <w:right w:w="0" w:type="dxa"/>
          </w:tblCellMar>
        </w:tblPrEx>
        <w:trPr>
          <w:trHeight w:val="638" w:hRule="atLeast"/>
        </w:trPr>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55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其中：当年财政拨款</w:t>
            </w: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 xml:space="preserve">456 </w:t>
            </w:r>
          </w:p>
        </w:tc>
        <w:tc>
          <w:tcPr>
            <w:tcW w:w="160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lang w:val="en-US"/>
              </w:rPr>
            </w:pPr>
            <w:r>
              <w:rPr>
                <w:rFonts w:hint="eastAsia" w:ascii="宋体" w:hAnsi="宋体" w:eastAsia="宋体" w:cs="宋体"/>
                <w:i w:val="0"/>
                <w:color w:val="000000"/>
                <w:kern w:val="0"/>
                <w:sz w:val="20"/>
                <w:szCs w:val="20"/>
                <w:u w:val="none"/>
                <w:lang w:val="en-US" w:eastAsia="zh-CN" w:bidi="ar"/>
              </w:rPr>
              <w:t>456</w:t>
            </w:r>
          </w:p>
        </w:tc>
        <w:tc>
          <w:tcPr>
            <w:tcW w:w="118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 xml:space="preserve">456 </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55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 xml:space="preserve">      上年结转资金</w:t>
            </w: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0</w:t>
            </w:r>
          </w:p>
        </w:tc>
        <w:tc>
          <w:tcPr>
            <w:tcW w:w="160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0</w:t>
            </w:r>
          </w:p>
        </w:tc>
        <w:tc>
          <w:tcPr>
            <w:tcW w:w="118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55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 xml:space="preserve">  其他资金</w:t>
            </w: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0</w:t>
            </w:r>
          </w:p>
        </w:tc>
        <w:tc>
          <w:tcPr>
            <w:tcW w:w="160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0</w:t>
            </w:r>
          </w:p>
        </w:tc>
        <w:tc>
          <w:tcPr>
            <w:tcW w:w="118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695"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年度总体目标</w:t>
            </w:r>
          </w:p>
        </w:tc>
        <w:tc>
          <w:tcPr>
            <w:tcW w:w="4333"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预期目标</w:t>
            </w:r>
          </w:p>
        </w:tc>
        <w:tc>
          <w:tcPr>
            <w:tcW w:w="3806"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实际完成情况</w:t>
            </w:r>
          </w:p>
        </w:tc>
      </w:tr>
      <w:tr>
        <w:tblPrEx>
          <w:tblLayout w:type="fixed"/>
          <w:tblCellMar>
            <w:top w:w="0" w:type="dxa"/>
            <w:left w:w="0" w:type="dxa"/>
            <w:bottom w:w="0" w:type="dxa"/>
            <w:right w:w="0" w:type="dxa"/>
          </w:tblCellMar>
        </w:tblPrEx>
        <w:trPr>
          <w:trHeight w:val="72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4333"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jc w:val="left"/>
              <w:rPr>
                <w:rFonts w:ascii="Times New Roman" w:hAnsi="Times New Roman" w:eastAsia="宋体" w:cs="Times New Roman"/>
                <w:kern w:val="0"/>
                <w:sz w:val="18"/>
                <w:szCs w:val="18"/>
                <w:lang w:bidi="ar"/>
              </w:rPr>
            </w:pPr>
            <w:r>
              <w:rPr>
                <w:rFonts w:hint="eastAsia" w:ascii="宋体" w:hAnsi="宋体" w:eastAsia="宋体" w:cs="宋体"/>
                <w:i w:val="0"/>
                <w:iCs w:val="0"/>
                <w:caps w:val="0"/>
                <w:color w:val="333333"/>
                <w:spacing w:val="0"/>
                <w:sz w:val="21"/>
                <w:szCs w:val="21"/>
                <w:shd w:val="clear" w:fill="FFFFFF"/>
              </w:rPr>
              <w:t>征收土地面积60752.8㎡，征收标准为75元/㎡；优化综保区环境，为项目的实施提供了进场条件，有效提高土地利用率，实现土地资源优化配置。</w:t>
            </w:r>
          </w:p>
        </w:tc>
        <w:tc>
          <w:tcPr>
            <w:tcW w:w="3806"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jc w:val="left"/>
              <w:rPr>
                <w:rFonts w:ascii="Times New Roman" w:hAnsi="Times New Roman" w:eastAsia="宋体" w:cs="Times New Roman"/>
                <w:kern w:val="0"/>
                <w:sz w:val="18"/>
                <w:szCs w:val="18"/>
                <w:lang w:bidi="ar"/>
              </w:rPr>
            </w:pPr>
            <w:r>
              <w:rPr>
                <w:rFonts w:hint="eastAsia" w:ascii="宋体" w:hAnsi="宋体" w:eastAsia="宋体" w:cs="宋体"/>
                <w:i w:val="0"/>
                <w:iCs w:val="0"/>
                <w:caps w:val="0"/>
                <w:color w:val="333333"/>
                <w:spacing w:val="0"/>
                <w:sz w:val="21"/>
                <w:szCs w:val="21"/>
                <w:shd w:val="clear" w:fill="FFFFFF"/>
              </w:rPr>
              <w:t>征收土地面积60752.8㎡，征收标准为75元/㎡；优化综保区环境，为项目的实施提供了进场条件，有效提高土地利用率，实现土地资源优化配置。</w:t>
            </w:r>
          </w:p>
        </w:tc>
      </w:tr>
      <w:tr>
        <w:tblPrEx>
          <w:tblLayout w:type="fixed"/>
          <w:tblCellMar>
            <w:top w:w="0" w:type="dxa"/>
            <w:left w:w="0" w:type="dxa"/>
            <w:bottom w:w="0" w:type="dxa"/>
            <w:right w:w="0" w:type="dxa"/>
          </w:tblCellMar>
        </w:tblPrEx>
        <w:trPr>
          <w:trHeight w:val="408"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一级指标</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二级指标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三级指标</w:t>
            </w:r>
          </w:p>
        </w:tc>
        <w:tc>
          <w:tcPr>
            <w:tcW w:w="11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年度指标值</w:t>
            </w:r>
          </w:p>
        </w:tc>
        <w:tc>
          <w:tcPr>
            <w:tcW w:w="95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实际完成值</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分值</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得分</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偏差原因分析及改进措施</w:t>
            </w:r>
          </w:p>
        </w:tc>
      </w:tr>
      <w:tr>
        <w:tblPrEx>
          <w:tblLayout w:type="fixed"/>
          <w:tblCellMar>
            <w:top w:w="0" w:type="dxa"/>
            <w:left w:w="0" w:type="dxa"/>
            <w:bottom w:w="0" w:type="dxa"/>
            <w:right w:w="0" w:type="dxa"/>
          </w:tblCellMar>
        </w:tblPrEx>
        <w:trPr>
          <w:trHeight w:val="408" w:hRule="atLeast"/>
        </w:trPr>
        <w:tc>
          <w:tcPr>
            <w:tcW w:w="695"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年度绩效指标完成情况</w:t>
            </w: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产出指标</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数量指标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rFonts w:hint="eastAsia" w:ascii="宋体" w:hAnsi="宋体" w:eastAsia="宋体" w:cs="宋体"/>
                <w:i w:val="0"/>
                <w:iCs w:val="0"/>
                <w:caps w:val="0"/>
                <w:color w:val="333333"/>
                <w:spacing w:val="0"/>
                <w:sz w:val="21"/>
                <w:szCs w:val="21"/>
                <w:shd w:val="clear" w:fill="FFFFFF"/>
              </w:rPr>
            </w:pPr>
            <w:r>
              <w:rPr>
                <w:rFonts w:hint="eastAsia" w:ascii="宋体" w:hAnsi="宋体" w:eastAsia="宋体" w:cs="宋体"/>
                <w:i w:val="0"/>
                <w:iCs w:val="0"/>
                <w:caps w:val="0"/>
                <w:color w:val="333333"/>
                <w:spacing w:val="0"/>
                <w:sz w:val="21"/>
                <w:szCs w:val="21"/>
                <w:shd w:val="clear" w:fill="FFFFFF"/>
              </w:rPr>
              <w:t>土地征收面积</w:t>
            </w:r>
          </w:p>
        </w:tc>
        <w:tc>
          <w:tcPr>
            <w:tcW w:w="11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宋体" w:hAnsi="宋体" w:eastAsia="宋体" w:cs="宋体"/>
                <w:i w:val="0"/>
                <w:iCs w:val="0"/>
                <w:caps w:val="0"/>
                <w:color w:val="333333"/>
                <w:spacing w:val="0"/>
                <w:sz w:val="21"/>
                <w:szCs w:val="21"/>
                <w:shd w:val="clear" w:fill="FFFFFF"/>
                <w:lang w:val="en-US" w:eastAsia="zh-CN"/>
              </w:rPr>
            </w:pPr>
            <w:r>
              <w:rPr>
                <w:rFonts w:hint="eastAsia" w:ascii="宋体" w:hAnsi="宋体" w:eastAsia="宋体" w:cs="宋体"/>
                <w:i w:val="0"/>
                <w:iCs w:val="0"/>
                <w:caps w:val="0"/>
                <w:color w:val="333333"/>
                <w:spacing w:val="0"/>
                <w:sz w:val="21"/>
                <w:szCs w:val="21"/>
                <w:shd w:val="clear" w:fill="FFFFFF"/>
                <w:lang w:val="en-US" w:eastAsia="zh-CN"/>
              </w:rPr>
              <w:t>&gt;=60752.8平方米</w:t>
            </w:r>
          </w:p>
        </w:tc>
        <w:tc>
          <w:tcPr>
            <w:tcW w:w="95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宋体" w:hAnsi="宋体" w:eastAsia="宋体" w:cs="宋体"/>
                <w:i w:val="0"/>
                <w:iCs w:val="0"/>
                <w:caps w:val="0"/>
                <w:color w:val="333333"/>
                <w:spacing w:val="0"/>
                <w:sz w:val="21"/>
                <w:szCs w:val="21"/>
                <w:shd w:val="clear" w:fill="FFFFFF"/>
                <w:lang w:val="en-US" w:eastAsia="zh-CN"/>
              </w:rPr>
            </w:pPr>
            <w:r>
              <w:rPr>
                <w:rFonts w:hint="eastAsia" w:ascii="宋体" w:hAnsi="宋体" w:eastAsia="宋体" w:cs="宋体"/>
                <w:i w:val="0"/>
                <w:iCs w:val="0"/>
                <w:caps w:val="0"/>
                <w:color w:val="333333"/>
                <w:spacing w:val="0"/>
                <w:sz w:val="21"/>
                <w:szCs w:val="21"/>
                <w:shd w:val="clear" w:fill="FFFFFF"/>
                <w:lang w:val="en-US" w:eastAsia="zh-CN"/>
              </w:rPr>
              <w:t>60752.8平方米</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宋体" w:hAnsi="宋体" w:eastAsia="宋体" w:cs="宋体"/>
                <w:i w:val="0"/>
                <w:iCs w:val="0"/>
                <w:caps w:val="0"/>
                <w:color w:val="333333"/>
                <w:spacing w:val="0"/>
                <w:sz w:val="21"/>
                <w:szCs w:val="21"/>
                <w:shd w:val="clear" w:fill="FFFFFF"/>
                <w:lang w:val="en-US" w:eastAsia="zh-CN"/>
              </w:rPr>
            </w:pPr>
            <w:r>
              <w:rPr>
                <w:rFonts w:hint="eastAsia" w:ascii="宋体" w:hAnsi="宋体" w:eastAsia="宋体" w:cs="宋体"/>
                <w:i w:val="0"/>
                <w:iCs w:val="0"/>
                <w:caps w:val="0"/>
                <w:color w:val="333333"/>
                <w:spacing w:val="0"/>
                <w:sz w:val="21"/>
                <w:szCs w:val="21"/>
                <w:shd w:val="clear" w:fill="FFFFFF"/>
                <w:lang w:val="en-US" w:eastAsia="zh-CN"/>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eastAsia="宋体" w:cs="Times New Roman"/>
                <w:kern w:val="0"/>
                <w:sz w:val="18"/>
                <w:szCs w:val="18"/>
                <w:lang w:val="en-US" w:eastAsia="zh-CN" w:bidi="ar"/>
              </w:rPr>
            </w:pPr>
            <w:r>
              <w:rPr>
                <w:rFonts w:hint="eastAsia" w:eastAsia="宋体" w:cs="Times New Roman"/>
                <w:kern w:val="0"/>
                <w:sz w:val="18"/>
                <w:szCs w:val="18"/>
                <w:lang w:val="en-US" w:eastAsia="zh-CN" w:bidi="ar"/>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560"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859"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质量指标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rFonts w:hint="eastAsia" w:ascii="宋体" w:hAnsi="宋体" w:eastAsia="宋体" w:cs="宋体"/>
                <w:i w:val="0"/>
                <w:iCs w:val="0"/>
                <w:caps w:val="0"/>
                <w:color w:val="333333"/>
                <w:spacing w:val="0"/>
                <w:sz w:val="21"/>
                <w:szCs w:val="21"/>
                <w:shd w:val="clear" w:fill="FFFFFF"/>
              </w:rPr>
            </w:pPr>
            <w:r>
              <w:rPr>
                <w:rFonts w:hint="eastAsia" w:ascii="宋体" w:hAnsi="宋体" w:eastAsia="宋体" w:cs="宋体"/>
                <w:i w:val="0"/>
                <w:iCs w:val="0"/>
                <w:caps w:val="0"/>
                <w:color w:val="333333"/>
                <w:spacing w:val="0"/>
                <w:sz w:val="21"/>
                <w:szCs w:val="21"/>
                <w:shd w:val="clear" w:fill="FFFFFF"/>
              </w:rPr>
              <w:t>土地合理利用率</w:t>
            </w:r>
          </w:p>
        </w:tc>
        <w:tc>
          <w:tcPr>
            <w:tcW w:w="11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宋体" w:hAnsi="宋体" w:eastAsia="宋体" w:cs="宋体"/>
                <w:i w:val="0"/>
                <w:iCs w:val="0"/>
                <w:caps w:val="0"/>
                <w:color w:val="333333"/>
                <w:spacing w:val="0"/>
                <w:sz w:val="21"/>
                <w:szCs w:val="21"/>
                <w:shd w:val="clear" w:fill="FFFFFF"/>
                <w:lang w:val="en-US" w:eastAsia="zh-CN"/>
              </w:rPr>
            </w:pPr>
            <w:r>
              <w:rPr>
                <w:rFonts w:hint="eastAsia" w:ascii="宋体" w:hAnsi="宋体" w:eastAsia="宋体" w:cs="宋体"/>
                <w:i w:val="0"/>
                <w:iCs w:val="0"/>
                <w:caps w:val="0"/>
                <w:color w:val="333333"/>
                <w:spacing w:val="0"/>
                <w:sz w:val="21"/>
                <w:szCs w:val="21"/>
                <w:shd w:val="clear" w:fill="FFFFFF"/>
                <w:lang w:val="en-US" w:eastAsia="zh-CN"/>
              </w:rPr>
              <w:t>=100%</w:t>
            </w:r>
          </w:p>
        </w:tc>
        <w:tc>
          <w:tcPr>
            <w:tcW w:w="95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宋体" w:hAnsi="宋体" w:eastAsia="宋体" w:cs="宋体"/>
                <w:i w:val="0"/>
                <w:iCs w:val="0"/>
                <w:caps w:val="0"/>
                <w:color w:val="333333"/>
                <w:spacing w:val="0"/>
                <w:sz w:val="21"/>
                <w:szCs w:val="21"/>
                <w:shd w:val="clear" w:fill="FFFFFF"/>
                <w:lang w:val="en-US" w:eastAsia="zh-CN"/>
              </w:rPr>
            </w:pPr>
            <w:r>
              <w:rPr>
                <w:rFonts w:hint="eastAsia" w:ascii="宋体" w:hAnsi="宋体" w:eastAsia="宋体" w:cs="宋体"/>
                <w:i w:val="0"/>
                <w:iCs w:val="0"/>
                <w:caps w:val="0"/>
                <w:color w:val="333333"/>
                <w:spacing w:val="0"/>
                <w:sz w:val="21"/>
                <w:szCs w:val="21"/>
                <w:shd w:val="clear" w:fill="FFFFFF"/>
                <w:lang w:val="en-US" w:eastAsia="zh-CN"/>
              </w:rPr>
              <w:t>100%</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宋体" w:hAnsi="宋体" w:eastAsia="宋体" w:cs="宋体"/>
                <w:i w:val="0"/>
                <w:iCs w:val="0"/>
                <w:caps w:val="0"/>
                <w:color w:val="333333"/>
                <w:spacing w:val="0"/>
                <w:sz w:val="21"/>
                <w:szCs w:val="21"/>
                <w:shd w:val="clear" w:fill="FFFFFF"/>
                <w:lang w:val="en-US" w:eastAsia="zh-CN"/>
              </w:rPr>
            </w:pPr>
            <w:r>
              <w:rPr>
                <w:rFonts w:hint="eastAsia" w:ascii="宋体" w:hAnsi="宋体" w:eastAsia="宋体" w:cs="宋体"/>
                <w:i w:val="0"/>
                <w:iCs w:val="0"/>
                <w:caps w:val="0"/>
                <w:color w:val="333333"/>
                <w:spacing w:val="0"/>
                <w:sz w:val="21"/>
                <w:szCs w:val="21"/>
                <w:shd w:val="clear" w:fill="FFFFFF"/>
                <w:lang w:val="en-US" w:eastAsia="zh-CN"/>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eastAsia="宋体" w:cs="Times New Roman"/>
                <w:kern w:val="0"/>
                <w:sz w:val="18"/>
                <w:szCs w:val="18"/>
                <w:lang w:val="en-US" w:eastAsia="zh-CN" w:bidi="ar"/>
              </w:rPr>
            </w:pPr>
            <w:r>
              <w:rPr>
                <w:rFonts w:hint="eastAsia" w:eastAsia="宋体" w:cs="Times New Roman"/>
                <w:kern w:val="0"/>
                <w:sz w:val="18"/>
                <w:szCs w:val="18"/>
                <w:lang w:val="en-US" w:eastAsia="zh-CN" w:bidi="ar"/>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560"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859"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rFonts w:hint="eastAsia" w:ascii="宋体" w:hAnsi="宋体" w:eastAsia="宋体" w:cs="宋体"/>
                <w:i w:val="0"/>
                <w:iCs w:val="0"/>
                <w:caps w:val="0"/>
                <w:color w:val="333333"/>
                <w:spacing w:val="0"/>
                <w:sz w:val="21"/>
                <w:szCs w:val="21"/>
                <w:shd w:val="clear" w:fill="FFFFFF"/>
              </w:rPr>
            </w:pPr>
            <w:r>
              <w:rPr>
                <w:rFonts w:hint="eastAsia" w:ascii="宋体" w:hAnsi="宋体" w:eastAsia="宋体" w:cs="宋体"/>
                <w:i w:val="0"/>
                <w:iCs w:val="0"/>
                <w:caps w:val="0"/>
                <w:color w:val="333333"/>
                <w:spacing w:val="0"/>
                <w:sz w:val="21"/>
                <w:szCs w:val="21"/>
                <w:shd w:val="clear" w:fill="FFFFFF"/>
              </w:rPr>
              <w:t>资金使用合规率</w:t>
            </w:r>
          </w:p>
        </w:tc>
        <w:tc>
          <w:tcPr>
            <w:tcW w:w="11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宋体" w:hAnsi="宋体" w:eastAsia="宋体" w:cs="宋体"/>
                <w:i w:val="0"/>
                <w:iCs w:val="0"/>
                <w:caps w:val="0"/>
                <w:color w:val="333333"/>
                <w:spacing w:val="0"/>
                <w:sz w:val="21"/>
                <w:szCs w:val="21"/>
                <w:shd w:val="clear" w:fill="FFFFFF"/>
                <w:lang w:val="en-US" w:eastAsia="zh-CN"/>
              </w:rPr>
            </w:pPr>
            <w:r>
              <w:rPr>
                <w:rFonts w:hint="eastAsia" w:ascii="宋体" w:hAnsi="宋体" w:eastAsia="宋体" w:cs="宋体"/>
                <w:i w:val="0"/>
                <w:iCs w:val="0"/>
                <w:caps w:val="0"/>
                <w:color w:val="333333"/>
                <w:spacing w:val="0"/>
                <w:sz w:val="21"/>
                <w:szCs w:val="21"/>
                <w:shd w:val="clear" w:fill="FFFFFF"/>
                <w:lang w:val="en-US" w:eastAsia="zh-CN"/>
              </w:rPr>
              <w:t>=100%</w:t>
            </w:r>
          </w:p>
        </w:tc>
        <w:tc>
          <w:tcPr>
            <w:tcW w:w="95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宋体" w:hAnsi="宋体" w:eastAsia="宋体" w:cs="宋体"/>
                <w:i w:val="0"/>
                <w:iCs w:val="0"/>
                <w:caps w:val="0"/>
                <w:color w:val="333333"/>
                <w:spacing w:val="0"/>
                <w:sz w:val="21"/>
                <w:szCs w:val="21"/>
                <w:shd w:val="clear" w:fill="FFFFFF"/>
                <w:lang w:val="en-US" w:eastAsia="zh-CN"/>
              </w:rPr>
            </w:pPr>
            <w:r>
              <w:rPr>
                <w:rFonts w:hint="eastAsia" w:ascii="宋体" w:hAnsi="宋体" w:eastAsia="宋体" w:cs="宋体"/>
                <w:i w:val="0"/>
                <w:iCs w:val="0"/>
                <w:caps w:val="0"/>
                <w:color w:val="333333"/>
                <w:spacing w:val="0"/>
                <w:sz w:val="21"/>
                <w:szCs w:val="21"/>
                <w:shd w:val="clear" w:fill="FFFFFF"/>
                <w:lang w:val="en-US" w:eastAsia="zh-CN"/>
              </w:rPr>
              <w:t>100%</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宋体" w:hAnsi="宋体" w:eastAsia="宋体" w:cs="宋体"/>
                <w:i w:val="0"/>
                <w:iCs w:val="0"/>
                <w:caps w:val="0"/>
                <w:color w:val="333333"/>
                <w:spacing w:val="0"/>
                <w:sz w:val="21"/>
                <w:szCs w:val="21"/>
                <w:shd w:val="clear" w:fill="FFFFFF"/>
                <w:lang w:val="en-US" w:eastAsia="zh-CN"/>
              </w:rPr>
            </w:pPr>
            <w:r>
              <w:rPr>
                <w:rFonts w:hint="eastAsia" w:ascii="宋体" w:hAnsi="宋体" w:eastAsia="宋体" w:cs="宋体"/>
                <w:i w:val="0"/>
                <w:iCs w:val="0"/>
                <w:caps w:val="0"/>
                <w:color w:val="333333"/>
                <w:spacing w:val="0"/>
                <w:sz w:val="21"/>
                <w:szCs w:val="21"/>
                <w:shd w:val="clear" w:fill="FFFFFF"/>
                <w:lang w:val="en-US" w:eastAsia="zh-CN"/>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eastAsia="宋体" w:cs="Times New Roman"/>
                <w:kern w:val="0"/>
                <w:sz w:val="18"/>
                <w:szCs w:val="18"/>
                <w:lang w:val="en-US" w:eastAsia="zh-CN" w:bidi="ar"/>
              </w:rPr>
            </w:pPr>
            <w:r>
              <w:rPr>
                <w:rFonts w:hint="eastAsia" w:eastAsia="宋体" w:cs="Times New Roman"/>
                <w:kern w:val="0"/>
                <w:sz w:val="18"/>
                <w:szCs w:val="18"/>
                <w:lang w:val="en-US" w:eastAsia="zh-CN" w:bidi="ar"/>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620"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vMerge w:val="continue"/>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时效指标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rFonts w:hint="eastAsia" w:ascii="宋体" w:hAnsi="宋体" w:eastAsia="宋体" w:cs="宋体"/>
                <w:i w:val="0"/>
                <w:iCs w:val="0"/>
                <w:caps w:val="0"/>
                <w:color w:val="333333"/>
                <w:spacing w:val="0"/>
                <w:sz w:val="21"/>
                <w:szCs w:val="21"/>
                <w:shd w:val="clear" w:fill="FFFFFF"/>
              </w:rPr>
            </w:pPr>
            <w:r>
              <w:rPr>
                <w:rFonts w:hint="eastAsia" w:ascii="宋体" w:hAnsi="宋体" w:eastAsia="宋体" w:cs="宋体"/>
                <w:i w:val="0"/>
                <w:iCs w:val="0"/>
                <w:caps w:val="0"/>
                <w:color w:val="333333"/>
                <w:spacing w:val="0"/>
                <w:sz w:val="21"/>
                <w:szCs w:val="21"/>
                <w:shd w:val="clear" w:fill="FFFFFF"/>
              </w:rPr>
              <w:t>资金拨付及时率</w:t>
            </w:r>
          </w:p>
        </w:tc>
        <w:tc>
          <w:tcPr>
            <w:tcW w:w="11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宋体" w:hAnsi="宋体" w:eastAsia="宋体" w:cs="宋体"/>
                <w:i w:val="0"/>
                <w:iCs w:val="0"/>
                <w:caps w:val="0"/>
                <w:color w:val="333333"/>
                <w:spacing w:val="0"/>
                <w:sz w:val="21"/>
                <w:szCs w:val="21"/>
                <w:shd w:val="clear" w:fill="FFFFFF"/>
                <w:lang w:val="en-US" w:eastAsia="zh-CN"/>
              </w:rPr>
            </w:pPr>
            <w:r>
              <w:rPr>
                <w:rFonts w:hint="eastAsia" w:ascii="宋体" w:hAnsi="宋体" w:eastAsia="宋体" w:cs="宋体"/>
                <w:i w:val="0"/>
                <w:iCs w:val="0"/>
                <w:caps w:val="0"/>
                <w:color w:val="333333"/>
                <w:spacing w:val="0"/>
                <w:sz w:val="21"/>
                <w:szCs w:val="21"/>
                <w:shd w:val="clear" w:fill="FFFFFF"/>
                <w:lang w:val="en-US" w:eastAsia="zh-CN"/>
              </w:rPr>
              <w:t>=100%</w:t>
            </w:r>
          </w:p>
        </w:tc>
        <w:tc>
          <w:tcPr>
            <w:tcW w:w="95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宋体" w:hAnsi="宋体" w:eastAsia="宋体" w:cs="宋体"/>
                <w:i w:val="0"/>
                <w:iCs w:val="0"/>
                <w:caps w:val="0"/>
                <w:color w:val="333333"/>
                <w:spacing w:val="0"/>
                <w:sz w:val="21"/>
                <w:szCs w:val="21"/>
                <w:shd w:val="clear" w:fill="FFFFFF"/>
                <w:lang w:val="en-US" w:eastAsia="zh-CN"/>
              </w:rPr>
            </w:pPr>
            <w:r>
              <w:rPr>
                <w:rFonts w:hint="eastAsia" w:ascii="宋体" w:hAnsi="宋体" w:eastAsia="宋体" w:cs="宋体"/>
                <w:i w:val="0"/>
                <w:iCs w:val="0"/>
                <w:caps w:val="0"/>
                <w:color w:val="333333"/>
                <w:spacing w:val="0"/>
                <w:sz w:val="21"/>
                <w:szCs w:val="21"/>
                <w:shd w:val="clear" w:fill="FFFFFF"/>
                <w:lang w:val="en-US" w:eastAsia="zh-CN"/>
              </w:rPr>
              <w:t>100%</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宋体" w:hAnsi="宋体" w:eastAsia="宋体" w:cs="宋体"/>
                <w:i w:val="0"/>
                <w:iCs w:val="0"/>
                <w:caps w:val="0"/>
                <w:color w:val="333333"/>
                <w:spacing w:val="0"/>
                <w:sz w:val="21"/>
                <w:szCs w:val="21"/>
                <w:shd w:val="clear" w:fill="FFFFFF"/>
                <w:lang w:val="en-US" w:eastAsia="zh-CN"/>
              </w:rPr>
            </w:pPr>
            <w:r>
              <w:rPr>
                <w:rFonts w:hint="eastAsia" w:ascii="宋体" w:hAnsi="宋体" w:eastAsia="宋体" w:cs="宋体"/>
                <w:i w:val="0"/>
                <w:iCs w:val="0"/>
                <w:caps w:val="0"/>
                <w:color w:val="333333"/>
                <w:spacing w:val="0"/>
                <w:sz w:val="21"/>
                <w:szCs w:val="21"/>
                <w:shd w:val="clear" w:fill="FFFFFF"/>
                <w:lang w:val="en-US" w:eastAsia="zh-CN"/>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eastAsia="宋体" w:cs="Times New Roman"/>
                <w:kern w:val="0"/>
                <w:sz w:val="18"/>
                <w:szCs w:val="18"/>
                <w:lang w:val="en-US" w:eastAsia="zh-CN" w:bidi="ar"/>
              </w:rPr>
            </w:pPr>
            <w:r>
              <w:rPr>
                <w:rFonts w:hint="eastAsia" w:eastAsia="宋体" w:cs="Times New Roman"/>
                <w:kern w:val="0"/>
                <w:sz w:val="18"/>
                <w:szCs w:val="18"/>
                <w:lang w:val="en-US" w:eastAsia="zh-CN" w:bidi="ar"/>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620"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成本指标</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经济成本指标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rFonts w:hint="eastAsia" w:ascii="宋体" w:hAnsi="宋体" w:eastAsia="宋体" w:cs="宋体"/>
                <w:i w:val="0"/>
                <w:iCs w:val="0"/>
                <w:caps w:val="0"/>
                <w:color w:val="333333"/>
                <w:spacing w:val="0"/>
                <w:sz w:val="21"/>
                <w:szCs w:val="21"/>
                <w:shd w:val="clear" w:fill="FFFFFF"/>
              </w:rPr>
            </w:pPr>
            <w:r>
              <w:rPr>
                <w:rFonts w:hint="eastAsia" w:ascii="宋体" w:hAnsi="宋体" w:eastAsia="宋体" w:cs="宋体"/>
                <w:i w:val="0"/>
                <w:iCs w:val="0"/>
                <w:caps w:val="0"/>
                <w:color w:val="333333"/>
                <w:spacing w:val="0"/>
                <w:sz w:val="21"/>
                <w:szCs w:val="21"/>
                <w:shd w:val="clear" w:fill="FFFFFF"/>
              </w:rPr>
              <w:t>土地征收标准</w:t>
            </w:r>
          </w:p>
        </w:tc>
        <w:tc>
          <w:tcPr>
            <w:tcW w:w="11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宋体" w:hAnsi="宋体" w:eastAsia="宋体" w:cs="宋体"/>
                <w:i w:val="0"/>
                <w:iCs w:val="0"/>
                <w:caps w:val="0"/>
                <w:color w:val="333333"/>
                <w:spacing w:val="0"/>
                <w:sz w:val="21"/>
                <w:szCs w:val="21"/>
                <w:shd w:val="clear" w:fill="FFFFFF"/>
                <w:lang w:val="en-US" w:eastAsia="zh-CN"/>
              </w:rPr>
            </w:pPr>
            <w:r>
              <w:rPr>
                <w:rFonts w:hint="eastAsia" w:ascii="宋体" w:hAnsi="宋体" w:eastAsia="宋体" w:cs="宋体"/>
                <w:i w:val="0"/>
                <w:iCs w:val="0"/>
                <w:caps w:val="0"/>
                <w:color w:val="333333"/>
                <w:spacing w:val="0"/>
                <w:sz w:val="21"/>
                <w:szCs w:val="21"/>
                <w:shd w:val="clear" w:fill="FFFFFF"/>
                <w:lang w:val="en-US" w:eastAsia="zh-CN"/>
              </w:rPr>
              <w:t>&lt;=75元/平方米</w:t>
            </w:r>
          </w:p>
        </w:tc>
        <w:tc>
          <w:tcPr>
            <w:tcW w:w="95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宋体" w:hAnsi="宋体" w:eastAsia="宋体" w:cs="宋体"/>
                <w:i w:val="0"/>
                <w:iCs w:val="0"/>
                <w:caps w:val="0"/>
                <w:color w:val="333333"/>
                <w:spacing w:val="0"/>
                <w:sz w:val="21"/>
                <w:szCs w:val="21"/>
                <w:shd w:val="clear" w:fill="FFFFFF"/>
                <w:lang w:val="en-US" w:eastAsia="zh-CN"/>
              </w:rPr>
            </w:pPr>
            <w:r>
              <w:rPr>
                <w:rFonts w:hint="eastAsia" w:ascii="宋体" w:hAnsi="宋体" w:eastAsia="宋体" w:cs="宋体"/>
                <w:i w:val="0"/>
                <w:iCs w:val="0"/>
                <w:caps w:val="0"/>
                <w:color w:val="333333"/>
                <w:spacing w:val="0"/>
                <w:sz w:val="21"/>
                <w:szCs w:val="21"/>
                <w:shd w:val="clear" w:fill="FFFFFF"/>
                <w:lang w:val="en-US" w:eastAsia="zh-CN"/>
              </w:rPr>
              <w:t>75元/平方米</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宋体" w:hAnsi="宋体" w:eastAsia="宋体" w:cs="宋体"/>
                <w:i w:val="0"/>
                <w:iCs w:val="0"/>
                <w:caps w:val="0"/>
                <w:color w:val="333333"/>
                <w:spacing w:val="0"/>
                <w:sz w:val="21"/>
                <w:szCs w:val="21"/>
                <w:shd w:val="clear" w:fill="FFFFFF"/>
                <w:lang w:val="en-US" w:eastAsia="zh-CN"/>
              </w:rPr>
            </w:pPr>
            <w:r>
              <w:rPr>
                <w:rFonts w:hint="eastAsia" w:ascii="宋体" w:hAnsi="宋体" w:eastAsia="宋体" w:cs="宋体"/>
                <w:i w:val="0"/>
                <w:iCs w:val="0"/>
                <w:caps w:val="0"/>
                <w:color w:val="333333"/>
                <w:spacing w:val="0"/>
                <w:sz w:val="21"/>
                <w:szCs w:val="21"/>
                <w:shd w:val="clear" w:fill="FFFFFF"/>
                <w:lang w:val="en-US" w:eastAsia="zh-CN"/>
              </w:rPr>
              <w:t>20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eastAsia="宋体" w:cs="Times New Roman"/>
                <w:kern w:val="0"/>
                <w:sz w:val="18"/>
                <w:szCs w:val="18"/>
                <w:lang w:val="en-US" w:eastAsia="zh-CN" w:bidi="ar"/>
              </w:rPr>
            </w:pPr>
            <w:r>
              <w:rPr>
                <w:rFonts w:hint="eastAsia" w:eastAsia="宋体" w:cs="Times New Roman"/>
                <w:kern w:val="0"/>
                <w:sz w:val="18"/>
                <w:szCs w:val="18"/>
                <w:lang w:val="en-US" w:eastAsia="zh-CN" w:bidi="ar"/>
              </w:rPr>
              <w:t>20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cs="Times New Roman"/>
                <w:kern w:val="0"/>
                <w:sz w:val="18"/>
                <w:szCs w:val="18"/>
                <w:lang w:val="en-US" w:eastAsia="zh-CN" w:bidi="ar"/>
              </w:rPr>
            </w:pPr>
          </w:p>
        </w:tc>
      </w:tr>
      <w:tr>
        <w:tblPrEx>
          <w:tblLayout w:type="fixed"/>
          <w:tblCellMar>
            <w:top w:w="0" w:type="dxa"/>
            <w:left w:w="0" w:type="dxa"/>
            <w:bottom w:w="0" w:type="dxa"/>
            <w:right w:w="0" w:type="dxa"/>
          </w:tblCellMar>
        </w:tblPrEx>
        <w:trPr>
          <w:trHeight w:val="432"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效益指标</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经济效益指标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rFonts w:hint="eastAsia" w:ascii="宋体" w:hAnsi="宋体" w:eastAsia="宋体" w:cs="宋体"/>
                <w:i w:val="0"/>
                <w:iCs w:val="0"/>
                <w:caps w:val="0"/>
                <w:color w:val="333333"/>
                <w:spacing w:val="0"/>
                <w:sz w:val="21"/>
                <w:szCs w:val="21"/>
                <w:shd w:val="clear" w:fill="FFFFFF"/>
                <w:lang w:eastAsia="zh-CN"/>
              </w:rPr>
            </w:pPr>
            <w:r>
              <w:rPr>
                <w:rFonts w:hint="eastAsia" w:ascii="宋体" w:hAnsi="宋体" w:eastAsia="宋体" w:cs="宋体"/>
                <w:i w:val="0"/>
                <w:iCs w:val="0"/>
                <w:caps w:val="0"/>
                <w:color w:val="333333"/>
                <w:spacing w:val="0"/>
                <w:sz w:val="21"/>
                <w:szCs w:val="21"/>
                <w:shd w:val="clear" w:fill="FFFFFF"/>
                <w:lang w:eastAsia="zh-CN"/>
              </w:rPr>
              <w:t>优化土地资源配置</w:t>
            </w:r>
          </w:p>
        </w:tc>
        <w:tc>
          <w:tcPr>
            <w:tcW w:w="11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宋体" w:hAnsi="宋体" w:eastAsia="宋体" w:cs="宋体"/>
                <w:i w:val="0"/>
                <w:iCs w:val="0"/>
                <w:caps w:val="0"/>
                <w:color w:val="333333"/>
                <w:spacing w:val="0"/>
                <w:sz w:val="21"/>
                <w:szCs w:val="21"/>
                <w:shd w:val="clear" w:fill="FFFFFF"/>
                <w:lang w:val="en-US" w:eastAsia="zh-CN"/>
              </w:rPr>
            </w:pPr>
            <w:r>
              <w:rPr>
                <w:rFonts w:hint="eastAsia" w:ascii="宋体" w:hAnsi="宋体" w:eastAsia="宋体" w:cs="宋体"/>
                <w:i w:val="0"/>
                <w:iCs w:val="0"/>
                <w:caps w:val="0"/>
                <w:color w:val="333333"/>
                <w:spacing w:val="0"/>
                <w:sz w:val="21"/>
                <w:szCs w:val="21"/>
                <w:shd w:val="clear" w:fill="FFFFFF"/>
                <w:lang w:val="en-US" w:eastAsia="zh-CN"/>
              </w:rPr>
              <w:t>不断优化</w:t>
            </w:r>
          </w:p>
        </w:tc>
        <w:tc>
          <w:tcPr>
            <w:tcW w:w="95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宋体" w:hAnsi="宋体" w:eastAsia="宋体" w:cs="宋体"/>
                <w:i w:val="0"/>
                <w:iCs w:val="0"/>
                <w:caps w:val="0"/>
                <w:color w:val="333333"/>
                <w:spacing w:val="0"/>
                <w:sz w:val="21"/>
                <w:szCs w:val="21"/>
                <w:shd w:val="clear" w:fill="FFFFFF"/>
                <w:lang w:val="en-US" w:eastAsia="zh-CN"/>
              </w:rPr>
            </w:pPr>
            <w:r>
              <w:rPr>
                <w:rFonts w:hint="eastAsia" w:ascii="宋体" w:hAnsi="宋体" w:eastAsia="宋体" w:cs="宋体"/>
                <w:i w:val="0"/>
                <w:iCs w:val="0"/>
                <w:caps w:val="0"/>
                <w:color w:val="333333"/>
                <w:spacing w:val="0"/>
                <w:sz w:val="21"/>
                <w:szCs w:val="21"/>
                <w:shd w:val="clear" w:fill="FFFFFF"/>
                <w:lang w:val="en-US" w:eastAsia="zh-CN"/>
              </w:rPr>
              <w:t>不断优化</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宋体" w:hAnsi="宋体" w:eastAsia="宋体" w:cs="宋体"/>
                <w:i w:val="0"/>
                <w:iCs w:val="0"/>
                <w:caps w:val="0"/>
                <w:color w:val="333333"/>
                <w:spacing w:val="0"/>
                <w:sz w:val="21"/>
                <w:szCs w:val="21"/>
                <w:shd w:val="clear" w:fill="FFFFFF"/>
                <w:lang w:val="en-US" w:eastAsia="zh-CN"/>
              </w:rPr>
            </w:pPr>
            <w:r>
              <w:rPr>
                <w:rFonts w:hint="eastAsia" w:ascii="宋体" w:hAnsi="宋体" w:eastAsia="宋体" w:cs="宋体"/>
                <w:i w:val="0"/>
                <w:iCs w:val="0"/>
                <w:caps w:val="0"/>
                <w:color w:val="333333"/>
                <w:spacing w:val="0"/>
                <w:sz w:val="21"/>
                <w:szCs w:val="21"/>
                <w:shd w:val="clear" w:fill="FFFFFF"/>
                <w:lang w:val="en-US" w:eastAsia="zh-CN"/>
              </w:rPr>
              <w:t>20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eastAsia="宋体" w:cs="Times New Roman"/>
                <w:kern w:val="0"/>
                <w:sz w:val="18"/>
                <w:szCs w:val="18"/>
                <w:lang w:val="en-US" w:eastAsia="zh-CN" w:bidi="ar"/>
              </w:rPr>
            </w:pPr>
            <w:r>
              <w:rPr>
                <w:rFonts w:hint="eastAsia" w:eastAsia="宋体" w:cs="Times New Roman"/>
                <w:kern w:val="0"/>
                <w:sz w:val="18"/>
                <w:szCs w:val="18"/>
                <w:lang w:val="en-US" w:eastAsia="zh-CN" w:bidi="ar"/>
              </w:rPr>
              <w:t>20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cs="Times New Roman"/>
                <w:kern w:val="0"/>
                <w:sz w:val="18"/>
                <w:szCs w:val="18"/>
                <w:lang w:val="en-US" w:eastAsia="zh-CN" w:bidi="ar"/>
              </w:rPr>
            </w:pPr>
          </w:p>
        </w:tc>
      </w:tr>
      <w:tr>
        <w:tblPrEx>
          <w:tblLayout w:type="fixed"/>
          <w:tblCellMar>
            <w:top w:w="0" w:type="dxa"/>
            <w:left w:w="0" w:type="dxa"/>
            <w:bottom w:w="0" w:type="dxa"/>
            <w:right w:w="0" w:type="dxa"/>
          </w:tblCellMar>
        </w:tblPrEx>
        <w:trPr>
          <w:trHeight w:val="432" w:hRule="atLeast"/>
        </w:trPr>
        <w:tc>
          <w:tcPr>
            <w:tcW w:w="695"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满意度指标</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满意度指标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rFonts w:hint="eastAsia" w:ascii="宋体" w:hAnsi="宋体" w:eastAsia="宋体" w:cs="宋体"/>
                <w:i w:val="0"/>
                <w:iCs w:val="0"/>
                <w:caps w:val="0"/>
                <w:color w:val="333333"/>
                <w:spacing w:val="0"/>
                <w:sz w:val="21"/>
                <w:szCs w:val="21"/>
                <w:shd w:val="clear" w:fill="FFFFFF"/>
                <w:lang w:eastAsia="zh-CN"/>
              </w:rPr>
            </w:pPr>
            <w:r>
              <w:rPr>
                <w:rFonts w:hint="eastAsia" w:ascii="宋体" w:hAnsi="宋体" w:eastAsia="宋体" w:cs="宋体"/>
                <w:i w:val="0"/>
                <w:iCs w:val="0"/>
                <w:caps w:val="0"/>
                <w:color w:val="333333"/>
                <w:spacing w:val="0"/>
                <w:sz w:val="21"/>
                <w:szCs w:val="21"/>
                <w:shd w:val="clear" w:fill="FFFFFF"/>
              </w:rPr>
              <w:t>被征收对象满意度</w:t>
            </w:r>
          </w:p>
        </w:tc>
        <w:tc>
          <w:tcPr>
            <w:tcW w:w="11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宋体" w:hAnsi="宋体" w:eastAsia="宋体" w:cs="宋体"/>
                <w:i w:val="0"/>
                <w:iCs w:val="0"/>
                <w:caps w:val="0"/>
                <w:color w:val="333333"/>
                <w:spacing w:val="0"/>
                <w:sz w:val="21"/>
                <w:szCs w:val="21"/>
                <w:shd w:val="clear" w:fill="FFFFFF"/>
                <w:lang w:val="en-US" w:eastAsia="zh-CN"/>
              </w:rPr>
            </w:pPr>
            <w:r>
              <w:rPr>
                <w:rFonts w:hint="eastAsia" w:ascii="宋体" w:hAnsi="宋体" w:eastAsia="宋体" w:cs="宋体"/>
                <w:i w:val="0"/>
                <w:iCs w:val="0"/>
                <w:caps w:val="0"/>
                <w:color w:val="333333"/>
                <w:spacing w:val="0"/>
                <w:sz w:val="21"/>
                <w:szCs w:val="21"/>
                <w:shd w:val="clear" w:fill="FFFFFF"/>
                <w:lang w:val="en-US" w:eastAsia="zh-CN"/>
              </w:rPr>
              <w:t>=100%</w:t>
            </w:r>
          </w:p>
        </w:tc>
        <w:tc>
          <w:tcPr>
            <w:tcW w:w="95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宋体" w:hAnsi="宋体" w:eastAsia="宋体" w:cs="宋体"/>
                <w:i w:val="0"/>
                <w:iCs w:val="0"/>
                <w:caps w:val="0"/>
                <w:color w:val="333333"/>
                <w:spacing w:val="0"/>
                <w:sz w:val="21"/>
                <w:szCs w:val="21"/>
                <w:shd w:val="clear" w:fill="FFFFFF"/>
                <w:lang w:val="en-US" w:eastAsia="zh-CN"/>
              </w:rPr>
            </w:pPr>
            <w:r>
              <w:rPr>
                <w:rFonts w:hint="eastAsia" w:ascii="宋体" w:hAnsi="宋体" w:eastAsia="宋体" w:cs="宋体"/>
                <w:i w:val="0"/>
                <w:iCs w:val="0"/>
                <w:caps w:val="0"/>
                <w:color w:val="333333"/>
                <w:spacing w:val="0"/>
                <w:sz w:val="21"/>
                <w:szCs w:val="21"/>
                <w:shd w:val="clear" w:fill="FFFFFF"/>
                <w:lang w:val="en-US" w:eastAsia="zh-CN"/>
              </w:rPr>
              <w:t>100%</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宋体" w:hAnsi="宋体" w:eastAsia="宋体" w:cs="宋体"/>
                <w:i w:val="0"/>
                <w:iCs w:val="0"/>
                <w:caps w:val="0"/>
                <w:color w:val="333333"/>
                <w:spacing w:val="0"/>
                <w:sz w:val="21"/>
                <w:szCs w:val="21"/>
                <w:shd w:val="clear" w:fill="FFFFFF"/>
                <w:lang w:val="en-US" w:eastAsia="zh-CN"/>
              </w:rPr>
            </w:pPr>
            <w:r>
              <w:rPr>
                <w:rFonts w:hint="eastAsia" w:ascii="宋体" w:hAnsi="宋体" w:eastAsia="宋体" w:cs="宋体"/>
                <w:i w:val="0"/>
                <w:iCs w:val="0"/>
                <w:caps w:val="0"/>
                <w:color w:val="333333"/>
                <w:spacing w:val="0"/>
                <w:sz w:val="21"/>
                <w:szCs w:val="21"/>
                <w:shd w:val="clear" w:fill="FFFFFF"/>
                <w:lang w:val="en-US" w:eastAsia="zh-CN"/>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eastAsia="宋体" w:cs="Times New Roman"/>
                <w:kern w:val="0"/>
                <w:sz w:val="18"/>
                <w:szCs w:val="18"/>
                <w:lang w:val="en-US" w:eastAsia="zh-CN" w:bidi="ar"/>
              </w:rPr>
            </w:pPr>
            <w:r>
              <w:rPr>
                <w:rFonts w:hint="eastAsia" w:eastAsia="宋体" w:cs="Times New Roman"/>
                <w:kern w:val="0"/>
                <w:sz w:val="18"/>
                <w:szCs w:val="18"/>
                <w:lang w:val="en-US" w:eastAsia="zh-CN" w:bidi="ar"/>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cs="Times New Roman"/>
                <w:kern w:val="0"/>
                <w:sz w:val="18"/>
                <w:szCs w:val="18"/>
                <w:lang w:val="en-US" w:eastAsia="zh-CN" w:bidi="ar"/>
              </w:rPr>
            </w:pPr>
          </w:p>
        </w:tc>
      </w:tr>
    </w:tbl>
    <w:p>
      <w:pPr>
        <w:spacing w:line="600" w:lineRule="exact"/>
        <w:rPr>
          <w:rFonts w:hint="eastAsia" w:ascii="黑体" w:hAnsi="黑体" w:eastAsia="黑体" w:cs="黑体"/>
          <w:bCs/>
          <w:sz w:val="32"/>
          <w:szCs w:val="32"/>
        </w:rPr>
        <w:sectPr>
          <w:headerReference r:id="rId3" w:type="default"/>
          <w:pgSz w:w="11906" w:h="16838"/>
          <w:pgMar w:top="1928" w:right="1531" w:bottom="1701" w:left="1531" w:header="737" w:footer="851" w:gutter="0"/>
          <w:cols w:space="720" w:num="1"/>
          <w:docGrid w:type="lines" w:linePitch="408" w:charSpace="0"/>
        </w:sectPr>
      </w:pPr>
    </w:p>
    <w:p>
      <w:pPr>
        <w:pStyle w:val="20"/>
        <w:ind w:firstLine="562"/>
        <w:jc w:val="center"/>
        <w:rPr>
          <w:sz w:val="28"/>
          <w:szCs w:val="40"/>
        </w:rPr>
      </w:pPr>
      <w:bookmarkStart w:id="20" w:name="_Toc26499_WPSOffice_Level2"/>
      <w:bookmarkStart w:id="21" w:name="_Toc30064_WPSOffice_Level1"/>
      <w:r>
        <w:rPr>
          <w:rFonts w:hint="eastAsia"/>
          <w:b/>
          <w:bCs/>
          <w:sz w:val="28"/>
          <w:szCs w:val="40"/>
        </w:rPr>
        <w:t>综保区土地补偿项目绩效评价指标体系及综合评分表</w:t>
      </w:r>
      <w:bookmarkEnd w:id="20"/>
      <w:bookmarkEnd w:id="21"/>
    </w:p>
    <w:tbl>
      <w:tblPr>
        <w:tblStyle w:val="11"/>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2"/>
        <w:gridCol w:w="764"/>
        <w:gridCol w:w="873"/>
        <w:gridCol w:w="2353"/>
        <w:gridCol w:w="519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832"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一级指标</w:t>
            </w:r>
          </w:p>
        </w:tc>
        <w:tc>
          <w:tcPr>
            <w:tcW w:w="764"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87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235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指标解释</w:t>
            </w:r>
          </w:p>
        </w:tc>
        <w:tc>
          <w:tcPr>
            <w:tcW w:w="5198"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指标说明</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136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r>
              <w:rPr>
                <w:color w:val="000000"/>
                <w:kern w:val="0"/>
                <w:sz w:val="22"/>
                <w:szCs w:val="22"/>
              </w:rPr>
              <w:t>决策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项目立项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5198"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①项目立项是否符合国家法律法规、国民经济发展规划和相关政策；</w:t>
            </w:r>
            <w:r>
              <w:rPr>
                <w:color w:val="000000"/>
                <w:kern w:val="0"/>
                <w:sz w:val="22"/>
                <w:szCs w:val="22"/>
              </w:rPr>
              <w:br w:type="textWrapping"/>
            </w:r>
            <w:r>
              <w:rPr>
                <w:color w:val="000000"/>
                <w:kern w:val="0"/>
                <w:sz w:val="22"/>
                <w:szCs w:val="22"/>
              </w:rPr>
              <w:t>②项目立项是否符合行业发展规划和政策要求；</w:t>
            </w:r>
            <w:r>
              <w:rPr>
                <w:color w:val="000000"/>
                <w:kern w:val="0"/>
                <w:sz w:val="22"/>
                <w:szCs w:val="22"/>
              </w:rPr>
              <w:br w:type="textWrapping"/>
            </w:r>
            <w:r>
              <w:rPr>
                <w:color w:val="000000"/>
                <w:kern w:val="0"/>
                <w:sz w:val="22"/>
                <w:szCs w:val="22"/>
              </w:rPr>
              <w:t>③项目立项是否与部门职责范围相符，属于部门履职所需；</w:t>
            </w:r>
            <w:r>
              <w:rPr>
                <w:color w:val="000000"/>
                <w:kern w:val="0"/>
                <w:sz w:val="22"/>
                <w:szCs w:val="22"/>
              </w:rPr>
              <w:br w:type="textWrapping"/>
            </w:r>
            <w:r>
              <w:rPr>
                <w:color w:val="000000"/>
                <w:kern w:val="0"/>
                <w:sz w:val="22"/>
                <w:szCs w:val="22"/>
              </w:rPr>
              <w:t>④项目是否属于公共财政支持范围，是否符合中央、地方事权支出责任划分原则；</w:t>
            </w:r>
            <w:r>
              <w:rPr>
                <w:color w:val="000000"/>
                <w:kern w:val="0"/>
                <w:sz w:val="22"/>
                <w:szCs w:val="22"/>
              </w:rPr>
              <w:br w:type="textWrapping"/>
            </w:r>
            <w:r>
              <w:rPr>
                <w:color w:val="000000"/>
                <w:kern w:val="0"/>
                <w:sz w:val="22"/>
                <w:szCs w:val="22"/>
              </w:rPr>
              <w:t>⑤项目是否与相关部门同类项目或部门内部相关项目重复。</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5198"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①项目是否按照规定的程序申请设立；</w:t>
            </w:r>
            <w:r>
              <w:rPr>
                <w:color w:val="000000"/>
                <w:kern w:val="0"/>
                <w:sz w:val="22"/>
                <w:szCs w:val="22"/>
              </w:rPr>
              <w:br w:type="textWrapping"/>
            </w:r>
            <w:r>
              <w:rPr>
                <w:color w:val="000000"/>
                <w:kern w:val="0"/>
                <w:sz w:val="22"/>
                <w:szCs w:val="22"/>
              </w:rPr>
              <w:t>②审批文件、材料是否符合相关要求；</w:t>
            </w:r>
            <w:r>
              <w:rPr>
                <w:color w:val="000000"/>
                <w:kern w:val="0"/>
                <w:sz w:val="22"/>
                <w:szCs w:val="22"/>
              </w:rPr>
              <w:br w:type="textWrapping"/>
            </w:r>
            <w:r>
              <w:rPr>
                <w:color w:val="000000"/>
                <w:kern w:val="0"/>
                <w:sz w:val="22"/>
                <w:szCs w:val="22"/>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5198" w:type="dxa"/>
            <w:shd w:val="clear" w:color="000000"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（如未设定预算绩效目标，也可考核其他工作任务目标）</w:t>
            </w:r>
            <w:r>
              <w:rPr>
                <w:color w:val="000000"/>
                <w:kern w:val="0"/>
                <w:sz w:val="22"/>
                <w:szCs w:val="22"/>
              </w:rPr>
              <w:br w:type="textWrapping"/>
            </w:r>
            <w:r>
              <w:rPr>
                <w:color w:val="000000"/>
                <w:kern w:val="0"/>
                <w:sz w:val="22"/>
                <w:szCs w:val="22"/>
              </w:rPr>
              <w:t>①项目是否有绩效目标；</w:t>
            </w:r>
            <w:r>
              <w:rPr>
                <w:color w:val="000000"/>
                <w:kern w:val="0"/>
                <w:sz w:val="22"/>
                <w:szCs w:val="22"/>
              </w:rPr>
              <w:br w:type="textWrapping"/>
            </w:r>
            <w:r>
              <w:rPr>
                <w:color w:val="000000"/>
                <w:kern w:val="0"/>
                <w:sz w:val="22"/>
                <w:szCs w:val="22"/>
              </w:rPr>
              <w:t>②项目绩效目标与实际工作内容是否具有相关性；</w:t>
            </w:r>
            <w:r>
              <w:rPr>
                <w:color w:val="000000"/>
                <w:kern w:val="0"/>
                <w:sz w:val="22"/>
                <w:szCs w:val="22"/>
              </w:rPr>
              <w:br w:type="textWrapping"/>
            </w:r>
            <w:r>
              <w:rPr>
                <w:color w:val="000000"/>
                <w:kern w:val="0"/>
                <w:sz w:val="22"/>
                <w:szCs w:val="22"/>
              </w:rPr>
              <w:t>③项目预期产出效益和效果是否符合正常的业绩水平；</w:t>
            </w:r>
          </w:p>
          <w:p>
            <w:pPr>
              <w:widowControl/>
              <w:spacing w:line="0" w:lineRule="atLeast"/>
              <w:jc w:val="left"/>
              <w:rPr>
                <w:color w:val="000000"/>
                <w:kern w:val="0"/>
                <w:sz w:val="22"/>
                <w:szCs w:val="22"/>
              </w:rPr>
            </w:pPr>
            <w:r>
              <w:rPr>
                <w:color w:val="000000"/>
                <w:kern w:val="0"/>
                <w:sz w:val="22"/>
                <w:szCs w:val="22"/>
              </w:rPr>
              <w:t>④是否与预算确定的项目投资额或资金量相匹配。</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①是否将项目绩效目标细化分解为具体的绩效指标；</w:t>
            </w:r>
            <w:r>
              <w:rPr>
                <w:color w:val="000000"/>
                <w:kern w:val="0"/>
                <w:sz w:val="22"/>
                <w:szCs w:val="22"/>
              </w:rPr>
              <w:br w:type="textWrapping"/>
            </w:r>
            <w:r>
              <w:rPr>
                <w:color w:val="000000"/>
                <w:kern w:val="0"/>
                <w:sz w:val="22"/>
                <w:szCs w:val="22"/>
              </w:rPr>
              <w:t>②是否通过清晰、可衡量的指标值予以体现；</w:t>
            </w:r>
            <w:r>
              <w:rPr>
                <w:color w:val="000000"/>
                <w:kern w:val="0"/>
                <w:sz w:val="22"/>
                <w:szCs w:val="22"/>
              </w:rPr>
              <w:br w:type="textWrapping"/>
            </w:r>
            <w:r>
              <w:rPr>
                <w:color w:val="000000"/>
                <w:kern w:val="0"/>
                <w:sz w:val="22"/>
                <w:szCs w:val="22"/>
              </w:rPr>
              <w:t>③是否与项目目标任务数或计划数相对应。</w:t>
            </w:r>
            <w:r>
              <w:rPr>
                <w:color w:val="000000"/>
                <w:kern w:val="0"/>
                <w:sz w:val="22"/>
                <w:szCs w:val="22"/>
              </w:rPr>
              <w:br w:type="textWrapping"/>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资金投入</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①预算编制是否经过科学论证；</w:t>
            </w:r>
            <w:r>
              <w:rPr>
                <w:color w:val="000000"/>
                <w:kern w:val="0"/>
                <w:sz w:val="22"/>
                <w:szCs w:val="22"/>
              </w:rPr>
              <w:br w:type="textWrapping"/>
            </w:r>
            <w:r>
              <w:rPr>
                <w:color w:val="000000"/>
                <w:kern w:val="0"/>
                <w:sz w:val="22"/>
                <w:szCs w:val="22"/>
              </w:rPr>
              <w:t>②预算内容与项目内容是否匹配；</w:t>
            </w:r>
            <w:r>
              <w:rPr>
                <w:color w:val="000000"/>
                <w:kern w:val="0"/>
                <w:sz w:val="22"/>
                <w:szCs w:val="22"/>
              </w:rPr>
              <w:br w:type="textWrapping"/>
            </w:r>
            <w:r>
              <w:rPr>
                <w:color w:val="000000"/>
                <w:kern w:val="0"/>
                <w:sz w:val="22"/>
                <w:szCs w:val="22"/>
              </w:rPr>
              <w:t>③预算额度测算依据是否充分，是否按照标准编制；</w:t>
            </w:r>
            <w:r>
              <w:rPr>
                <w:color w:val="000000"/>
                <w:kern w:val="0"/>
                <w:sz w:val="22"/>
                <w:szCs w:val="22"/>
              </w:rPr>
              <w:br w:type="textWrapping"/>
            </w:r>
            <w:r>
              <w:rPr>
                <w:color w:val="000000"/>
                <w:kern w:val="0"/>
                <w:sz w:val="22"/>
                <w:szCs w:val="22"/>
              </w:rPr>
              <w:t>④预算确定的项目投资额或资金量是否与工作任务相匹配。</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①预算资金分配依据是否充分；</w:t>
            </w:r>
            <w:r>
              <w:rPr>
                <w:color w:val="000000"/>
                <w:kern w:val="0"/>
                <w:sz w:val="22"/>
                <w:szCs w:val="22"/>
              </w:rPr>
              <w:br w:type="textWrapping"/>
            </w:r>
            <w:r>
              <w:rPr>
                <w:color w:val="000000"/>
                <w:kern w:val="0"/>
                <w:sz w:val="22"/>
                <w:szCs w:val="22"/>
              </w:rPr>
              <w:t>②资金分配额度是否合理，与项目单位或地方实际是否相适应。</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832" w:type="dxa"/>
            <w:vMerge w:val="restart"/>
            <w:shd w:val="clear" w:color="auto" w:fill="FFFFFF"/>
            <w:vAlign w:val="center"/>
          </w:tcPr>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r>
              <w:rPr>
                <w:color w:val="000000"/>
                <w:kern w:val="0"/>
                <w:sz w:val="22"/>
                <w:szCs w:val="22"/>
              </w:rPr>
              <w:t>过程</w:t>
            </w:r>
          </w:p>
          <w:p>
            <w:pPr>
              <w:widowControl/>
              <w:spacing w:line="0" w:lineRule="atLeast"/>
              <w:jc w:val="center"/>
              <w:rPr>
                <w:color w:val="000000"/>
                <w:kern w:val="0"/>
                <w:sz w:val="22"/>
                <w:szCs w:val="22"/>
              </w:rPr>
            </w:pPr>
            <w:r>
              <w:rPr>
                <w:color w:val="000000"/>
                <w:kern w:val="0"/>
                <w:sz w:val="22"/>
                <w:szCs w:val="22"/>
              </w:rPr>
              <w:t>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资金到位率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资金到位率=（实际到位资金/预算资金）×100%。</w:t>
            </w:r>
          </w:p>
          <w:p>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continue"/>
            <w:shd w:val="clear" w:color="auto" w:fill="FFFFFF"/>
            <w:vAlign w:val="center"/>
          </w:tcPr>
          <w:p>
            <w:pPr>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预算执行率</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预算执行率=（实际支出资金/实际到位资金）×100%。</w:t>
            </w:r>
            <w:r>
              <w:rPr>
                <w:color w:val="000000"/>
                <w:kern w:val="0"/>
                <w:sz w:val="22"/>
                <w:szCs w:val="22"/>
              </w:rPr>
              <w:br w:type="textWrapping"/>
            </w:r>
            <w:r>
              <w:rPr>
                <w:color w:val="000000"/>
                <w:kern w:val="0"/>
                <w:sz w:val="22"/>
                <w:szCs w:val="22"/>
              </w:rPr>
              <w:t>实际支出资金：一定时期（本年度或项目期）内项目实际拨付的资金。</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①是否符合国家财经法规和财务管理制度以及有关专项资金管理办法的规定；</w:t>
            </w:r>
            <w:r>
              <w:rPr>
                <w:color w:val="000000"/>
                <w:kern w:val="0"/>
                <w:sz w:val="22"/>
                <w:szCs w:val="22"/>
              </w:rPr>
              <w:br w:type="textWrapping"/>
            </w:r>
            <w:r>
              <w:rPr>
                <w:color w:val="000000"/>
                <w:kern w:val="0"/>
                <w:sz w:val="22"/>
                <w:szCs w:val="22"/>
              </w:rPr>
              <w:t>②资金的拨付是否有完整的审批程序和手续；</w:t>
            </w:r>
            <w:r>
              <w:rPr>
                <w:color w:val="000000"/>
                <w:kern w:val="0"/>
                <w:sz w:val="22"/>
                <w:szCs w:val="22"/>
              </w:rPr>
              <w:br w:type="textWrapping"/>
            </w:r>
            <w:r>
              <w:rPr>
                <w:color w:val="000000"/>
                <w:kern w:val="0"/>
                <w:sz w:val="22"/>
                <w:szCs w:val="22"/>
              </w:rPr>
              <w:t>③是否符合项目预算批复或合同规定的用途；</w:t>
            </w:r>
            <w:r>
              <w:rPr>
                <w:color w:val="000000"/>
                <w:kern w:val="0"/>
                <w:sz w:val="22"/>
                <w:szCs w:val="22"/>
              </w:rPr>
              <w:br w:type="textWrapping"/>
            </w:r>
            <w:r>
              <w:rPr>
                <w:color w:val="000000"/>
                <w:kern w:val="0"/>
                <w:sz w:val="22"/>
                <w:szCs w:val="22"/>
              </w:rPr>
              <w:t>④是否存在截留、挤占、挪用、虚列支出等情况。</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组织实施</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①是否已制定或具有相应的财务和业务管理制度；</w:t>
            </w:r>
            <w:r>
              <w:rPr>
                <w:color w:val="000000"/>
                <w:kern w:val="0"/>
                <w:sz w:val="22"/>
                <w:szCs w:val="22"/>
              </w:rPr>
              <w:br w:type="textWrapping"/>
            </w:r>
            <w:r>
              <w:rPr>
                <w:color w:val="000000"/>
                <w:kern w:val="0"/>
                <w:sz w:val="22"/>
                <w:szCs w:val="22"/>
              </w:rPr>
              <w:t>②财务和业务管理制度是否合法、合规、完整。</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①是否遵守相关法律法规和相关管理规定；</w:t>
            </w:r>
            <w:r>
              <w:rPr>
                <w:color w:val="000000"/>
                <w:kern w:val="0"/>
                <w:sz w:val="22"/>
                <w:szCs w:val="22"/>
              </w:rPr>
              <w:br w:type="textWrapping"/>
            </w:r>
            <w:r>
              <w:rPr>
                <w:color w:val="000000"/>
                <w:kern w:val="0"/>
                <w:sz w:val="22"/>
                <w:szCs w:val="22"/>
              </w:rPr>
              <w:t>②项目调整及支出调整手续是否完备；</w:t>
            </w:r>
            <w:r>
              <w:rPr>
                <w:color w:val="000000"/>
                <w:kern w:val="0"/>
                <w:sz w:val="22"/>
                <w:szCs w:val="22"/>
              </w:rPr>
              <w:br w:type="textWrapping"/>
            </w:r>
            <w:r>
              <w:rPr>
                <w:color w:val="000000"/>
                <w:kern w:val="0"/>
                <w:sz w:val="22"/>
                <w:szCs w:val="22"/>
              </w:rPr>
              <w:t>③项目合同书、验收报告、技术鉴定等资料是否齐全并及时归档；</w:t>
            </w:r>
            <w:r>
              <w:rPr>
                <w:color w:val="000000"/>
                <w:kern w:val="0"/>
                <w:sz w:val="22"/>
                <w:szCs w:val="22"/>
              </w:rPr>
              <w:br w:type="textWrapping"/>
            </w:r>
            <w:r>
              <w:rPr>
                <w:color w:val="000000"/>
                <w:kern w:val="0"/>
                <w:sz w:val="22"/>
                <w:szCs w:val="22"/>
              </w:rPr>
              <w:t>④项目实施的人员条件、场地设备、信息支撑等是否落实到位。</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产出数量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实际完成率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实际完成率=（实际产出数/计划产出数）×100%。</w:t>
            </w:r>
            <w:r>
              <w:rPr>
                <w:color w:val="000000"/>
                <w:kern w:val="0"/>
                <w:sz w:val="22"/>
                <w:szCs w:val="22"/>
              </w:rPr>
              <w:br w:type="textWrapping"/>
            </w:r>
            <w:r>
              <w:rPr>
                <w:color w:val="000000"/>
                <w:kern w:val="0"/>
                <w:sz w:val="22"/>
                <w:szCs w:val="22"/>
              </w:rPr>
              <w:t>实际产出数：一定时期（本年度或项目期）内项目实际产出的产品或提供的服务数量。</w:t>
            </w:r>
            <w:r>
              <w:rPr>
                <w:color w:val="000000"/>
                <w:kern w:val="0"/>
                <w:sz w:val="22"/>
                <w:szCs w:val="22"/>
              </w:rPr>
              <w:br w:type="textWrapping"/>
            </w:r>
            <w:r>
              <w:rPr>
                <w:color w:val="000000"/>
                <w:kern w:val="0"/>
                <w:sz w:val="22"/>
                <w:szCs w:val="22"/>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产出质量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质量达标率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质量达标率=（质量达标产出数/实际产出数）×100%。</w:t>
            </w:r>
          </w:p>
          <w:p>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shd w:val="clear" w:color="auto" w:fill="FFFFFF"/>
            <w:vAlign w:val="center"/>
          </w:tcPr>
          <w:p>
            <w:pPr>
              <w:spacing w:line="0" w:lineRule="atLeast"/>
              <w:jc w:val="center"/>
              <w:rPr>
                <w:color w:val="000000"/>
                <w:kern w:val="0"/>
                <w:sz w:val="22"/>
                <w:szCs w:val="22"/>
              </w:rPr>
            </w:pPr>
            <w:r>
              <w:rPr>
                <w:color w:val="000000"/>
                <w:kern w:val="0"/>
                <w:sz w:val="22"/>
                <w:szCs w:val="22"/>
              </w:rPr>
              <w:t>产出时效</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完成及时性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type="textWrapping"/>
            </w:r>
            <w:r>
              <w:rPr>
                <w:color w:val="000000"/>
                <w:kern w:val="0"/>
                <w:sz w:val="22"/>
                <w:szCs w:val="22"/>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产出成本</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成本节约率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br w:type="textWrapping"/>
            </w:r>
            <w:r>
              <w:rPr>
                <w:color w:val="000000"/>
                <w:kern w:val="0"/>
                <w:sz w:val="22"/>
                <w:szCs w:val="22"/>
              </w:rPr>
              <w:t>成本节约率=[（计划成本-实际成本）/计划成本]×100%。</w:t>
            </w:r>
            <w:r>
              <w:rPr>
                <w:color w:val="000000"/>
                <w:kern w:val="0"/>
                <w:sz w:val="22"/>
                <w:szCs w:val="22"/>
              </w:rPr>
              <w:br w:type="textWrapping"/>
            </w:r>
            <w:r>
              <w:rPr>
                <w:color w:val="000000"/>
                <w:kern w:val="0"/>
                <w:sz w:val="22"/>
                <w:szCs w:val="22"/>
              </w:rPr>
              <w:t>实际成本：项目实施单位如期、保质、保量完成既定工作目标实际所耗费的支出。</w:t>
            </w:r>
            <w:r>
              <w:rPr>
                <w:color w:val="000000"/>
                <w:kern w:val="0"/>
                <w:sz w:val="22"/>
                <w:szCs w:val="22"/>
              </w:rPr>
              <w:br w:type="textWrapping"/>
            </w:r>
            <w:r>
              <w:rPr>
                <w:color w:val="000000"/>
                <w:kern w:val="0"/>
                <w:sz w:val="22"/>
                <w:szCs w:val="22"/>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效益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项目效益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实施效益</w:t>
            </w:r>
          </w:p>
        </w:tc>
        <w:tc>
          <w:tcPr>
            <w:tcW w:w="2353" w:type="dxa"/>
            <w:shd w:val="clear" w:color="auto" w:fill="FFFFFF"/>
            <w:vAlign w:val="center"/>
          </w:tcPr>
          <w:p>
            <w:pPr>
              <w:widowControl/>
              <w:spacing w:line="0" w:lineRule="atLeast"/>
              <w:jc w:val="left"/>
              <w:rPr>
                <w:color w:val="000000"/>
                <w:kern w:val="0"/>
                <w:sz w:val="22"/>
                <w:szCs w:val="22"/>
              </w:rPr>
            </w:pPr>
            <w:r>
              <w:rPr>
                <w:color w:val="000000"/>
                <w:kern w:val="0"/>
                <w:sz w:val="22"/>
                <w:szCs w:val="22"/>
              </w:rPr>
              <w:t>项目实施所产生的效益。</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rFonts w:hint="default" w:eastAsia="仿宋_GB2312"/>
                <w:b/>
                <w:bCs/>
                <w:color w:val="000000"/>
                <w:kern w:val="0"/>
                <w:sz w:val="22"/>
                <w:szCs w:val="22"/>
                <w:lang w:val="en-US" w:eastAsia="zh-CN"/>
              </w:rPr>
            </w:pPr>
            <w:r>
              <w:rPr>
                <w:rFonts w:hint="eastAsia"/>
                <w:b/>
                <w:bCs/>
                <w:color w:val="000000"/>
                <w:kern w:val="0"/>
                <w:sz w:val="22"/>
                <w:szCs w:val="22"/>
                <w:lang w:val="en-US" w:eastAsia="zh-CN"/>
              </w:rPr>
              <w:t>10</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bookmarkStart w:id="22" w:name="_GoBack"/>
            <w:bookmarkEnd w:id="22"/>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满意度</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bl>
    <w:p/>
    <w:sectPr>
      <w:pgSz w:w="16838" w:h="11906" w:orient="landscape"/>
      <w:pgMar w:top="1531" w:right="1928" w:bottom="1531" w:left="170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方正小标宋_GBK">
    <w:altName w:val="微软雅黑"/>
    <w:panose1 w:val="00000000000000000000"/>
    <w:charset w:val="86"/>
    <w:family w:val="script"/>
    <w:pitch w:val="default"/>
    <w:sig w:usb0="00000000" w:usb1="00000000" w:usb2="00000000" w:usb3="00000000" w:csb0="00040000" w:csb1="00000000"/>
  </w:font>
  <w:font w:name="红豆小标宋简体">
    <w:altName w:val="宋体"/>
    <w:panose1 w:val="02000509000000000000"/>
    <w:charset w:val="86"/>
    <w:family w:val="auto"/>
    <w:pitch w:val="default"/>
    <w:sig w:usb0="00000000" w:usb1="00000000"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K">
    <w:altName w:val="微软雅黑"/>
    <w:panose1 w:val="03000509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42717433"/>
    <w:multiLevelType w:val="singleLevel"/>
    <w:tmpl w:val="42717433"/>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ZWIzNDg2MmIzZjExOTIzMmViNTBmYTMwYTk0ZWYifQ=="/>
  </w:docVars>
  <w:rsids>
    <w:rsidRoot w:val="007D49C5"/>
    <w:rsid w:val="000D63FA"/>
    <w:rsid w:val="005B64E8"/>
    <w:rsid w:val="00614288"/>
    <w:rsid w:val="00670592"/>
    <w:rsid w:val="006F0C5B"/>
    <w:rsid w:val="00792CFE"/>
    <w:rsid w:val="007D49C5"/>
    <w:rsid w:val="008175E0"/>
    <w:rsid w:val="008C631D"/>
    <w:rsid w:val="00A114ED"/>
    <w:rsid w:val="00B24331"/>
    <w:rsid w:val="01583141"/>
    <w:rsid w:val="02331ACF"/>
    <w:rsid w:val="02985677"/>
    <w:rsid w:val="04753041"/>
    <w:rsid w:val="05253FFE"/>
    <w:rsid w:val="05EA1442"/>
    <w:rsid w:val="05EF4C00"/>
    <w:rsid w:val="07175B51"/>
    <w:rsid w:val="087F780C"/>
    <w:rsid w:val="08BC746A"/>
    <w:rsid w:val="0978425B"/>
    <w:rsid w:val="0A5817B0"/>
    <w:rsid w:val="0A852A49"/>
    <w:rsid w:val="0AAB0D8C"/>
    <w:rsid w:val="0B6078D6"/>
    <w:rsid w:val="0B83223F"/>
    <w:rsid w:val="0D352B8F"/>
    <w:rsid w:val="0EF72B66"/>
    <w:rsid w:val="0F2A6BF7"/>
    <w:rsid w:val="0F775CD4"/>
    <w:rsid w:val="0FC14BAE"/>
    <w:rsid w:val="0FC42736"/>
    <w:rsid w:val="0FEF171B"/>
    <w:rsid w:val="109627EE"/>
    <w:rsid w:val="11673533"/>
    <w:rsid w:val="1254394A"/>
    <w:rsid w:val="1511727C"/>
    <w:rsid w:val="15342107"/>
    <w:rsid w:val="15EF5C0F"/>
    <w:rsid w:val="1647748F"/>
    <w:rsid w:val="17136327"/>
    <w:rsid w:val="181871E2"/>
    <w:rsid w:val="19166846"/>
    <w:rsid w:val="1CB23F00"/>
    <w:rsid w:val="1D734BE4"/>
    <w:rsid w:val="1E330453"/>
    <w:rsid w:val="1F5A46D7"/>
    <w:rsid w:val="1FB913FE"/>
    <w:rsid w:val="2005684B"/>
    <w:rsid w:val="20905E5B"/>
    <w:rsid w:val="20E92B23"/>
    <w:rsid w:val="22AC2218"/>
    <w:rsid w:val="23294AEC"/>
    <w:rsid w:val="23C45AE8"/>
    <w:rsid w:val="241F65DE"/>
    <w:rsid w:val="24942439"/>
    <w:rsid w:val="24FA320F"/>
    <w:rsid w:val="257D01AB"/>
    <w:rsid w:val="25C446D8"/>
    <w:rsid w:val="2729052F"/>
    <w:rsid w:val="286839C1"/>
    <w:rsid w:val="28C14634"/>
    <w:rsid w:val="294979F7"/>
    <w:rsid w:val="2B02304C"/>
    <w:rsid w:val="2BDC3723"/>
    <w:rsid w:val="2DF5289B"/>
    <w:rsid w:val="2E292C81"/>
    <w:rsid w:val="2E90020C"/>
    <w:rsid w:val="2EC724D4"/>
    <w:rsid w:val="2EE30257"/>
    <w:rsid w:val="34DA27CE"/>
    <w:rsid w:val="34F30A77"/>
    <w:rsid w:val="36411DC5"/>
    <w:rsid w:val="36B72533"/>
    <w:rsid w:val="371F2036"/>
    <w:rsid w:val="374D6BA3"/>
    <w:rsid w:val="3942200C"/>
    <w:rsid w:val="398F75E4"/>
    <w:rsid w:val="39FC040D"/>
    <w:rsid w:val="3B434A34"/>
    <w:rsid w:val="3CDA7DEB"/>
    <w:rsid w:val="4057649F"/>
    <w:rsid w:val="41441803"/>
    <w:rsid w:val="41D83D8B"/>
    <w:rsid w:val="422B5210"/>
    <w:rsid w:val="43FA2168"/>
    <w:rsid w:val="450B6AE4"/>
    <w:rsid w:val="46402204"/>
    <w:rsid w:val="465A3A08"/>
    <w:rsid w:val="47006F15"/>
    <w:rsid w:val="49975C78"/>
    <w:rsid w:val="4A61564B"/>
    <w:rsid w:val="4BA036EB"/>
    <w:rsid w:val="4C906F8A"/>
    <w:rsid w:val="4D4C3002"/>
    <w:rsid w:val="4DCA00AA"/>
    <w:rsid w:val="4F431AEF"/>
    <w:rsid w:val="4F784322"/>
    <w:rsid w:val="51620E39"/>
    <w:rsid w:val="517843C5"/>
    <w:rsid w:val="526B2619"/>
    <w:rsid w:val="526C2374"/>
    <w:rsid w:val="52FA43F4"/>
    <w:rsid w:val="54873A1A"/>
    <w:rsid w:val="55361E7A"/>
    <w:rsid w:val="5593592A"/>
    <w:rsid w:val="5648322B"/>
    <w:rsid w:val="56796849"/>
    <w:rsid w:val="568F383B"/>
    <w:rsid w:val="5A3F1305"/>
    <w:rsid w:val="5A447B1B"/>
    <w:rsid w:val="5A7E449A"/>
    <w:rsid w:val="5ACB22C3"/>
    <w:rsid w:val="5ADA7F5E"/>
    <w:rsid w:val="5B0E18F6"/>
    <w:rsid w:val="5C9F1D17"/>
    <w:rsid w:val="5D555EEF"/>
    <w:rsid w:val="5DA95371"/>
    <w:rsid w:val="5EC576F8"/>
    <w:rsid w:val="60155ECF"/>
    <w:rsid w:val="61333D7C"/>
    <w:rsid w:val="631127C2"/>
    <w:rsid w:val="634C3904"/>
    <w:rsid w:val="636E2458"/>
    <w:rsid w:val="63B975DC"/>
    <w:rsid w:val="6715219E"/>
    <w:rsid w:val="676E078A"/>
    <w:rsid w:val="67B0620F"/>
    <w:rsid w:val="686F7714"/>
    <w:rsid w:val="6A2E3D63"/>
    <w:rsid w:val="6A485757"/>
    <w:rsid w:val="6A607B4F"/>
    <w:rsid w:val="6A862BA8"/>
    <w:rsid w:val="6CBF47ED"/>
    <w:rsid w:val="6D88182A"/>
    <w:rsid w:val="6DFC1C65"/>
    <w:rsid w:val="6ECD076C"/>
    <w:rsid w:val="70F058CE"/>
    <w:rsid w:val="723B4468"/>
    <w:rsid w:val="73027B3B"/>
    <w:rsid w:val="7304598C"/>
    <w:rsid w:val="73E0718F"/>
    <w:rsid w:val="74C91020"/>
    <w:rsid w:val="75FA041F"/>
    <w:rsid w:val="760F49BD"/>
    <w:rsid w:val="76226F7A"/>
    <w:rsid w:val="76D658C7"/>
    <w:rsid w:val="76E870A0"/>
    <w:rsid w:val="787726A5"/>
    <w:rsid w:val="79FD1EC4"/>
    <w:rsid w:val="7AE40DD7"/>
    <w:rsid w:val="7F6F47AA"/>
    <w:rsid w:val="7FDC0581"/>
    <w:rsid w:val="7FEC59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5">
    <w:name w:val="Normal Indent"/>
    <w:basedOn w:val="1"/>
    <w:qFormat/>
    <w:uiPriority w:val="0"/>
    <w:pPr>
      <w:ind w:firstLine="420" w:firstLineChars="200"/>
    </w:pPr>
  </w:style>
  <w:style w:type="paragraph" w:styleId="6">
    <w:name w:val="annotation text"/>
    <w:basedOn w:val="1"/>
    <w:qFormat/>
    <w:uiPriority w:val="0"/>
    <w:pPr>
      <w:jc w:val="left"/>
    </w:pPr>
  </w:style>
  <w:style w:type="paragraph" w:styleId="7">
    <w:name w:val="footer"/>
    <w:basedOn w:val="1"/>
    <w:link w:val="19"/>
    <w:semiHidden/>
    <w:unhideWhenUsed/>
    <w:qFormat/>
    <w:uiPriority w:val="99"/>
    <w:pPr>
      <w:tabs>
        <w:tab w:val="center" w:pos="4153"/>
        <w:tab w:val="right" w:pos="8306"/>
      </w:tabs>
      <w:snapToGrid w:val="0"/>
      <w:jc w:val="left"/>
    </w:pPr>
    <w:rPr>
      <w:sz w:val="18"/>
      <w:szCs w:val="18"/>
    </w:rPr>
  </w:style>
  <w:style w:type="paragraph" w:styleId="8">
    <w:name w:val="header"/>
    <w:basedOn w:val="1"/>
    <w:link w:val="1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10">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13">
    <w:name w:val="Strong"/>
    <w:qFormat/>
    <w:uiPriority w:val="0"/>
    <w:rPr>
      <w:b/>
      <w:bCs/>
    </w:rPr>
  </w:style>
  <w:style w:type="character" w:styleId="14">
    <w:name w:val="Hyperlink"/>
    <w:basedOn w:val="12"/>
    <w:unhideWhenUsed/>
    <w:qFormat/>
    <w:uiPriority w:val="99"/>
    <w:rPr>
      <w:color w:val="0563C1" w:themeColor="hyperlink"/>
      <w:u w:val="single"/>
      <w14:textFill>
        <w14:solidFill>
          <w14:schemeClr w14:val="hlink"/>
        </w14:solidFill>
      </w14:textFill>
    </w:rPr>
  </w:style>
  <w:style w:type="character" w:customStyle="1" w:styleId="15">
    <w:name w:val="标题 1 Char"/>
    <w:basedOn w:val="12"/>
    <w:link w:val="3"/>
    <w:qFormat/>
    <w:uiPriority w:val="9"/>
    <w:rPr>
      <w:rFonts w:ascii="Times New Roman" w:hAnsi="Times New Roman" w:eastAsia="仿宋_GB2312" w:cs="Times New Roman"/>
      <w:b/>
      <w:bCs/>
      <w:kern w:val="44"/>
      <w:sz w:val="44"/>
      <w:szCs w:val="44"/>
    </w:rPr>
  </w:style>
  <w:style w:type="character" w:customStyle="1" w:styleId="16">
    <w:name w:val="标题 2 Char"/>
    <w:basedOn w:val="12"/>
    <w:link w:val="4"/>
    <w:qFormat/>
    <w:uiPriority w:val="9"/>
    <w:rPr>
      <w:rFonts w:asciiTheme="majorHAnsi" w:hAnsiTheme="majorHAnsi" w:eastAsiaTheme="majorEastAsia" w:cstheme="majorBidi"/>
      <w:b/>
      <w:bCs/>
      <w:sz w:val="32"/>
      <w:szCs w:val="32"/>
    </w:rPr>
  </w:style>
  <w:style w:type="paragraph" w:customStyle="1" w:styleId="17">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8">
    <w:name w:val="页眉 Char"/>
    <w:basedOn w:val="12"/>
    <w:link w:val="8"/>
    <w:semiHidden/>
    <w:qFormat/>
    <w:uiPriority w:val="99"/>
    <w:rPr>
      <w:rFonts w:ascii="Times New Roman" w:hAnsi="Times New Roman" w:eastAsia="仿宋_GB2312" w:cs="Times New Roman"/>
      <w:sz w:val="18"/>
      <w:szCs w:val="18"/>
    </w:rPr>
  </w:style>
  <w:style w:type="character" w:customStyle="1" w:styleId="19">
    <w:name w:val="页脚 Char"/>
    <w:basedOn w:val="12"/>
    <w:link w:val="7"/>
    <w:semiHidden/>
    <w:qFormat/>
    <w:uiPriority w:val="99"/>
    <w:rPr>
      <w:rFonts w:ascii="Times New Roman" w:hAnsi="Times New Roman" w:eastAsia="仿宋_GB2312" w:cs="Times New Roman"/>
      <w:sz w:val="18"/>
      <w:szCs w:val="18"/>
    </w:rPr>
  </w:style>
  <w:style w:type="paragraph" w:customStyle="1" w:styleId="20">
    <w:name w:val="闻政-正文段落文字"/>
    <w:basedOn w:val="1"/>
    <w:qFormat/>
    <w:uiPriority w:val="3"/>
    <w:pPr>
      <w:spacing w:line="500" w:lineRule="exact"/>
      <w:ind w:firstLine="200"/>
    </w:pPr>
    <w:rPr>
      <w:kern w:val="0"/>
      <w:szCs w:val="28"/>
    </w:rPr>
  </w:style>
  <w:style w:type="paragraph" w:customStyle="1" w:styleId="21">
    <w:name w:val="_Style 20"/>
    <w:basedOn w:val="1"/>
    <w:next w:val="1"/>
    <w:qFormat/>
    <w:uiPriority w:val="0"/>
    <w:pPr>
      <w:pBdr>
        <w:bottom w:val="single" w:color="auto" w:sz="6" w:space="1"/>
      </w:pBdr>
      <w:jc w:val="center"/>
    </w:pPr>
    <w:rPr>
      <w:rFonts w:ascii="Arial" w:eastAsia="宋体"/>
      <w:vanish/>
      <w:sz w:val="16"/>
    </w:rPr>
  </w:style>
  <w:style w:type="paragraph" w:customStyle="1" w:styleId="22">
    <w:name w:val="_Style 21"/>
    <w:basedOn w:val="1"/>
    <w:next w:val="1"/>
    <w:qFormat/>
    <w:uiPriority w:val="0"/>
    <w:pPr>
      <w:pBdr>
        <w:top w:val="single" w:color="auto" w:sz="6" w:space="1"/>
      </w:pBdr>
      <w:jc w:val="center"/>
    </w:pPr>
    <w:rPr>
      <w:rFonts w:ascii="Arial" w:eastAsia="宋体"/>
      <w:vanish/>
      <w:sz w:val="1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8914</Words>
  <Characters>9225</Characters>
  <Lines>37</Lines>
  <Paragraphs>10</Paragraphs>
  <TotalTime>3</TotalTime>
  <ScaleCrop>false</ScaleCrop>
  <LinksUpToDate>false</LinksUpToDate>
  <CharactersWithSpaces>9333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Administrator</cp:lastModifiedBy>
  <dcterms:modified xsi:type="dcterms:W3CDTF">2024-06-11T09:31:13Z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EDF1E2790C2A4BF6AA9CD2CE733674D1</vt:lpwstr>
  </property>
</Properties>
</file>