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color w:val="auto"/>
          <w:sz w:val="48"/>
          <w:szCs w:val="48"/>
        </w:rPr>
      </w:pPr>
    </w:p>
    <w:p>
      <w:pPr>
        <w:jc w:val="center"/>
        <w:rPr>
          <w:rFonts w:hint="default" w:ascii="Times New Roman" w:hAnsi="Times New Roman" w:eastAsia="宋体" w:cs="Times New Roman"/>
          <w:b/>
          <w:bCs/>
          <w:color w:val="auto"/>
          <w:sz w:val="48"/>
          <w:szCs w:val="48"/>
        </w:rPr>
      </w:pPr>
    </w:p>
    <w:p>
      <w:pPr>
        <w:jc w:val="center"/>
        <w:rPr>
          <w:rFonts w:hint="default" w:ascii="Times New Roman" w:hAnsi="Times New Roman" w:eastAsia="方正小标宋简体" w:cs="Times New Roman"/>
          <w:b/>
          <w:bCs/>
          <w:sz w:val="48"/>
          <w:szCs w:val="48"/>
        </w:rPr>
      </w:pPr>
    </w:p>
    <w:p>
      <w:pPr>
        <w:pStyle w:val="5"/>
        <w:keepNext w:val="0"/>
        <w:keepLines w:val="0"/>
        <w:widowControl/>
        <w:suppressLineNumbers w:val="0"/>
        <w:shd w:val="clear" w:fill="FFFFFF"/>
        <w:spacing w:before="0" w:beforeAutospacing="0" w:after="0" w:afterAutospacing="0" w:line="21" w:lineRule="atLeast"/>
        <w:ind w:left="0" w:right="0" w:firstLine="0"/>
        <w:jc w:val="center"/>
        <w:rPr>
          <w:rFonts w:hint="default" w:ascii="Times New Roman" w:hAnsi="Times New Roman" w:eastAsia="方正小标宋简体" w:cs="Times New Roman"/>
          <w:b/>
          <w:bCs/>
          <w:sz w:val="48"/>
          <w:szCs w:val="48"/>
        </w:rPr>
      </w:pPr>
      <w:r>
        <w:rPr>
          <w:rFonts w:hint="default" w:ascii="Times New Roman" w:hAnsi="Times New Roman" w:eastAsia="方正小标宋简体" w:cs="Times New Roman"/>
          <w:b/>
          <w:bCs/>
          <w:kern w:val="2"/>
          <w:sz w:val="48"/>
          <w:szCs w:val="48"/>
          <w:lang w:val="en-US" w:eastAsia="zh-CN" w:bidi="ar-SA"/>
        </w:rPr>
        <w:t>招商引资服务资金</w:t>
      </w:r>
      <w:r>
        <w:rPr>
          <w:rFonts w:hint="default" w:ascii="Times New Roman" w:hAnsi="Times New Roman" w:eastAsia="方正小标宋简体" w:cs="Times New Roman"/>
          <w:b/>
          <w:bCs/>
          <w:sz w:val="48"/>
          <w:szCs w:val="48"/>
        </w:rPr>
        <w:t>项目支出绩效评价报告</w:t>
      </w:r>
    </w:p>
    <w:p>
      <w:pPr>
        <w:jc w:val="center"/>
        <w:rPr>
          <w:rFonts w:hint="default" w:ascii="Times New Roman" w:hAnsi="Times New Roman" w:eastAsia="宋体" w:cs="Times New Roman"/>
          <w:b/>
          <w:bCs/>
          <w:color w:val="auto"/>
          <w:sz w:val="48"/>
          <w:szCs w:val="48"/>
        </w:rPr>
      </w:pPr>
    </w:p>
    <w:p>
      <w:pPr>
        <w:widowControl/>
        <w:spacing w:line="560" w:lineRule="exact"/>
        <w:jc w:val="center"/>
        <w:rPr>
          <w:rFonts w:hint="default" w:ascii="Times New Roman" w:hAnsi="Times New Roman" w:cs="Times New Roman"/>
          <w:b/>
          <w:color w:val="auto"/>
          <w:kern w:val="0"/>
          <w:sz w:val="50"/>
          <w:szCs w:val="50"/>
          <w:lang w:bidi="en-US"/>
        </w:rPr>
      </w:pPr>
      <w:r>
        <w:rPr>
          <w:rFonts w:hint="default" w:ascii="Times New Roman" w:hAnsi="Times New Roman" w:eastAsia="红豆小标宋简体" w:cs="Times New Roman"/>
          <w:color w:val="auto"/>
          <w:kern w:val="0"/>
          <w:sz w:val="36"/>
          <w:szCs w:val="36"/>
        </w:rPr>
        <w:t>（202</w:t>
      </w:r>
      <w:r>
        <w:rPr>
          <w:rFonts w:hint="default" w:ascii="Times New Roman" w:hAnsi="Times New Roman" w:eastAsia="红豆小标宋简体" w:cs="Times New Roman"/>
          <w:color w:val="auto"/>
          <w:kern w:val="0"/>
          <w:sz w:val="36"/>
          <w:szCs w:val="36"/>
          <w:lang w:val="en-US" w:eastAsia="zh-CN"/>
        </w:rPr>
        <w:t>3</w:t>
      </w:r>
      <w:r>
        <w:rPr>
          <w:rFonts w:hint="default" w:ascii="Times New Roman" w:hAnsi="Times New Roman" w:eastAsia="红豆小标宋简体" w:cs="Times New Roman"/>
          <w:color w:val="auto"/>
          <w:kern w:val="0"/>
          <w:sz w:val="36"/>
          <w:szCs w:val="36"/>
        </w:rPr>
        <w:t>年度）</w:t>
      </w: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560" w:lineRule="exact"/>
        <w:ind w:firstLine="321" w:firstLineChars="100"/>
        <w:jc w:val="both"/>
        <w:rPr>
          <w:rFonts w:hint="default" w:ascii="Times New Roman" w:hAnsi="Times New Roman" w:eastAsia="宋体" w:cs="Times New Roman"/>
          <w:b/>
          <w:bCs/>
          <w:color w:val="auto"/>
          <w:kern w:val="0"/>
          <w:sz w:val="32"/>
          <w:szCs w:val="32"/>
          <w:lang w:eastAsia="zh-CN"/>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项目名称：</w:t>
      </w:r>
      <w:r>
        <w:rPr>
          <w:rFonts w:hint="default" w:ascii="Times New Roman" w:hAnsi="Times New Roman" w:eastAsia="宋体" w:cs="Times New Roman"/>
          <w:b/>
          <w:bCs/>
          <w:color w:val="auto"/>
          <w:kern w:val="0"/>
          <w:sz w:val="32"/>
          <w:szCs w:val="32"/>
          <w:lang w:val="en-US" w:eastAsia="zh-CN"/>
        </w:rPr>
        <w:t>招商引资服务资金</w:t>
      </w:r>
      <w:r>
        <w:rPr>
          <w:rFonts w:hint="default" w:ascii="Times New Roman" w:hAnsi="Times New Roman" w:eastAsia="宋体" w:cs="Times New Roman"/>
          <w:b/>
          <w:bCs/>
          <w:color w:val="auto"/>
          <w:kern w:val="0"/>
          <w:sz w:val="32"/>
          <w:szCs w:val="32"/>
          <w:lang w:eastAsia="zh-CN"/>
        </w:rPr>
        <w:t>项目</w:t>
      </w:r>
    </w:p>
    <w:p>
      <w:pPr>
        <w:spacing w:line="560" w:lineRule="exact"/>
        <w:jc w:val="both"/>
        <w:rPr>
          <w:rFonts w:hint="eastAsia" w:eastAsia="宋体" w:cs="Times New Roman"/>
          <w:b/>
          <w:bCs/>
          <w:color w:val="auto"/>
          <w:kern w:val="0"/>
          <w:sz w:val="32"/>
          <w:szCs w:val="32"/>
          <w:lang w:eastAsia="zh-CN"/>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实施单位（公章）：</w:t>
      </w:r>
      <w:r>
        <w:rPr>
          <w:rFonts w:hint="default" w:ascii="Times New Roman" w:hAnsi="Times New Roman" w:eastAsia="宋体" w:cs="Times New Roman"/>
          <w:b/>
          <w:bCs/>
          <w:color w:val="auto"/>
          <w:kern w:val="0"/>
          <w:sz w:val="32"/>
          <w:szCs w:val="32"/>
          <w:lang w:eastAsia="zh-CN"/>
        </w:rPr>
        <w:t>霍尔果斯市</w:t>
      </w:r>
      <w:r>
        <w:rPr>
          <w:rFonts w:hint="eastAsia" w:eastAsia="宋体" w:cs="Times New Roman"/>
          <w:b/>
          <w:bCs/>
          <w:color w:val="auto"/>
          <w:kern w:val="0"/>
          <w:sz w:val="32"/>
          <w:szCs w:val="32"/>
          <w:lang w:eastAsia="zh-CN"/>
        </w:rPr>
        <w:t>招商局</w:t>
      </w:r>
    </w:p>
    <w:p>
      <w:pPr>
        <w:spacing w:line="560" w:lineRule="exact"/>
        <w:jc w:val="both"/>
        <w:rPr>
          <w:rFonts w:hint="default" w:ascii="Times New Roman" w:hAnsi="Times New Roman" w:eastAsia="宋体" w:cs="Times New Roman"/>
          <w:color w:val="auto"/>
          <w:kern w:val="0"/>
          <w:sz w:val="32"/>
          <w:szCs w:val="32"/>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主管部门（公章）：</w:t>
      </w:r>
      <w:r>
        <w:rPr>
          <w:rFonts w:hint="default" w:ascii="Times New Roman" w:hAnsi="Times New Roman" w:eastAsia="宋体" w:cs="Times New Roman"/>
          <w:b/>
          <w:bCs/>
          <w:color w:val="auto"/>
          <w:kern w:val="0"/>
          <w:sz w:val="32"/>
          <w:szCs w:val="32"/>
          <w:lang w:eastAsia="zh-CN"/>
        </w:rPr>
        <w:t>霍尔果斯市</w:t>
      </w:r>
      <w:r>
        <w:rPr>
          <w:rFonts w:hint="eastAsia" w:eastAsia="宋体" w:cs="Times New Roman"/>
          <w:b/>
          <w:bCs/>
          <w:color w:val="auto"/>
          <w:kern w:val="0"/>
          <w:sz w:val="32"/>
          <w:szCs w:val="32"/>
          <w:lang w:eastAsia="zh-CN"/>
        </w:rPr>
        <w:t>招商局</w:t>
      </w:r>
    </w:p>
    <w:p>
      <w:pPr>
        <w:spacing w:line="560" w:lineRule="exact"/>
        <w:ind w:firstLine="321" w:firstLineChars="100"/>
        <w:jc w:val="both"/>
        <w:rPr>
          <w:rFonts w:hint="eastAsia" w:eastAsia="宋体" w:cs="Times New Roman"/>
          <w:b/>
          <w:bCs/>
          <w:color w:val="auto"/>
          <w:kern w:val="0"/>
          <w:sz w:val="32"/>
          <w:szCs w:val="32"/>
          <w:lang w:eastAsia="zh-CN"/>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项目负责人（签章）</w:t>
      </w:r>
      <w:r>
        <w:rPr>
          <w:rFonts w:hint="eastAsia" w:eastAsia="宋体" w:cs="Times New Roman"/>
          <w:b/>
          <w:bCs/>
          <w:color w:val="auto"/>
          <w:kern w:val="0"/>
          <w:sz w:val="32"/>
          <w:szCs w:val="32"/>
          <w:lang w:eastAsia="zh-CN"/>
        </w:rPr>
        <w:t>周伟</w:t>
      </w:r>
    </w:p>
    <w:p>
      <w:pPr>
        <w:spacing w:line="560" w:lineRule="exact"/>
        <w:ind w:firstLine="321" w:firstLineChars="100"/>
        <w:jc w:val="both"/>
        <w:rPr>
          <w:rFonts w:hint="default" w:ascii="Times New Roman" w:hAnsi="Times New Roman" w:eastAsia="宋体" w:cs="Times New Roman"/>
          <w:color w:val="auto"/>
          <w:kern w:val="0"/>
          <w:sz w:val="32"/>
          <w:szCs w:val="32"/>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填报时间：</w:t>
      </w:r>
      <w:r>
        <w:rPr>
          <w:rFonts w:hint="default" w:ascii="Times New Roman" w:hAnsi="Times New Roman" w:eastAsia="宋体" w:cs="Times New Roman"/>
          <w:b/>
          <w:bCs/>
          <w:color w:val="auto"/>
          <w:kern w:val="0"/>
          <w:sz w:val="36"/>
          <w:szCs w:val="36"/>
          <w:lang w:eastAsia="zh-CN"/>
        </w:rPr>
        <w:t>202</w:t>
      </w:r>
      <w:r>
        <w:rPr>
          <w:rFonts w:hint="default" w:ascii="Times New Roman" w:hAnsi="Times New Roman" w:eastAsia="宋体" w:cs="Times New Roman"/>
          <w:b/>
          <w:bCs/>
          <w:color w:val="auto"/>
          <w:kern w:val="0"/>
          <w:sz w:val="36"/>
          <w:szCs w:val="36"/>
          <w:lang w:val="en-US" w:eastAsia="zh-CN"/>
        </w:rPr>
        <w:t>4</w:t>
      </w:r>
      <w:r>
        <w:rPr>
          <w:rFonts w:hint="default" w:ascii="Times New Roman" w:hAnsi="Times New Roman" w:eastAsia="宋体" w:cs="Times New Roman"/>
          <w:b/>
          <w:bCs/>
          <w:color w:val="auto"/>
          <w:kern w:val="0"/>
          <w:sz w:val="36"/>
          <w:szCs w:val="36"/>
          <w:lang w:eastAsia="zh-CN"/>
        </w:rPr>
        <w:t xml:space="preserve">年 </w:t>
      </w:r>
      <w:r>
        <w:rPr>
          <w:rFonts w:hint="default" w:ascii="Times New Roman" w:hAnsi="Times New Roman" w:eastAsia="宋体" w:cs="Times New Roman"/>
          <w:b/>
          <w:bCs/>
          <w:color w:val="auto"/>
          <w:kern w:val="0"/>
          <w:sz w:val="36"/>
          <w:szCs w:val="36"/>
          <w:lang w:val="en-US" w:eastAsia="zh-CN"/>
        </w:rPr>
        <w:t>4</w:t>
      </w:r>
      <w:r>
        <w:rPr>
          <w:rFonts w:hint="default" w:ascii="Times New Roman" w:hAnsi="Times New Roman" w:eastAsia="宋体" w:cs="Times New Roman"/>
          <w:b/>
          <w:bCs/>
          <w:color w:val="auto"/>
          <w:kern w:val="0"/>
          <w:sz w:val="36"/>
          <w:szCs w:val="36"/>
          <w:lang w:eastAsia="zh-CN"/>
        </w:rPr>
        <w:t>月</w:t>
      </w:r>
      <w:r>
        <w:rPr>
          <w:rFonts w:hint="default" w:ascii="Times New Roman" w:hAnsi="Times New Roman" w:eastAsia="宋体" w:cs="Times New Roman"/>
          <w:b/>
          <w:bCs/>
          <w:color w:val="auto"/>
          <w:kern w:val="0"/>
          <w:sz w:val="36"/>
          <w:szCs w:val="36"/>
          <w:lang w:val="en-US" w:eastAsia="zh-CN"/>
        </w:rPr>
        <w:t>9</w:t>
      </w:r>
      <w:r>
        <w:rPr>
          <w:rFonts w:hint="default" w:ascii="Times New Roman" w:hAnsi="Times New Roman" w:eastAsia="宋体" w:cs="Times New Roman"/>
          <w:b/>
          <w:bCs/>
          <w:color w:val="auto"/>
          <w:kern w:val="0"/>
          <w:sz w:val="36"/>
          <w:szCs w:val="36"/>
          <w:lang w:eastAsia="zh-CN"/>
        </w:rPr>
        <w:t>日</w:t>
      </w:r>
    </w:p>
    <w:p>
      <w:pPr>
        <w:widowControl/>
        <w:jc w:val="left"/>
        <w:rPr>
          <w:rFonts w:hint="default" w:ascii="Times New Roman" w:hAnsi="Times New Roman" w:eastAsia="宋体" w:cs="Times New Roman"/>
          <w:b/>
          <w:bCs/>
          <w:color w:val="auto"/>
          <w:sz w:val="36"/>
          <w:szCs w:val="36"/>
        </w:rPr>
      </w:pPr>
      <w:r>
        <w:rPr>
          <w:rFonts w:hint="default" w:ascii="Times New Roman" w:hAnsi="Times New Roman" w:eastAsia="宋体" w:cs="Times New Roman"/>
          <w:b/>
          <w:bCs/>
          <w:color w:val="auto"/>
          <w:sz w:val="36"/>
          <w:szCs w:val="36"/>
        </w:rPr>
        <w:br w:type="page"/>
      </w:r>
    </w:p>
    <w:p>
      <w:pPr>
        <w:numPr>
          <w:ilvl w:val="0"/>
          <w:numId w:val="1"/>
        </w:numPr>
        <w:spacing w:line="560" w:lineRule="exact"/>
        <w:rPr>
          <w:rFonts w:hint="default" w:ascii="Times New Roman" w:hAnsi="Times New Roman" w:eastAsia="黑体" w:cs="Times New Roman"/>
          <w:bCs/>
          <w:color w:val="auto"/>
          <w:sz w:val="32"/>
          <w:szCs w:val="32"/>
        </w:rPr>
      </w:pPr>
      <w:bookmarkStart w:id="0" w:name="_Toc68703827"/>
      <w:r>
        <w:rPr>
          <w:rFonts w:hint="default" w:ascii="Times New Roman" w:hAnsi="Times New Roman" w:eastAsia="黑体" w:cs="Times New Roman"/>
          <w:bCs/>
          <w:color w:val="auto"/>
          <w:sz w:val="32"/>
          <w:szCs w:val="32"/>
        </w:rPr>
        <w:t>基本情况</w:t>
      </w:r>
      <w:bookmarkEnd w:id="0"/>
      <w:bookmarkStart w:id="1" w:name="_Toc68703828"/>
    </w:p>
    <w:p>
      <w:pPr>
        <w:numPr>
          <w:ilvl w:val="0"/>
          <w:numId w:val="0"/>
        </w:numPr>
        <w:spacing w:line="560" w:lineRule="exact"/>
        <w:rPr>
          <w:rFonts w:hint="default" w:ascii="Times New Roman" w:hAnsi="Times New Roman" w:eastAsia="楷体_GB2312" w:cs="Times New Roman"/>
          <w:b/>
          <w:bCs/>
          <w:color w:val="auto"/>
          <w:sz w:val="32"/>
          <w:szCs w:val="32"/>
          <w:lang w:eastAsia="zh-CN"/>
        </w:rPr>
      </w:pPr>
      <w:r>
        <w:rPr>
          <w:rFonts w:hint="default" w:ascii="Times New Roman" w:hAnsi="Times New Roman" w:eastAsia="楷体_GB2312" w:cs="Times New Roman"/>
          <w:b/>
          <w:bCs/>
          <w:color w:val="auto"/>
          <w:sz w:val="32"/>
          <w:szCs w:val="32"/>
          <w:lang w:eastAsia="zh-CN"/>
        </w:rPr>
        <w:t>（一）</w:t>
      </w:r>
      <w:r>
        <w:rPr>
          <w:rFonts w:hint="default" w:ascii="Times New Roman" w:hAnsi="Times New Roman" w:eastAsia="楷体_GB2312" w:cs="Times New Roman"/>
          <w:b/>
          <w:bCs/>
          <w:color w:val="auto"/>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cs="Times New Roman"/>
          <w:b w:val="0"/>
          <w:bCs w:val="0"/>
          <w:color w:val="auto"/>
          <w:sz w:val="32"/>
          <w:szCs w:val="32"/>
          <w:lang w:val="en-US" w:eastAsia="zh-CN"/>
        </w:rPr>
        <w:t>　</w:t>
      </w:r>
      <w:r>
        <w:rPr>
          <w:rFonts w:hint="default" w:ascii="Times New Roman" w:hAnsi="Times New Roman" w:eastAsia="仿宋_GB2312" w:cs="Times New Roman"/>
          <w:b w:val="0"/>
          <w:bCs w:val="0"/>
          <w:color w:val="auto"/>
          <w:sz w:val="32"/>
          <w:szCs w:val="32"/>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eastAsia" w:ascii="Times New Roman" w:hAnsi="Times New Roman" w:cs="Times New Roman"/>
          <w:color w:val="auto"/>
          <w:sz w:val="32"/>
          <w:szCs w:val="32"/>
        </w:rPr>
        <w:t>霍尔果斯口岸是古丝绸之路的重要驿站，1881年正式通关，是我国最早向西开放的口岸。2005年中哈两国正式签署《关于霍尔果斯国际边境合作中心活动管理的协定》，2006年国务院正式批复设立，2012年4月正式封关运营，实行一线放开、二线管住的“境内关外”管理模式。招商引资是地方政府发展经济的重要手段之一，是实现地区经济转型重要动力。为持续加大霍尔果斯市招商引资工作力度，霍尔果斯经济开发区（市）投资促进服务中心围绕重点产业和重点项目主动出击，坚持“走出去”与“请进来”相结合，全方位、多渠道选商引资。</w:t>
      </w:r>
      <w:r>
        <w:rPr>
          <w:rFonts w:hint="default" w:ascii="Times New Roman" w:hAnsi="Times New Roman" w:cs="Times New Roman"/>
          <w:color w:val="auto"/>
          <w:sz w:val="32"/>
          <w:szCs w:val="32"/>
        </w:rPr>
        <w:t>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cs="Times New Roman"/>
          <w:b w:val="0"/>
          <w:bCs w:val="0"/>
          <w:color w:val="auto"/>
          <w:sz w:val="32"/>
          <w:szCs w:val="32"/>
          <w:lang w:eastAsia="zh-CN"/>
        </w:rPr>
        <w:t>　</w:t>
      </w:r>
      <w:r>
        <w:rPr>
          <w:rFonts w:hint="default" w:ascii="Times New Roman" w:hAnsi="Times New Roman" w:eastAsia="仿宋_GB2312" w:cs="Times New Roman"/>
          <w:b w:val="0"/>
          <w:bCs w:val="0"/>
          <w:color w:val="auto"/>
          <w:sz w:val="32"/>
          <w:szCs w:val="32"/>
          <w:lang w:eastAsia="zh-CN"/>
        </w:rPr>
        <w:t>2</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cs="Times New Roman"/>
          <w:color w:val="auto"/>
          <w:sz w:val="32"/>
          <w:szCs w:val="32"/>
        </w:rPr>
        <w:t>主要内容：</w:t>
      </w:r>
      <w:r>
        <w:rPr>
          <w:rFonts w:hint="eastAsia" w:ascii="Times New Roman" w:hAnsi="Times New Roman" w:eastAsia="仿宋_GB2312" w:cs="Times New Roman"/>
          <w:color w:val="auto"/>
          <w:sz w:val="32"/>
          <w:szCs w:val="32"/>
        </w:rPr>
        <w:t>为进一步做好霍尔果斯经济开发区（市）招商引资和各类招商引资和各类招商活动的组织策划，投资环境及对外招商项目的推介，做好来霍尔果斯投资企业协调服务和对外区域经济合作推进。</w:t>
      </w:r>
    </w:p>
    <w:p>
      <w:pPr>
        <w:spacing w:line="560" w:lineRule="exact"/>
        <w:ind w:firstLine="640" w:firstLineChars="200"/>
        <w:rPr>
          <w:rFonts w:hint="default" w:ascii="Times New Roman" w:hAnsi="Times New Roman" w:cs="Times New Roman"/>
          <w:color w:val="auto"/>
        </w:rPr>
      </w:pPr>
      <w:r>
        <w:rPr>
          <w:rFonts w:hint="default" w:ascii="Times New Roman" w:hAnsi="Times New Roman" w:cs="Times New Roman"/>
          <w:color w:val="auto"/>
          <w:sz w:val="32"/>
          <w:szCs w:val="32"/>
        </w:rPr>
        <w:t>实施情况：</w:t>
      </w:r>
      <w:r>
        <w:rPr>
          <w:rFonts w:hint="default" w:ascii="Times New Roman" w:hAnsi="Times New Roman" w:eastAsia="仿宋_GB2312" w:cs="Times New Roman"/>
          <w:color w:val="auto"/>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val="0"/>
          <w:color w:val="auto"/>
          <w:sz w:val="32"/>
          <w:szCs w:val="32"/>
          <w:lang w:eastAsia="zh-CN"/>
        </w:rPr>
      </w:pPr>
      <w:r>
        <w:rPr>
          <w:rFonts w:hint="default" w:ascii="Times New Roman" w:hAnsi="Times New Roman" w:cs="Times New Roman"/>
          <w:b w:val="0"/>
          <w:bCs w:val="0"/>
          <w:color w:val="auto"/>
          <w:sz w:val="32"/>
          <w:szCs w:val="32"/>
          <w:lang w:eastAsia="zh-CN"/>
        </w:rPr>
        <w:t>　3</w:t>
      </w:r>
      <w:r>
        <w:rPr>
          <w:rFonts w:hint="default" w:ascii="Times New Roman" w:hAnsi="Times New Roman" w:cs="Times New Roman"/>
          <w:b w:val="0"/>
          <w:bCs w:val="0"/>
          <w:color w:val="auto"/>
          <w:sz w:val="32"/>
          <w:szCs w:val="32"/>
          <w:lang w:val="en-US" w:eastAsia="zh-CN"/>
        </w:rPr>
        <w:t>.</w:t>
      </w:r>
      <w:r>
        <w:rPr>
          <w:rFonts w:hint="default" w:ascii="Times New Roman" w:hAnsi="Times New Roman" w:cs="Times New Roman"/>
          <w:b w:val="0"/>
          <w:bCs w:val="0"/>
          <w:color w:val="auto"/>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资金投入情况：该项目年初预算数</w:t>
      </w:r>
      <w:r>
        <w:rPr>
          <w:rFonts w:hint="eastAsia" w:cs="Times New Roman"/>
          <w:color w:val="auto"/>
          <w:sz w:val="32"/>
          <w:szCs w:val="32"/>
          <w:lang w:val="en-US" w:eastAsia="zh-CN"/>
        </w:rPr>
        <w:t>600</w:t>
      </w:r>
      <w:r>
        <w:rPr>
          <w:rFonts w:hint="default" w:ascii="Times New Roman" w:hAnsi="Times New Roman" w:cs="Times New Roman"/>
          <w:color w:val="auto"/>
          <w:sz w:val="32"/>
          <w:szCs w:val="32"/>
          <w:lang w:val="en-US" w:eastAsia="zh-CN"/>
        </w:rPr>
        <w:t>0</w:t>
      </w:r>
      <w:r>
        <w:rPr>
          <w:rFonts w:hint="default" w:ascii="Times New Roman" w:hAnsi="Times New Roman" w:cs="Times New Roman"/>
          <w:color w:val="auto"/>
          <w:sz w:val="32"/>
          <w:szCs w:val="32"/>
        </w:rPr>
        <w:t>万元，全年预算数</w:t>
      </w:r>
      <w:r>
        <w:rPr>
          <w:rFonts w:hint="eastAsia" w:cs="Times New Roman"/>
          <w:color w:val="auto"/>
          <w:sz w:val="32"/>
          <w:szCs w:val="32"/>
          <w:lang w:val="en-US" w:eastAsia="zh-CN"/>
        </w:rPr>
        <w:t>6000</w:t>
      </w:r>
      <w:r>
        <w:rPr>
          <w:rFonts w:hint="default" w:ascii="Times New Roman" w:hAnsi="Times New Roman" w:cs="Times New Roman"/>
          <w:color w:val="auto"/>
          <w:sz w:val="32"/>
          <w:szCs w:val="32"/>
        </w:rPr>
        <w:t>万元，实际总投入</w:t>
      </w:r>
      <w:r>
        <w:rPr>
          <w:rFonts w:hint="eastAsia" w:cs="Times New Roman"/>
          <w:color w:val="auto"/>
          <w:sz w:val="32"/>
          <w:szCs w:val="32"/>
          <w:lang w:val="en-US" w:eastAsia="zh-CN"/>
        </w:rPr>
        <w:t>6000</w:t>
      </w:r>
      <w:r>
        <w:rPr>
          <w:rFonts w:hint="default" w:ascii="Times New Roman" w:hAnsi="Times New Roman" w:cs="Times New Roman"/>
          <w:color w:val="auto"/>
          <w:sz w:val="32"/>
          <w:szCs w:val="32"/>
        </w:rPr>
        <w:t>万元，该项目资金已全部落实到位，资金来源为</w:t>
      </w:r>
      <w:r>
        <w:rPr>
          <w:rFonts w:hint="default" w:ascii="Times New Roman" w:hAnsi="Times New Roman" w:cs="Times New Roman"/>
          <w:color w:val="auto"/>
          <w:sz w:val="32"/>
          <w:szCs w:val="32"/>
          <w:lang w:val="en-US" w:eastAsia="zh-CN"/>
        </w:rPr>
        <w:t>本级财政资金</w:t>
      </w:r>
      <w:r>
        <w:rPr>
          <w:rFonts w:hint="default" w:ascii="Times New Roman" w:hAnsi="Times New Roman"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资金使用情况：该项目年初预算数</w:t>
      </w:r>
      <w:r>
        <w:rPr>
          <w:rFonts w:hint="eastAsia" w:cs="Times New Roman"/>
          <w:color w:val="auto"/>
          <w:sz w:val="32"/>
          <w:szCs w:val="32"/>
          <w:lang w:val="en-US" w:eastAsia="zh-CN"/>
        </w:rPr>
        <w:t>6000</w:t>
      </w:r>
      <w:r>
        <w:rPr>
          <w:rFonts w:hint="default" w:ascii="Times New Roman" w:hAnsi="Times New Roman" w:cs="Times New Roman"/>
          <w:color w:val="auto"/>
          <w:sz w:val="32"/>
          <w:szCs w:val="32"/>
        </w:rPr>
        <w:t>万元，全年预算数</w:t>
      </w:r>
      <w:r>
        <w:rPr>
          <w:rFonts w:hint="eastAsia" w:cs="Times New Roman"/>
          <w:color w:val="auto"/>
          <w:sz w:val="32"/>
          <w:szCs w:val="32"/>
          <w:lang w:val="en-US" w:eastAsia="zh-CN"/>
        </w:rPr>
        <w:t>6000</w:t>
      </w:r>
      <w:r>
        <w:rPr>
          <w:rFonts w:hint="default" w:ascii="Times New Roman" w:hAnsi="Times New Roman" w:cs="Times New Roman"/>
          <w:color w:val="auto"/>
          <w:sz w:val="32"/>
          <w:szCs w:val="32"/>
        </w:rPr>
        <w:t>万元，全年执行数</w:t>
      </w:r>
      <w:r>
        <w:rPr>
          <w:rFonts w:hint="eastAsia" w:cs="Times New Roman"/>
          <w:color w:val="auto"/>
          <w:sz w:val="32"/>
          <w:szCs w:val="32"/>
          <w:lang w:val="en-US" w:eastAsia="zh-CN"/>
        </w:rPr>
        <w:t>6000</w:t>
      </w:r>
      <w:r>
        <w:rPr>
          <w:rFonts w:hint="default" w:ascii="Times New Roman" w:hAnsi="Times New Roman" w:cs="Times New Roman"/>
          <w:color w:val="auto"/>
          <w:sz w:val="32"/>
          <w:szCs w:val="32"/>
        </w:rPr>
        <w:t>万元，预算执行率为</w:t>
      </w:r>
      <w:r>
        <w:rPr>
          <w:rFonts w:hint="default" w:ascii="Times New Roman" w:hAnsi="Times New Roman" w:cs="Times New Roman"/>
          <w:color w:val="auto"/>
          <w:sz w:val="32"/>
          <w:szCs w:val="32"/>
          <w:lang w:val="en-US" w:eastAsia="zh-CN"/>
        </w:rPr>
        <w:t>100.00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主要</w:t>
      </w:r>
      <w:r>
        <w:rPr>
          <w:rFonts w:hint="default" w:ascii="Times New Roman" w:hAnsi="Times New Roman" w:cs="Times New Roman"/>
          <w:color w:val="auto"/>
          <w:sz w:val="32"/>
          <w:szCs w:val="32"/>
        </w:rPr>
        <w:t>用于：</w:t>
      </w:r>
      <w:bookmarkStart w:id="2" w:name="_Toc68703829"/>
      <w:r>
        <w:rPr>
          <w:rFonts w:hint="eastAsia" w:ascii="Times New Roman" w:hAnsi="Times New Roman" w:cs="Times New Roman"/>
          <w:color w:val="auto"/>
          <w:sz w:val="32"/>
          <w:szCs w:val="32"/>
        </w:rPr>
        <w:t>做好来霍投资企业协调服务和对外区域经济合作推进，给一家企业发放6000万元服务费。</w:t>
      </w:r>
    </w:p>
    <w:p>
      <w:pPr>
        <w:spacing w:line="560" w:lineRule="exact"/>
        <w:rPr>
          <w:rFonts w:hint="default" w:ascii="Times New Roman" w:hAnsi="Times New Roman" w:cs="Times New Roman"/>
          <w:color w:val="auto"/>
          <w:sz w:val="32"/>
          <w:szCs w:val="32"/>
        </w:rPr>
      </w:pPr>
      <w:r>
        <w:rPr>
          <w:rFonts w:hint="default" w:ascii="Times New Roman" w:hAnsi="Times New Roman" w:eastAsia="楷体_GB2312" w:cs="Times New Roman"/>
          <w:b/>
          <w:bCs/>
          <w:color w:val="auto"/>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val="0"/>
          <w:color w:val="auto"/>
          <w:sz w:val="32"/>
          <w:szCs w:val="32"/>
          <w:lang w:val="en-US" w:eastAsia="zh-CN"/>
        </w:rPr>
      </w:pPr>
      <w:r>
        <w:rPr>
          <w:rFonts w:hint="default" w:ascii="Times New Roman" w:hAnsi="Times New Roman" w:cs="Times New Roman"/>
          <w:b w:val="0"/>
          <w:bCs w:val="0"/>
          <w:color w:val="auto"/>
          <w:sz w:val="32"/>
          <w:szCs w:val="32"/>
          <w:lang w:eastAsia="zh-CN"/>
        </w:rPr>
        <w:t>　</w:t>
      </w:r>
      <w:r>
        <w:rPr>
          <w:rFonts w:hint="eastAsia" w:cs="Times New Roman"/>
          <w:b w:val="0"/>
          <w:bCs w:val="0"/>
          <w:color w:val="auto"/>
          <w:sz w:val="32"/>
          <w:szCs w:val="32"/>
          <w:lang w:eastAsia="zh-CN"/>
        </w:rPr>
        <w:t>　</w:t>
      </w:r>
      <w:r>
        <w:rPr>
          <w:rFonts w:hint="default" w:ascii="Times New Roman" w:hAnsi="Times New Roman" w:eastAsia="仿宋_GB2312" w:cs="Times New Roman"/>
          <w:b w:val="0"/>
          <w:bCs w:val="0"/>
          <w:color w:val="auto"/>
          <w:sz w:val="32"/>
          <w:szCs w:val="32"/>
          <w:lang w:val="en-US" w:eastAsia="zh-CN"/>
        </w:rPr>
        <w:t>1.总体目标：</w:t>
      </w:r>
      <w:r>
        <w:rPr>
          <w:rFonts w:hint="eastAsia" w:ascii="Times New Roman" w:hAnsi="Times New Roman" w:cs="Times New Roman"/>
          <w:b w:val="0"/>
          <w:bCs w:val="0"/>
          <w:color w:val="auto"/>
          <w:sz w:val="32"/>
          <w:szCs w:val="32"/>
          <w:lang w:val="en-US" w:eastAsia="zh-CN"/>
        </w:rPr>
        <w:t>目标1：进一步做好霍尔果斯经济开发区（市）招商引资和各类招商活动的组织策划，投资环境及对外招商项目的推介，做好来霍投资企业协调服务和对外区域经济合作推进。 目标2：为进一步培育壮大特色优势产业。推动霍尔果斯经济开发区经济高质量发展，最大化实现资金的杠杆效益，带动更多产业发展，实现核心产业项目的落户、生产销售等全生命周期的共特和跟进，确保企业尽快形成上下游产业群，带动区域经济高质量发展，保障企业平稳运行。</w:t>
      </w:r>
    </w:p>
    <w:p>
      <w:pPr>
        <w:spacing w:line="560" w:lineRule="exact"/>
        <w:rPr>
          <w:rFonts w:hint="eastAsia" w:ascii="Times New Roman" w:hAnsi="Times New Roman" w:cs="Times New Roman"/>
          <w:b w:val="0"/>
          <w:bCs w:val="0"/>
          <w:color w:val="auto"/>
          <w:sz w:val="32"/>
          <w:szCs w:val="32"/>
          <w:lang w:val="en-US" w:eastAsia="zh-CN"/>
        </w:rPr>
      </w:pPr>
      <w:r>
        <w:rPr>
          <w:rFonts w:hint="default" w:ascii="Times New Roman" w:hAnsi="Times New Roman" w:cs="Times New Roman"/>
          <w:b w:val="0"/>
          <w:bCs w:val="0"/>
          <w:color w:val="auto"/>
          <w:sz w:val="32"/>
          <w:szCs w:val="32"/>
          <w:lang w:eastAsia="zh-CN"/>
        </w:rPr>
        <w:t>　</w:t>
      </w:r>
      <w:r>
        <w:rPr>
          <w:rFonts w:hint="eastAsia" w:cs="Times New Roman"/>
          <w:b w:val="0"/>
          <w:bCs w:val="0"/>
          <w:color w:val="auto"/>
          <w:sz w:val="32"/>
          <w:szCs w:val="32"/>
          <w:lang w:eastAsia="zh-CN"/>
        </w:rPr>
        <w:t>　</w:t>
      </w:r>
      <w:r>
        <w:rPr>
          <w:rFonts w:hint="default" w:ascii="Times New Roman" w:hAnsi="Times New Roman" w:eastAsia="仿宋_GB2312" w:cs="Times New Roman"/>
          <w:b w:val="0"/>
          <w:bCs w:val="0"/>
          <w:color w:val="auto"/>
          <w:sz w:val="32"/>
          <w:szCs w:val="32"/>
          <w:lang w:val="en-US" w:eastAsia="zh-CN"/>
        </w:rPr>
        <w:t>2.阶段性目标：</w:t>
      </w:r>
      <w:bookmarkStart w:id="3" w:name="_Toc68703830"/>
      <w:r>
        <w:rPr>
          <w:rFonts w:hint="eastAsia" w:ascii="Times New Roman" w:hAnsi="Times New Roman" w:cs="Times New Roman"/>
          <w:b w:val="0"/>
          <w:bCs w:val="0"/>
          <w:color w:val="auto"/>
          <w:sz w:val="32"/>
          <w:szCs w:val="32"/>
          <w:lang w:val="en-US" w:eastAsia="zh-CN"/>
        </w:rPr>
        <w:t>为进一步做好霍尔果斯经济开发区（市）招商引资和各类招商引资和各类招商活动的组织策划，投资环境及对外招商项目的推介，做好来霍尔果斯投资企业协调服务和对外区域经济合作推进。</w:t>
      </w:r>
    </w:p>
    <w:p>
      <w:pPr>
        <w:spacing w:line="560" w:lineRule="exact"/>
        <w:rPr>
          <w:rFonts w:hint="default" w:ascii="Times New Roman" w:hAnsi="Times New Roman" w:eastAsia="黑体" w:cs="Times New Roman"/>
          <w:bCs/>
          <w:color w:val="auto"/>
          <w:sz w:val="32"/>
          <w:szCs w:val="32"/>
          <w:lang w:val="en-US" w:eastAsia="zh-CN"/>
        </w:rPr>
      </w:pPr>
      <w:r>
        <w:rPr>
          <w:rFonts w:hint="default" w:ascii="Times New Roman" w:hAnsi="Times New Roman" w:eastAsia="黑体" w:cs="Times New Roman"/>
          <w:bCs/>
          <w:color w:val="auto"/>
          <w:sz w:val="32"/>
          <w:szCs w:val="32"/>
          <w:lang w:val="en-US" w:eastAsia="zh-CN"/>
        </w:rPr>
        <w:t>二、绩效评价工作开展情况</w:t>
      </w:r>
      <w:bookmarkEnd w:id="3"/>
    </w:p>
    <w:p>
      <w:pPr>
        <w:numPr>
          <w:ilvl w:val="0"/>
          <w:numId w:val="0"/>
        </w:numPr>
        <w:spacing w:line="560" w:lineRule="exact"/>
        <w:rPr>
          <w:rFonts w:hint="default" w:ascii="Times New Roman" w:hAnsi="Times New Roman" w:eastAsia="楷体_GB2312" w:cs="Times New Roman"/>
          <w:b/>
          <w:bCs/>
          <w:color w:val="auto"/>
          <w:sz w:val="32"/>
          <w:szCs w:val="32"/>
          <w:lang w:eastAsia="zh-CN"/>
        </w:rPr>
      </w:pPr>
      <w:bookmarkStart w:id="4" w:name="_Toc68703831"/>
      <w:r>
        <w:rPr>
          <w:rFonts w:hint="default" w:ascii="Times New Roman" w:hAnsi="Times New Roman" w:eastAsia="楷体_GB2312" w:cs="Times New Roman"/>
          <w:b/>
          <w:bCs/>
          <w:color w:val="auto"/>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　1.绩效评价目的</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项目在实施前向项目负责人提供财政支出绩效方面的资金管理信息，促进项目支出严格按照资金管理规定进行。</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（2）项目绩效管理财政支出运行提供及时、有效的信息。</w:t>
      </w:r>
    </w:p>
    <w:p>
      <w:pPr>
        <w:pStyle w:val="21"/>
        <w:spacing w:line="56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仿宋_GB2312" w:cs="Times New Roman"/>
          <w:color w:val="auto"/>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cs="Times New Roman"/>
          <w:b/>
          <w:bCs/>
          <w:color w:val="auto"/>
          <w:sz w:val="30"/>
          <w:szCs w:val="30"/>
          <w:lang w:val="en-US" w:eastAsia="zh-CN"/>
        </w:rPr>
        <w:t>　</w:t>
      </w:r>
      <w:r>
        <w:rPr>
          <w:rFonts w:hint="default" w:ascii="Times New Roman" w:hAnsi="Times New Roman" w:eastAsia="仿宋_GB2312" w:cs="Times New Roman"/>
          <w:b w:val="0"/>
          <w:bCs w:val="0"/>
          <w:color w:val="auto"/>
          <w:sz w:val="32"/>
          <w:szCs w:val="32"/>
          <w:lang w:val="en-US" w:eastAsia="zh-CN"/>
        </w:rPr>
        <w:t>2.绩效评价对象：</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b w:val="0"/>
          <w:color w:val="auto"/>
          <w:kern w:val="2"/>
          <w:sz w:val="32"/>
          <w:szCs w:val="32"/>
          <w:lang w:val="en-US" w:eastAsia="zh-CN" w:bidi="ar-SA"/>
        </w:rPr>
      </w:pPr>
      <w:r>
        <w:rPr>
          <w:rFonts w:hint="default" w:ascii="Times New Roman" w:hAnsi="Times New Roman" w:eastAsia="仿宋_GB2312" w:cs="Times New Roman"/>
          <w:b w:val="0"/>
          <w:color w:val="auto"/>
          <w:kern w:val="2"/>
          <w:sz w:val="32"/>
          <w:szCs w:val="32"/>
          <w:lang w:val="en-US" w:eastAsia="zh-CN" w:bidi="ar-SA"/>
        </w:rPr>
        <w:t>招商引资服务资金项目所包含的全部项目内容。</w:t>
      </w:r>
    </w:p>
    <w:p>
      <w:pPr>
        <w:spacing w:line="560" w:lineRule="exact"/>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Times New Roman" w:hAnsi="Times New Roman" w:cs="Times New Roman"/>
          <w:color w:val="auto"/>
          <w:sz w:val="32"/>
          <w:szCs w:val="32"/>
          <w:lang w:val="en-US" w:eastAsia="zh-CN"/>
        </w:rPr>
        <w:t>招商引资服务资金</w:t>
      </w:r>
      <w:r>
        <w:rPr>
          <w:rFonts w:hint="default" w:ascii="Times New Roman" w:hAnsi="Times New Roman" w:cs="Times New Roman"/>
          <w:color w:val="auto"/>
          <w:sz w:val="32"/>
          <w:szCs w:val="32"/>
        </w:rPr>
        <w:t>项目评价，评价核心为资金的支出完成情况和效果。</w:t>
      </w:r>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color w:val="auto"/>
          <w:kern w:val="2"/>
          <w:sz w:val="32"/>
          <w:szCs w:val="32"/>
          <w:lang w:val="en-US" w:eastAsia="zh-CN" w:bidi="ar-SA"/>
        </w:rPr>
      </w:pPr>
      <w:bookmarkStart w:id="5" w:name="_Toc68703832"/>
      <w:r>
        <w:rPr>
          <w:rFonts w:hint="default" w:ascii="Times New Roman" w:hAnsi="Times New Roman" w:eastAsia="楷体_GB2312" w:cs="Times New Roman"/>
          <w:b/>
          <w:bCs/>
          <w:color w:val="auto"/>
          <w:kern w:val="2"/>
          <w:sz w:val="32"/>
          <w:szCs w:val="32"/>
          <w:lang w:val="en-US" w:eastAsia="zh-CN" w:bidi="ar-SA"/>
        </w:rPr>
        <w:t>（二）绩效评价原则、评价指标体系</w:t>
      </w:r>
      <w:r>
        <w:rPr>
          <w:rFonts w:hint="default" w:ascii="Times New Roman" w:hAnsi="Times New Roman" w:eastAsia="楷体_GB2312" w:cs="Times New Roman"/>
          <w:b/>
          <w:bCs/>
          <w:color w:val="auto"/>
          <w:sz w:val="32"/>
          <w:szCs w:val="32"/>
        </w:rPr>
        <w:t>（详情见表1）</w:t>
      </w:r>
      <w:r>
        <w:rPr>
          <w:rFonts w:hint="default" w:ascii="Times New Roman" w:hAnsi="Times New Roman" w:eastAsia="楷体_GB2312" w:cs="Times New Roman"/>
          <w:b/>
          <w:bCs/>
          <w:color w:val="auto"/>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Times New Roman" w:hAnsi="Times New Roman" w:cs="Times New Roman"/>
          <w:color w:val="auto"/>
          <w:sz w:val="32"/>
          <w:szCs w:val="32"/>
        </w:rPr>
      </w:pPr>
      <w:r>
        <w:rPr>
          <w:rFonts w:hint="default" w:ascii="Times New Roman" w:hAnsi="Times New Roman" w:cs="Times New Roman"/>
          <w:color w:val="auto"/>
          <w:sz w:val="32"/>
          <w:szCs w:val="32"/>
        </w:rPr>
        <w:t>1</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绩效评价原则</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本次项目绩效评价遵循以下基本原则：</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hint="default" w:ascii="Times New Roman" w:hAnsi="Times New Roman" w:cs="Times New Roman"/>
          <w:color w:val="auto"/>
        </w:rPr>
      </w:pPr>
      <w:r>
        <w:rPr>
          <w:rFonts w:hint="default" w:ascii="Times New Roman" w:hAnsi="Times New Roman" w:eastAsia="仿宋_GB2312" w:cs="Times New Roman"/>
          <w:b w:val="0"/>
          <w:bCs w:val="0"/>
          <w:color w:val="auto"/>
        </w:rPr>
        <w:t>（4）公开透明。绩效评价结果应依法依规公开，并自觉接受社会监督。</w:t>
      </w:r>
    </w:p>
    <w:p>
      <w:pPr>
        <w:spacing w:line="360" w:lineRule="auto"/>
        <w:ind w:firstLine="600" w:firstLineChars="200"/>
        <w:jc w:val="left"/>
        <w:rPr>
          <w:rFonts w:hint="default" w:ascii="Times New Roman" w:hAnsi="Times New Roman" w:cs="Times New Roman"/>
          <w:color w:val="auto"/>
          <w:sz w:val="32"/>
          <w:szCs w:val="32"/>
        </w:rPr>
      </w:pPr>
      <w:r>
        <w:rPr>
          <w:rFonts w:hint="default" w:ascii="Times New Roman" w:hAnsi="Times New Roman" w:cs="Times New Roman"/>
          <w:color w:val="auto"/>
        </w:rPr>
        <w:t>2、</w:t>
      </w:r>
      <w:r>
        <w:rPr>
          <w:rFonts w:hint="default" w:ascii="Times New Roman" w:hAnsi="Times New Roman" w:cs="Times New Roman"/>
          <w:color w:val="auto"/>
          <w:sz w:val="32"/>
          <w:szCs w:val="32"/>
        </w:rPr>
        <w:t>评价指标体系</w:t>
      </w:r>
    </w:p>
    <w:p>
      <w:pPr>
        <w:spacing w:line="560" w:lineRule="exact"/>
        <w:ind w:firstLine="708" w:firstLineChars="200"/>
        <w:rPr>
          <w:rFonts w:hint="default" w:ascii="Times New Roman" w:hAnsi="Times New Roman" w:cs="Times New Roman"/>
          <w:color w:val="auto"/>
          <w:spacing w:val="17"/>
          <w:sz w:val="32"/>
          <w:szCs w:val="32"/>
        </w:rPr>
      </w:pPr>
      <w:r>
        <w:rPr>
          <w:rFonts w:hint="default" w:ascii="Times New Roman" w:hAnsi="Times New Roman" w:eastAsia="仿宋_GB2312" w:cs="Times New Roman"/>
          <w:color w:val="auto"/>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（2）确定权重</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hint="default" w:ascii="Times New Roman" w:hAnsi="Times New Roman" w:eastAsia="仿宋_GB2312" w:cs="Times New Roman"/>
          <w:b w:val="0"/>
          <w:bCs w:val="0"/>
          <w:color w:val="auto"/>
          <w:spacing w:val="17"/>
          <w:kern w:val="2"/>
        </w:rPr>
      </w:pPr>
      <w:r>
        <w:rPr>
          <w:rFonts w:hint="default" w:ascii="Times New Roman" w:hAnsi="Times New Roman" w:eastAsia="仿宋_GB2312" w:cs="Times New Roman"/>
          <w:b w:val="0"/>
          <w:bCs w:val="0"/>
          <w:color w:val="auto"/>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default" w:ascii="Times New Roman" w:hAnsi="Times New Roman" w:cs="Times New Roman"/>
          <w:color w:val="auto"/>
        </w:rPr>
      </w:pPr>
      <w:r>
        <w:rPr>
          <w:rFonts w:hint="default" w:ascii="Times New Roman" w:hAnsi="Times New Roman" w:eastAsia="仿宋_GB2312" w:cs="Times New Roman"/>
          <w:b w:val="0"/>
          <w:bCs w:val="0"/>
          <w:color w:val="auto"/>
          <w:spacing w:val="17"/>
        </w:rPr>
        <w:t>具体评价指标体系详情见附件1</w:t>
      </w:r>
    </w:p>
    <w:p>
      <w:pPr>
        <w:pStyle w:val="7"/>
        <w:rPr>
          <w:rFonts w:hint="default" w:ascii="Times New Roman" w:hAnsi="Times New Roman" w:cs="Times New Roman"/>
          <w:color w:val="auto"/>
          <w:sz w:val="32"/>
          <w:szCs w:val="32"/>
        </w:rPr>
      </w:pPr>
      <w:r>
        <w:rPr>
          <w:rFonts w:hint="default" w:ascii="Times New Roman" w:hAnsi="Times New Roman" w:cs="Times New Roman"/>
          <w:color w:val="auto"/>
          <w:sz w:val="32"/>
          <w:szCs w:val="32"/>
        </w:rPr>
        <w:t>3、评价方法</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bCs/>
          <w:color w:val="auto"/>
          <w:sz w:val="32"/>
          <w:szCs w:val="32"/>
          <w:lang w:eastAsia="zh-CN"/>
        </w:rPr>
      </w:pPr>
      <w:r>
        <w:rPr>
          <w:rFonts w:hint="default" w:ascii="Times New Roman" w:hAnsi="Times New Roman" w:eastAsia="仿宋_GB2312" w:cs="Times New Roman"/>
          <w:color w:val="auto"/>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w:t>
      </w:r>
      <w:r>
        <w:rPr>
          <w:rFonts w:hint="default" w:ascii="Times New Roman" w:hAnsi="Times New Roman" w:cs="Times New Roman"/>
          <w:color w:val="auto"/>
          <w:spacing w:val="17"/>
          <w:sz w:val="32"/>
          <w:szCs w:val="32"/>
          <w:lang w:val="en-US" w:eastAsia="zh-CN"/>
        </w:rPr>
        <w:t>1</w:t>
      </w:r>
      <w:r>
        <w:rPr>
          <w:rFonts w:hint="default" w:ascii="Times New Roman" w:hAnsi="Times New Roman" w:eastAsia="仿宋_GB2312" w:cs="Times New Roman"/>
          <w:color w:val="auto"/>
          <w:spacing w:val="17"/>
          <w:sz w:val="32"/>
          <w:szCs w:val="32"/>
        </w:rPr>
        <w:t>）因素分析法</w:t>
      </w:r>
    </w:p>
    <w:p>
      <w:pPr>
        <w:spacing w:line="560" w:lineRule="exact"/>
        <w:ind w:firstLine="708" w:firstLineChars="200"/>
        <w:rPr>
          <w:rFonts w:hint="default" w:ascii="Times New Roman" w:hAnsi="Times New Roman" w:eastAsia="仿宋_GB2312" w:cs="Times New Roman"/>
          <w:bCs/>
          <w:color w:val="auto"/>
          <w:sz w:val="32"/>
          <w:szCs w:val="32"/>
          <w:lang w:eastAsia="zh-CN"/>
        </w:rPr>
      </w:pPr>
      <w:r>
        <w:rPr>
          <w:rFonts w:hint="default" w:ascii="Times New Roman" w:hAnsi="Times New Roman" w:eastAsia="仿宋_GB2312" w:cs="Times New Roman"/>
          <w:color w:val="auto"/>
          <w:spacing w:val="17"/>
          <w:sz w:val="32"/>
          <w:szCs w:val="32"/>
        </w:rPr>
        <w:t>通过综合分析影响绩效目标实现、实施效果的内外因素，评价绩效目标实现程度。通过对</w:t>
      </w:r>
      <w:r>
        <w:rPr>
          <w:rFonts w:hint="default" w:ascii="Times New Roman" w:hAnsi="Times New Roman" w:eastAsia="仿宋_GB2312" w:cs="Times New Roman"/>
          <w:color w:val="auto"/>
          <w:sz w:val="32"/>
          <w:szCs w:val="32"/>
        </w:rPr>
        <w:t>项目</w:t>
      </w:r>
      <w:r>
        <w:rPr>
          <w:rFonts w:hint="default" w:ascii="Times New Roman" w:hAnsi="Times New Roman" w:eastAsia="仿宋_GB2312" w:cs="Times New Roman"/>
          <w:color w:val="auto"/>
          <w:spacing w:val="17"/>
          <w:sz w:val="32"/>
          <w:szCs w:val="32"/>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color w:val="auto"/>
        </w:rPr>
      </w:pPr>
      <w:r>
        <w:rPr>
          <w:rFonts w:hint="default" w:ascii="Times New Roman" w:hAnsi="Times New Roman" w:cs="Times New Roman"/>
          <w:color w:val="auto"/>
          <w:lang w:eastAsia="zh-CN"/>
        </w:rPr>
        <w:t>　　</w:t>
      </w:r>
      <w:r>
        <w:rPr>
          <w:rFonts w:hint="default" w:ascii="Times New Roman" w:hAnsi="Times New Roman" w:cs="Times New Roman"/>
          <w:color w:val="auto"/>
          <w:sz w:val="32"/>
          <w:szCs w:val="32"/>
        </w:rPr>
        <w:t>4</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评价标准</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color w:val="auto"/>
          <w:spacing w:val="17"/>
          <w:sz w:val="32"/>
          <w:szCs w:val="32"/>
          <w:lang w:val="en-US" w:eastAsia="zh-CN"/>
        </w:rPr>
        <w:t>计划</w:t>
      </w:r>
      <w:r>
        <w:rPr>
          <w:rFonts w:hint="default" w:ascii="Times New Roman" w:hAnsi="Times New Roman" w:eastAsia="仿宋_GB2312" w:cs="Times New Roman"/>
          <w:color w:val="auto"/>
          <w:spacing w:val="17"/>
          <w:sz w:val="32"/>
          <w:szCs w:val="32"/>
        </w:rPr>
        <w:t>标准。</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lang w:val="en-US" w:eastAsia="zh-CN" w:bidi="ar-SA"/>
        </w:rPr>
      </w:pPr>
      <w:bookmarkStart w:id="6" w:name="_Toc68703833"/>
      <w:r>
        <w:rPr>
          <w:rFonts w:hint="default" w:ascii="Times New Roman" w:hAnsi="Times New Roman" w:eastAsia="楷体_GB2312" w:cs="Times New Roman"/>
          <w:b/>
          <w:bCs/>
          <w:color w:val="auto"/>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1</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2</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3</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sz w:val="32"/>
          <w:szCs w:val="32"/>
        </w:rPr>
      </w:pPr>
      <w:bookmarkStart w:id="7" w:name="_Toc68703834"/>
      <w:r>
        <w:rPr>
          <w:rFonts w:hint="default" w:ascii="Times New Roman" w:hAnsi="Times New Roman" w:eastAsia="仿宋_GB2312" w:cs="Times New Roman"/>
          <w:bCs/>
          <w:color w:val="auto"/>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default" w:ascii="Times New Roman" w:hAnsi="Times New Roman" w:eastAsia="黑体" w:cs="Times New Roman"/>
          <w:bCs/>
          <w:color w:val="auto"/>
          <w:sz w:val="32"/>
          <w:szCs w:val="32"/>
          <w:lang w:val="en-US" w:eastAsia="zh-CN"/>
        </w:rPr>
      </w:pPr>
      <w:r>
        <w:rPr>
          <w:rFonts w:hint="default" w:ascii="Times New Roman" w:hAnsi="Times New Roman" w:eastAsia="黑体" w:cs="Times New Roman"/>
          <w:bCs/>
          <w:color w:val="auto"/>
          <w:sz w:val="32"/>
          <w:szCs w:val="32"/>
          <w:lang w:val="en-US" w:eastAsia="zh-CN"/>
        </w:rPr>
        <w:t>三、综合评价情况及评价结论</w:t>
      </w:r>
      <w:bookmarkEnd w:id="7"/>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lang w:val="en-US" w:eastAsia="zh-CN" w:bidi="ar-SA"/>
        </w:rPr>
      </w:pPr>
      <w:bookmarkStart w:id="8" w:name="_Toc68703835"/>
      <w:r>
        <w:rPr>
          <w:rFonts w:hint="default" w:ascii="Times New Roman" w:hAnsi="Times New Roman" w:eastAsia="楷体_GB2312" w:cs="Times New Roman"/>
          <w:b/>
          <w:bCs/>
          <w:color w:val="auto"/>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eastAsia="仿宋_GB2312" w:cs="Times New Roman"/>
          <w:b w:val="0"/>
          <w:bCs w:val="0"/>
          <w:color w:val="auto"/>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color w:val="auto"/>
          <w:kern w:val="2"/>
          <w:sz w:val="32"/>
          <w:szCs w:val="32"/>
          <w:lang w:val="en-US" w:eastAsia="zh-CN" w:bidi="ar-SA"/>
        </w:rPr>
      </w:pPr>
      <w:bookmarkStart w:id="9" w:name="_Toc68703836"/>
      <w:r>
        <w:rPr>
          <w:rFonts w:hint="default" w:ascii="Times New Roman" w:hAnsi="Times New Roman" w:eastAsia="楷体_GB2312" w:cs="Times New Roman"/>
          <w:b/>
          <w:bCs/>
          <w:color w:val="auto"/>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default" w:ascii="Times New Roman" w:hAnsi="Times New Roman" w:cs="Times New Roman"/>
          <w:color w:val="auto"/>
        </w:rPr>
      </w:pPr>
      <w:r>
        <w:rPr>
          <w:rFonts w:hint="default" w:ascii="Times New Roman" w:hAnsi="Times New Roman" w:eastAsia="仿宋_GB2312" w:cs="Times New Roman"/>
          <w:b w:val="0"/>
          <w:bCs w:val="0"/>
          <w:color w:val="auto"/>
          <w:lang w:eastAsia="zh-CN"/>
        </w:rPr>
        <w:t>　　</w:t>
      </w:r>
      <w:r>
        <w:rPr>
          <w:rFonts w:hint="default" w:ascii="Times New Roman" w:hAnsi="Times New Roman" w:eastAsia="仿宋_GB2312" w:cs="Times New Roman"/>
          <w:b w:val="0"/>
          <w:bCs w:val="0"/>
          <w:color w:val="auto"/>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color w:val="auto"/>
          <w:highlight w:val="none"/>
        </w:rPr>
        <w:t xml:space="preserve">总得分为 </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default"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w:t>
      </w:r>
      <w:r>
        <w:rPr>
          <w:rFonts w:hint="default" w:ascii="Times New Roman" w:hAnsi="Times New Roman" w:eastAsia="仿宋_GB2312" w:cs="Times New Roman"/>
          <w:b w:val="0"/>
          <w:bCs w:val="0"/>
          <w:color w:val="auto"/>
        </w:rPr>
        <w:t>分情况详见：附件1综合评分表</w:t>
      </w:r>
      <w:r>
        <w:rPr>
          <w:rFonts w:hint="default" w:ascii="Times New Roman" w:hAnsi="Times New Roman" w:eastAsia="仿宋_GB2312" w:cs="Times New Roman"/>
          <w:b w:val="0"/>
          <w:bCs w:val="0"/>
          <w:color w:val="auto"/>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b w:val="0"/>
          <w:bCs w:val="0"/>
          <w:color w:val="auto"/>
          <w:kern w:val="28"/>
          <w:sz w:val="32"/>
          <w:szCs w:val="32"/>
          <w:lang w:val="en-US" w:eastAsia="zh-CN" w:bidi="ar-SA"/>
        </w:rPr>
      </w:pPr>
      <w:r>
        <w:rPr>
          <w:rFonts w:hint="default" w:ascii="Times New Roman" w:hAnsi="Times New Roman" w:cs="Times New Roman"/>
          <w:color w:val="auto"/>
          <w:sz w:val="30"/>
          <w:szCs w:val="30"/>
          <w:lang w:eastAsia="zh-CN"/>
        </w:rPr>
        <w:t>　　　　　　　　</w:t>
      </w:r>
      <w:r>
        <w:rPr>
          <w:rFonts w:hint="default" w:ascii="Times New Roman" w:hAnsi="Times New Roman" w:eastAsia="仿宋_GB2312" w:cs="Times New Roman"/>
          <w:b w:val="0"/>
          <w:bCs w:val="0"/>
          <w:color w:val="auto"/>
          <w:kern w:val="28"/>
          <w:sz w:val="32"/>
          <w:szCs w:val="32"/>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rPr>
            </w:pPr>
            <w:r>
              <w:rPr>
                <w:rFonts w:hint="default" w:ascii="Times New Roman" w:hAnsi="Times New Roman" w:cs="Times New Roman"/>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rPr>
            </w:pPr>
            <w:r>
              <w:rPr>
                <w:rFonts w:hint="default" w:ascii="Times New Roman" w:hAnsi="Times New Roman" w:cs="Times New Roman"/>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rPr>
            </w:pPr>
            <w:r>
              <w:rPr>
                <w:rFonts w:hint="default" w:ascii="Times New Roman" w:hAnsi="Times New Roman" w:cs="Times New Roman"/>
                <w:color w:val="auto"/>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rPr>
            </w:pPr>
            <w:r>
              <w:rPr>
                <w:rFonts w:hint="default" w:ascii="Times New Roman" w:hAnsi="Times New Roman" w:cs="Times New Roman"/>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auto"/>
                <w:sz w:val="22"/>
                <w:lang w:val="en-US" w:eastAsia="zh-CN"/>
              </w:rPr>
            </w:pPr>
            <w:r>
              <w:rPr>
                <w:rFonts w:hint="default" w:ascii="Times New Roman" w:hAnsi="Times New Roman" w:cs="Times New Roman"/>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lang w:val="en-US" w:eastAsia="zh-CN"/>
              </w:rPr>
              <w:t>100</w:t>
            </w:r>
          </w:p>
        </w:tc>
      </w:tr>
    </w:tbl>
    <w:p>
      <w:pPr>
        <w:spacing w:line="560" w:lineRule="exact"/>
        <w:rPr>
          <w:rFonts w:hint="default" w:ascii="Times New Roman" w:hAnsi="Times New Roman" w:eastAsia="黑体" w:cs="Times New Roman"/>
          <w:bCs/>
          <w:color w:val="auto"/>
          <w:sz w:val="32"/>
          <w:szCs w:val="32"/>
          <w:lang w:val="en-US" w:eastAsia="zh-CN"/>
        </w:rPr>
      </w:pPr>
      <w:bookmarkStart w:id="10" w:name="_Toc68703837"/>
      <w:r>
        <w:rPr>
          <w:rFonts w:hint="default" w:ascii="Times New Roman" w:hAnsi="Times New Roman" w:eastAsia="黑体" w:cs="Times New Roman"/>
          <w:bCs/>
          <w:color w:val="auto"/>
          <w:sz w:val="32"/>
          <w:szCs w:val="32"/>
          <w:lang w:val="en-US" w:eastAsia="zh-CN"/>
        </w:rPr>
        <w:t>四、绩效评价指标分析</w:t>
      </w:r>
      <w:bookmarkEnd w:id="10"/>
    </w:p>
    <w:p>
      <w:pPr>
        <w:spacing w:line="560" w:lineRule="exact"/>
        <w:rPr>
          <w:rFonts w:hint="default" w:ascii="Times New Roman" w:hAnsi="Times New Roman" w:eastAsia="楷体_GB2312" w:cs="Times New Roman"/>
          <w:b/>
          <w:bCs/>
          <w:color w:val="auto"/>
          <w:kern w:val="2"/>
          <w:sz w:val="32"/>
          <w:szCs w:val="32"/>
          <w:lang w:val="en-US" w:eastAsia="zh-CN" w:bidi="ar-SA"/>
        </w:rPr>
      </w:pPr>
      <w:bookmarkStart w:id="11" w:name="_Toc68703838"/>
      <w:r>
        <w:rPr>
          <w:rFonts w:hint="default" w:ascii="Times New Roman" w:hAnsi="Times New Roman" w:eastAsia="楷体_GB2312" w:cs="Times New Roman"/>
          <w:b/>
          <w:bCs/>
          <w:color w:val="auto"/>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color w:val="auto"/>
          <w:lang w:val="en-US" w:eastAsia="zh-CN"/>
        </w:rPr>
      </w:pPr>
      <w:r>
        <w:rPr>
          <w:rFonts w:hint="default" w:ascii="Times New Roman" w:hAnsi="Times New Roman" w:cs="Times New Roman"/>
          <w:b w:val="0"/>
          <w:bCs w:val="0"/>
          <w:color w:val="auto"/>
          <w:sz w:val="32"/>
          <w:szCs w:val="32"/>
          <w:lang w:val="en-US" w:eastAsia="zh-CN"/>
        </w:rPr>
        <w:t>　　项目决策类指标包括项目立项、绩效目标和资金投入三方面的内容，由6个三级指标构成，权重分值为20分，实际得分20分，得分率为100%。</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cs="Times New Roman"/>
          <w:b/>
          <w:bCs/>
          <w:color w:val="auto"/>
          <w:sz w:val="32"/>
          <w:szCs w:val="32"/>
          <w:lang w:val="en-US" w:eastAsia="zh-CN"/>
        </w:rPr>
        <w:t>1.</w:t>
      </w:r>
      <w:r>
        <w:rPr>
          <w:rFonts w:hint="default" w:ascii="Times New Roman" w:hAnsi="Times New Roman" w:eastAsia="仿宋_GB2312" w:cs="Times New Roman"/>
          <w:b/>
          <w:bCs/>
          <w:color w:val="auto"/>
          <w:sz w:val="32"/>
          <w:szCs w:val="32"/>
          <w:lang w:val="en-US" w:eastAsia="zh-CN"/>
        </w:rPr>
        <w:t>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（1）立项依据充分性</w:t>
      </w:r>
    </w:p>
    <w:p>
      <w:pPr>
        <w:shd w:val="clear"/>
        <w:spacing w:line="600" w:lineRule="exact"/>
        <w:ind w:firstLine="640" w:firstLineChars="200"/>
        <w:outlineLvl w:val="0"/>
        <w:rPr>
          <w:rFonts w:hint="default" w:ascii="Times New Roman" w:hAnsi="Times New Roman" w:cs="Times New Roman"/>
          <w:color w:val="auto"/>
          <w:sz w:val="32"/>
          <w:szCs w:val="32"/>
        </w:rPr>
      </w:pPr>
      <w:r>
        <w:rPr>
          <w:rFonts w:hint="default" w:ascii="Times New Roman" w:hAnsi="Times New Roman" w:eastAsia="仿宋_GB2312" w:cs="Times New Roman"/>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b w:val="0"/>
          <w:bCs w:val="0"/>
          <w:color w:val="auto"/>
          <w:sz w:val="32"/>
          <w:szCs w:val="32"/>
        </w:rPr>
      </w:pPr>
      <w:r>
        <w:rPr>
          <w:rFonts w:hint="default" w:ascii="Times New Roman" w:hAnsi="Times New Roman" w:cs="Times New Roman"/>
          <w:b w:val="0"/>
          <w:bCs w:val="0"/>
          <w:color w:val="auto"/>
          <w:sz w:val="32"/>
          <w:szCs w:val="32"/>
        </w:rPr>
        <w:t>2</w:t>
      </w:r>
      <w:r>
        <w:rPr>
          <w:rFonts w:hint="default" w:ascii="Times New Roman" w:hAnsi="Times New Roman" w:cs="Times New Roman"/>
          <w:b w:val="0"/>
          <w:bCs w:val="0"/>
          <w:color w:val="auto"/>
          <w:sz w:val="32"/>
          <w:szCs w:val="32"/>
          <w:lang w:val="en-US" w:eastAsia="zh-CN"/>
        </w:rPr>
        <w:t>.</w:t>
      </w:r>
      <w:r>
        <w:rPr>
          <w:rFonts w:hint="default" w:ascii="Times New Roman" w:hAnsi="Times New Roman" w:cs="Times New Roman"/>
          <w:b w:val="0"/>
          <w:bCs w:val="0"/>
          <w:color w:val="auto"/>
          <w:sz w:val="32"/>
          <w:szCs w:val="32"/>
        </w:rPr>
        <w:t>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项目申请、设立过程符合相关要求，</w:t>
      </w:r>
      <w:r>
        <w:rPr>
          <w:rFonts w:hint="default" w:ascii="Times New Roman" w:hAnsi="Times New Roman" w:eastAsia="仿宋_GB2312" w:cs="Times New Roman"/>
          <w:color w:val="auto"/>
          <w:sz w:val="32"/>
          <w:szCs w:val="32"/>
          <w:lang w:eastAsia="zh-Hans"/>
        </w:rPr>
        <w:t>严格按照审批流程准备符合要求的文件、材料；</w:t>
      </w:r>
      <w:r>
        <w:rPr>
          <w:rFonts w:hint="default" w:ascii="Times New Roman" w:hAnsi="Times New Roman" w:eastAsia="仿宋_GB2312" w:cs="Times New Roman"/>
          <w:color w:val="auto"/>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cs="Times New Roman"/>
          <w:b w:val="0"/>
          <w:bCs w:val="0"/>
          <w:color w:val="auto"/>
          <w:sz w:val="32"/>
          <w:szCs w:val="32"/>
        </w:rPr>
      </w:pPr>
      <w:r>
        <w:rPr>
          <w:rFonts w:hint="default" w:ascii="Times New Roman" w:hAnsi="Times New Roman" w:eastAsia="仿宋_GB2312" w:cs="Times New Roman"/>
          <w:b/>
          <w:bCs/>
          <w:color w:val="auto"/>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年初结合实际工作内容</w:t>
      </w:r>
      <w:r>
        <w:rPr>
          <w:rFonts w:hint="default" w:ascii="Times New Roman" w:hAnsi="Times New Roman" w:eastAsia="仿宋_GB2312" w:cs="Times New Roman"/>
          <w:color w:val="auto"/>
          <w:sz w:val="32"/>
          <w:szCs w:val="32"/>
          <w:lang w:val="en-US" w:eastAsia="zh-CN"/>
        </w:rPr>
        <w:t>设定绩效目标</w:t>
      </w:r>
      <w:r>
        <w:rPr>
          <w:rFonts w:hint="default" w:ascii="Times New Roman" w:hAnsi="Times New Roman" w:eastAsia="仿宋_GB2312" w:cs="Times New Roman"/>
          <w:color w:val="auto"/>
          <w:sz w:val="32"/>
          <w:szCs w:val="32"/>
          <w:lang w:val="en-US" w:eastAsia="zh-Hans"/>
        </w:rPr>
        <w:t>，绩效目标</w:t>
      </w:r>
      <w:r>
        <w:rPr>
          <w:rFonts w:hint="default" w:ascii="Times New Roman" w:hAnsi="Times New Roman" w:eastAsia="仿宋_GB2312" w:cs="Times New Roman"/>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bookmarkStart w:id="12" w:name="_Hlk68699917"/>
      <w:r>
        <w:rPr>
          <w:rFonts w:hint="default" w:ascii="Times New Roman" w:hAnsi="Times New Roman" w:eastAsia="仿宋_GB2312" w:cs="Times New Roman"/>
          <w:color w:val="auto"/>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cs="Times New Roman"/>
          <w:b/>
          <w:bCs/>
          <w:color w:val="auto"/>
          <w:sz w:val="32"/>
          <w:szCs w:val="32"/>
          <w:lang w:val="en-US" w:eastAsia="zh-CN"/>
        </w:rPr>
        <w:t>3.</w:t>
      </w:r>
      <w:r>
        <w:rPr>
          <w:rFonts w:hint="default" w:ascii="Times New Roman" w:hAnsi="Times New Roman" w:eastAsia="仿宋_GB2312" w:cs="Times New Roman"/>
          <w:b/>
          <w:bCs/>
          <w:color w:val="auto"/>
          <w:sz w:val="32"/>
          <w:szCs w:val="32"/>
          <w:lang w:val="en-US" w:eastAsia="zh-CN"/>
        </w:rPr>
        <w:t>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（2）资金分配合理性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hint="default" w:ascii="Times New Roman" w:hAnsi="Times New Roman" w:eastAsia="楷体" w:cs="Times New Roman"/>
          <w:color w:val="auto"/>
        </w:rPr>
      </w:pPr>
      <w:r>
        <w:rPr>
          <w:rFonts w:hint="default" w:ascii="Times New Roman" w:hAnsi="Times New Roman" w:eastAsia="楷体" w:cs="Times New Roman"/>
          <w:color w:val="auto"/>
          <w:lang w:eastAsia="zh-CN"/>
        </w:rPr>
        <w:t>（二）</w:t>
      </w:r>
      <w:r>
        <w:rPr>
          <w:rFonts w:hint="default" w:ascii="Times New Roman" w:hAnsi="Times New Roman" w:eastAsia="楷体" w:cs="Times New Roman"/>
          <w:color w:val="auto"/>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lang w:val="en-US" w:eastAsia="zh-CN"/>
        </w:rPr>
        <w:t>项目过程类指标包括资金管理和组织实施两方面的内容，由</w:t>
      </w:r>
      <w:r>
        <w:rPr>
          <w:rFonts w:hint="default" w:ascii="Times New Roman" w:hAnsi="Times New Roman" w:eastAsia="仿宋_GB2312" w:cs="Times New Roman"/>
          <w:color w:val="auto"/>
          <w:sz w:val="32"/>
          <w:szCs w:val="32"/>
          <w:highlight w:val="none"/>
          <w:lang w:val="en-US" w:eastAsia="zh-CN"/>
        </w:rPr>
        <w:t>5个</w:t>
      </w:r>
      <w:r>
        <w:rPr>
          <w:rFonts w:hint="default" w:ascii="Times New Roman" w:hAnsi="Times New Roman" w:eastAsia="仿宋_GB2312" w:cs="Times New Roman"/>
          <w:color w:val="auto"/>
          <w:sz w:val="32"/>
          <w:szCs w:val="32"/>
          <w:lang w:val="en-US" w:eastAsia="zh-CN"/>
        </w:rPr>
        <w:t>三级指标构成，权重分值为20分，</w:t>
      </w:r>
      <w:r>
        <w:rPr>
          <w:rFonts w:hint="default" w:ascii="Times New Roman" w:hAnsi="Times New Roman" w:eastAsia="仿宋_GB2312" w:cs="Times New Roman"/>
          <w:color w:val="auto"/>
          <w:sz w:val="32"/>
          <w:szCs w:val="32"/>
          <w:highlight w:val="none"/>
          <w:lang w:val="en-US" w:eastAsia="zh-CN"/>
        </w:rPr>
        <w:t>实际得分</w:t>
      </w:r>
      <w:r>
        <w:rPr>
          <w:rFonts w:hint="default" w:ascii="Times New Roman" w:hAnsi="Times New Roman"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本项目</w:t>
      </w:r>
      <w:r>
        <w:rPr>
          <w:rFonts w:hint="default" w:ascii="Times New Roman" w:hAnsi="Times New Roman" w:eastAsia="仿宋_GB2312" w:cs="Times New Roman"/>
          <w:color w:val="auto"/>
          <w:sz w:val="32"/>
          <w:szCs w:val="32"/>
          <w:highlight w:val="none"/>
          <w:lang w:val="en-US" w:eastAsia="zh-CN"/>
        </w:rPr>
        <w:t>总投资</w:t>
      </w:r>
      <w:r>
        <w:rPr>
          <w:rFonts w:hint="eastAsia" w:cs="Times New Roman"/>
          <w:color w:val="auto"/>
          <w:sz w:val="32"/>
          <w:szCs w:val="32"/>
          <w:highlight w:val="none"/>
          <w:lang w:val="en-US" w:eastAsia="zh-CN"/>
        </w:rPr>
        <w:t>6000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default" w:ascii="Times New Roman" w:hAnsi="Times New Roman" w:cs="Times New Roman"/>
          <w:color w:val="auto"/>
          <w:sz w:val="32"/>
          <w:szCs w:val="32"/>
          <w:highlight w:val="none"/>
          <w:lang w:val="en-US" w:eastAsia="zh-CN"/>
        </w:rPr>
        <w:t>100.00</w:t>
      </w:r>
      <w:r>
        <w:rPr>
          <w:rFonts w:hint="default" w:ascii="Times New Roman" w:hAnsi="Times New Roman" w:eastAsia="仿宋_GB2312" w:cs="Times New Roman"/>
          <w:color w:val="auto"/>
          <w:sz w:val="32"/>
          <w:szCs w:val="32"/>
          <w:highlight w:val="none"/>
          <w:lang w:val="en-US" w:eastAsia="zh-CN"/>
        </w:rPr>
        <w:t>%，预算</w:t>
      </w:r>
      <w:r>
        <w:rPr>
          <w:rFonts w:hint="default" w:ascii="Times New Roman" w:hAnsi="Times New Roman" w:eastAsia="仿宋_GB2312" w:cs="Times New Roman"/>
          <w:color w:val="auto"/>
          <w:sz w:val="32"/>
          <w:szCs w:val="32"/>
          <w:lang w:val="en-US" w:eastAsia="zh-CN"/>
        </w:rPr>
        <w:t>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预算编制较为详细，项目资金支出总体能够按照预算执行，</w:t>
      </w:r>
      <w:r>
        <w:rPr>
          <w:rFonts w:hint="default" w:ascii="Times New Roman" w:hAnsi="Times New Roman" w:eastAsia="仿宋_GB2312" w:cs="Times New Roman"/>
          <w:color w:val="auto"/>
          <w:sz w:val="32"/>
          <w:szCs w:val="32"/>
          <w:highlight w:val="none"/>
          <w:lang w:val="en-US" w:eastAsia="zh-CN"/>
        </w:rPr>
        <w:t>预算资金支出</w:t>
      </w:r>
      <w:r>
        <w:rPr>
          <w:rFonts w:hint="eastAsia" w:cs="Times New Roman"/>
          <w:color w:val="auto"/>
          <w:sz w:val="32"/>
          <w:szCs w:val="32"/>
          <w:highlight w:val="none"/>
          <w:lang w:val="en-US" w:eastAsia="zh-CN"/>
        </w:rPr>
        <w:t>6000</w:t>
      </w:r>
      <w:r>
        <w:rPr>
          <w:rFonts w:hint="default" w:ascii="Times New Roman" w:hAnsi="Times New Roman" w:eastAsia="仿宋_GB2312" w:cs="Times New Roman"/>
          <w:color w:val="auto"/>
          <w:sz w:val="32"/>
          <w:szCs w:val="32"/>
          <w:highlight w:val="none"/>
          <w:lang w:val="en-US" w:eastAsia="zh-CN"/>
        </w:rPr>
        <w:t>万元，预算执行率为</w:t>
      </w:r>
      <w:r>
        <w:rPr>
          <w:rFonts w:hint="default" w:ascii="Times New Roman" w:hAnsi="Times New Roman" w:cs="Times New Roman"/>
          <w:color w:val="auto"/>
          <w:sz w:val="32"/>
          <w:szCs w:val="32"/>
          <w:highlight w:val="none"/>
          <w:lang w:val="en-US" w:eastAsia="zh-CN"/>
        </w:rPr>
        <w:t>100.00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（3）资金使用合规性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（2）制度执行有效性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7"/>
        <w:numPr>
          <w:ilvl w:val="0"/>
          <w:numId w:val="0"/>
        </w:numPr>
        <w:rPr>
          <w:rFonts w:hint="default" w:ascii="Times New Roman" w:hAnsi="Times New Roman" w:eastAsia="楷体_GB2312" w:cs="Times New Roman"/>
          <w:b/>
          <w:bCs/>
          <w:color w:val="auto"/>
          <w:kern w:val="2"/>
          <w:sz w:val="32"/>
          <w:szCs w:val="32"/>
          <w:lang w:val="en-US" w:eastAsia="zh-CN" w:bidi="ar-SA"/>
        </w:rPr>
      </w:pPr>
      <w:bookmarkStart w:id="13" w:name="_Toc68703840"/>
      <w:r>
        <w:rPr>
          <w:rFonts w:hint="default" w:ascii="Times New Roman" w:hAnsi="Times New Roman" w:eastAsia="楷体_GB2312" w:cs="Times New Roman"/>
          <w:b/>
          <w:bCs/>
          <w:color w:val="auto"/>
          <w:kern w:val="2"/>
          <w:sz w:val="32"/>
          <w:szCs w:val="32"/>
          <w:lang w:val="en-US" w:eastAsia="zh-CN" w:bidi="ar-SA"/>
        </w:rPr>
        <w:t>（三）项目产出情况</w:t>
      </w:r>
      <w:bookmarkEnd w:id="13"/>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项目产出类指标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包括产出数量、产出质量、产出时效、产出成本四方面的内容，由</w:t>
      </w:r>
      <w:r>
        <w:rPr>
          <w:rFonts w:hint="eastAsia" w:ascii="Times New Roman" w:hAnsi="Times New Roman"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个三级指标构成，权重分为</w:t>
      </w:r>
      <w:r>
        <w:rPr>
          <w:rFonts w:hint="default" w:ascii="Times New Roman" w:hAnsi="Times New Roman"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0分，实际得分</w:t>
      </w:r>
      <w:r>
        <w:rPr>
          <w:rFonts w:hint="default" w:ascii="Times New Roman" w:hAnsi="Times New Roman"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w:t>
      </w:r>
      <w:r>
        <w:rPr>
          <w:rFonts w:hint="default" w:ascii="Times New Roman" w:hAnsi="Times New Roman" w:eastAsia="仿宋_GB2312" w:cs="Times New Roman"/>
          <w:color w:val="auto"/>
          <w:sz w:val="32"/>
          <w:szCs w:val="32"/>
          <w:lang w:val="en-US" w:eastAsia="zh-CN"/>
        </w:rPr>
        <w:t>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指标1：</w:t>
      </w:r>
      <w:r>
        <w:rPr>
          <w:rFonts w:hint="eastAsia" w:ascii="Times New Roman" w:hAnsi="Times New Roman" w:eastAsia="仿宋_GB2312" w:cs="Times New Roman"/>
          <w:color w:val="auto"/>
          <w:sz w:val="32"/>
          <w:szCs w:val="32"/>
          <w:highlight w:val="none"/>
          <w:lang w:val="en-US" w:eastAsia="zh-CN"/>
        </w:rPr>
        <w:t>公共服务平台服务服务企业数量增长率</w:t>
      </w:r>
      <w:r>
        <w:rPr>
          <w:rFonts w:hint="default" w:ascii="Times New Roman" w:hAnsi="Times New Roman" w:eastAsia="仿宋_GB2312" w:cs="Times New Roman"/>
          <w:color w:val="auto"/>
          <w:sz w:val="32"/>
          <w:szCs w:val="32"/>
          <w:highlight w:val="none"/>
          <w:lang w:val="en-US" w:eastAsia="zh-CN"/>
        </w:rPr>
        <w:t>，指标值：≥</w:t>
      </w:r>
      <w:r>
        <w:rPr>
          <w:rFonts w:hint="eastAsia" w:ascii="Times New Roman" w:hAnsi="Times New Roman" w:eastAsia="仿宋_GB2312" w:cs="Times New Roman"/>
          <w:color w:val="auto"/>
          <w:sz w:val="32"/>
          <w:szCs w:val="32"/>
          <w:highlight w:val="none"/>
          <w:lang w:val="en-US" w:eastAsia="zh-CN"/>
        </w:rPr>
        <w:t>1家</w:t>
      </w:r>
      <w:r>
        <w:rPr>
          <w:rFonts w:hint="default" w:ascii="Times New Roman" w:hAnsi="Times New Roman" w:eastAsia="仿宋_GB2312" w:cs="Times New Roman"/>
          <w:color w:val="auto"/>
          <w:sz w:val="32"/>
          <w:szCs w:val="32"/>
          <w:highlight w:val="none"/>
          <w:lang w:val="en-US" w:eastAsia="zh-CN"/>
        </w:rPr>
        <w:t>，实际完成值：</w:t>
      </w:r>
      <w:r>
        <w:rPr>
          <w:rFonts w:hint="eastAsia" w:ascii="Times New Roman" w:hAnsi="Times New Roman" w:eastAsia="仿宋_GB2312" w:cs="Times New Roman"/>
          <w:color w:val="auto"/>
          <w:sz w:val="32"/>
          <w:szCs w:val="32"/>
          <w:highlight w:val="none"/>
          <w:lang w:val="en-US" w:eastAsia="zh-CN"/>
        </w:rPr>
        <w:t>1家</w:t>
      </w:r>
      <w:r>
        <w:rPr>
          <w:rFonts w:hint="default" w:ascii="Times New Roman" w:hAnsi="Times New Roman" w:eastAsia="仿宋_GB2312" w:cs="Times New Roman"/>
          <w:color w:val="auto"/>
          <w:sz w:val="32"/>
          <w:szCs w:val="32"/>
          <w:highlight w:val="none"/>
          <w:lang w:val="en-US" w:eastAsia="zh-CN"/>
        </w:rPr>
        <w:t>，指标完成率100%。</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指标2：服务费发放次数，指标值：=1次，实际完成值：1次，指标完成率100%。</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指标3：招商活动开展次数，指标值：=</w:t>
      </w:r>
      <w:r>
        <w:rPr>
          <w:rFonts w:hint="eastAsia" w:ascii="Times New Roman" w:hAnsi="Times New Roman" w:eastAsia="仿宋_GB2312" w:cs="Times New Roman"/>
          <w:color w:val="auto"/>
          <w:sz w:val="32"/>
          <w:szCs w:val="32"/>
          <w:highlight w:val="none"/>
          <w:lang w:val="en-US" w:eastAsia="zh-CN"/>
        </w:rPr>
        <w:t>1次</w:t>
      </w:r>
      <w:r>
        <w:rPr>
          <w:rFonts w:hint="default" w:ascii="Times New Roman" w:hAnsi="Times New Roman" w:eastAsia="仿宋_GB2312" w:cs="Times New Roman"/>
          <w:color w:val="auto"/>
          <w:sz w:val="32"/>
          <w:szCs w:val="32"/>
          <w:highlight w:val="none"/>
          <w:lang w:val="en-US" w:eastAsia="zh-CN"/>
        </w:rPr>
        <w:t>，实际完成值：1</w:t>
      </w:r>
      <w:r>
        <w:rPr>
          <w:rFonts w:hint="eastAsia" w:ascii="Times New Roman" w:hAnsi="Times New Roman" w:eastAsia="仿宋_GB2312" w:cs="Times New Roman"/>
          <w:color w:val="auto"/>
          <w:sz w:val="32"/>
          <w:szCs w:val="32"/>
          <w:highlight w:val="none"/>
          <w:lang w:val="en-US" w:eastAsia="zh-CN"/>
        </w:rPr>
        <w:t>次</w:t>
      </w:r>
      <w:r>
        <w:rPr>
          <w:rFonts w:hint="default" w:ascii="Times New Roman" w:hAnsi="Times New Roman" w:eastAsia="仿宋_GB2312" w:cs="Times New Roman"/>
          <w:color w:val="auto"/>
          <w:sz w:val="32"/>
          <w:szCs w:val="32"/>
          <w:highlight w:val="none"/>
          <w:lang w:val="en-US" w:eastAsia="zh-CN"/>
        </w:rPr>
        <w:t>，指标完成率100%。</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fldChar w:fldCharType="begin"/>
      </w:r>
      <w:r>
        <w:rPr>
          <w:rFonts w:hint="default" w:ascii="Times New Roman" w:hAnsi="Times New Roman" w:eastAsia="仿宋_GB2312" w:cs="Times New Roman"/>
          <w:color w:val="auto"/>
          <w:sz w:val="32"/>
          <w:szCs w:val="32"/>
          <w:highlight w:val="none"/>
          <w:lang w:val="en-US" w:eastAsia="zh-CN"/>
        </w:rPr>
        <w:instrText xml:space="preserve"> = 2 \* GB3 </w:instrText>
      </w:r>
      <w:r>
        <w:rPr>
          <w:rFonts w:hint="default" w:ascii="Times New Roman" w:hAnsi="Times New Roman" w:eastAsia="仿宋_GB2312" w:cs="Times New Roman"/>
          <w:color w:val="auto"/>
          <w:sz w:val="32"/>
          <w:szCs w:val="32"/>
          <w:highlight w:val="none"/>
          <w:lang w:val="en-US" w:eastAsia="zh-CN"/>
        </w:rPr>
        <w:fldChar w:fldCharType="separate"/>
      </w:r>
      <w:r>
        <w:rPr>
          <w:rFonts w:hint="default" w:ascii="Times New Roman" w:hAnsi="Times New Roman" w:eastAsia="仿宋_GB2312" w:cs="Times New Roman"/>
          <w:color w:val="auto"/>
          <w:sz w:val="32"/>
          <w:szCs w:val="32"/>
          <w:highlight w:val="none"/>
          <w:lang w:val="en-US" w:eastAsia="zh-CN"/>
        </w:rPr>
        <w:t>②</w:t>
      </w:r>
      <w:r>
        <w:rPr>
          <w:rFonts w:hint="default" w:ascii="Times New Roman" w:hAnsi="Times New Roman" w:eastAsia="仿宋_GB2312" w:cs="Times New Roman"/>
          <w:color w:val="auto"/>
          <w:sz w:val="32"/>
          <w:szCs w:val="32"/>
          <w:highlight w:val="none"/>
          <w:lang w:val="en-US" w:eastAsia="zh-CN"/>
        </w:rPr>
        <w:fldChar w:fldCharType="end"/>
      </w:r>
      <w:r>
        <w:rPr>
          <w:rFonts w:hint="default" w:ascii="Times New Roman" w:hAnsi="Times New Roman" w:eastAsia="仿宋_GB2312" w:cs="Times New Roman"/>
          <w:color w:val="auto"/>
          <w:sz w:val="32"/>
          <w:szCs w:val="32"/>
          <w:highlight w:val="none"/>
          <w:lang w:val="en-US" w:eastAsia="zh-CN"/>
        </w:rPr>
        <w:t>质量指标：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指标1：服务费发放准确率，指标值：=100%，实际完成值：100%，指标完成率100%。</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fldChar w:fldCharType="begin"/>
      </w:r>
      <w:r>
        <w:rPr>
          <w:rFonts w:hint="default" w:ascii="Times New Roman" w:hAnsi="Times New Roman" w:eastAsia="仿宋_GB2312" w:cs="Times New Roman"/>
          <w:color w:val="auto"/>
          <w:sz w:val="32"/>
          <w:szCs w:val="32"/>
          <w:highlight w:val="none"/>
          <w:lang w:val="en-US" w:eastAsia="zh-CN"/>
        </w:rPr>
        <w:instrText xml:space="preserve"> = 3 \* GB3 </w:instrText>
      </w:r>
      <w:r>
        <w:rPr>
          <w:rFonts w:hint="default" w:ascii="Times New Roman" w:hAnsi="Times New Roman" w:eastAsia="仿宋_GB2312" w:cs="Times New Roman"/>
          <w:color w:val="auto"/>
          <w:sz w:val="32"/>
          <w:szCs w:val="32"/>
          <w:highlight w:val="none"/>
          <w:lang w:val="en-US" w:eastAsia="zh-CN"/>
        </w:rPr>
        <w:fldChar w:fldCharType="separate"/>
      </w:r>
      <w:r>
        <w:rPr>
          <w:rFonts w:hint="default" w:ascii="Times New Roman" w:hAnsi="Times New Roman" w:eastAsia="仿宋_GB2312" w:cs="Times New Roman"/>
          <w:color w:val="auto"/>
          <w:sz w:val="32"/>
          <w:szCs w:val="32"/>
          <w:highlight w:val="none"/>
          <w:lang w:val="en-US" w:eastAsia="zh-CN"/>
        </w:rPr>
        <w:t>③</w:t>
      </w:r>
      <w:r>
        <w:rPr>
          <w:rFonts w:hint="default" w:ascii="Times New Roman" w:hAnsi="Times New Roman" w:eastAsia="仿宋_GB2312" w:cs="Times New Roman"/>
          <w:color w:val="auto"/>
          <w:sz w:val="32"/>
          <w:szCs w:val="32"/>
          <w:highlight w:val="none"/>
          <w:lang w:val="en-US" w:eastAsia="zh-CN"/>
        </w:rPr>
        <w:fldChar w:fldCharType="end"/>
      </w:r>
      <w:r>
        <w:rPr>
          <w:rFonts w:hint="default" w:ascii="Times New Roman" w:hAnsi="Times New Roman" w:eastAsia="仿宋_GB2312" w:cs="Times New Roman"/>
          <w:color w:val="auto"/>
          <w:sz w:val="32"/>
          <w:szCs w:val="32"/>
          <w:highlight w:val="none"/>
          <w:lang w:val="en-US" w:eastAsia="zh-CN"/>
        </w:rPr>
        <w:t>时效指标：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bookmarkStart w:id="14" w:name="_Toc68703841"/>
      <w:r>
        <w:rPr>
          <w:rFonts w:hint="default" w:ascii="Times New Roman" w:hAnsi="Times New Roman" w:eastAsia="仿宋_GB2312" w:cs="Times New Roman"/>
          <w:color w:val="auto"/>
          <w:sz w:val="32"/>
          <w:szCs w:val="32"/>
          <w:highlight w:val="none"/>
          <w:lang w:val="en-US" w:eastAsia="zh-CN"/>
        </w:rPr>
        <w:t>指标1：服务费发放及时率，指标值：</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，实际完成值：</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，指标完成率100%。</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指标2：开展招商活动及时性，指标值：=</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，实际完成值：</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，指标完成率100%。</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color w:val="auto"/>
          <w:kern w:val="2"/>
          <w:sz w:val="32"/>
          <w:szCs w:val="32"/>
          <w:lang w:val="en-US" w:eastAsia="zh-CN" w:bidi="ar-SA"/>
        </w:rPr>
      </w:pPr>
      <w:r>
        <w:rPr>
          <w:rFonts w:hint="default" w:ascii="Times New Roman" w:hAnsi="Times New Roman" w:eastAsia="楷体_GB2312" w:cs="Times New Roman"/>
          <w:b/>
          <w:bCs/>
          <w:color w:val="auto"/>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项目效益类指标包括项目实施效益和满意度两方面的内容，由2个三级指标构成，权重分为20分，实际得分20分，得分率为100%。具体效益指标及满意度指标完成情况如下：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1.实施效益</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①社会效益指标：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指标1：</w:t>
      </w:r>
      <w:r>
        <w:rPr>
          <w:rFonts w:hint="eastAsia" w:ascii="Times New Roman" w:hAnsi="Times New Roman" w:eastAsia="仿宋_GB2312" w:cs="Times New Roman"/>
          <w:color w:val="auto"/>
          <w:kern w:val="2"/>
          <w:sz w:val="32"/>
          <w:szCs w:val="32"/>
          <w:lang w:val="en-US" w:eastAsia="zh-CN" w:bidi="ar-SA"/>
        </w:rPr>
        <w:t>推</w:t>
      </w:r>
      <w:r>
        <w:rPr>
          <w:rFonts w:hint="default" w:ascii="Times New Roman" w:hAnsi="Times New Roman" w:eastAsia="仿宋_GB2312" w:cs="Times New Roman"/>
          <w:color w:val="auto"/>
          <w:kern w:val="2"/>
          <w:sz w:val="32"/>
          <w:szCs w:val="32"/>
          <w:lang w:val="en-US" w:eastAsia="zh-CN" w:bidi="ar-SA"/>
        </w:rPr>
        <w:t>进对外区域经济合作，指标值：</w:t>
      </w:r>
      <w:r>
        <w:rPr>
          <w:rFonts w:hint="eastAsia" w:ascii="Times New Roman" w:hAnsi="Times New Roman" w:eastAsia="仿宋_GB2312" w:cs="Times New Roman"/>
          <w:color w:val="auto"/>
          <w:kern w:val="2"/>
          <w:sz w:val="32"/>
          <w:szCs w:val="32"/>
          <w:lang w:val="en-US" w:eastAsia="zh-CN" w:bidi="ar-SA"/>
        </w:rPr>
        <w:t>有效推动</w:t>
      </w:r>
      <w:r>
        <w:rPr>
          <w:rFonts w:hint="default" w:ascii="Times New Roman" w:hAnsi="Times New Roman" w:eastAsia="仿宋_GB2312" w:cs="Times New Roman"/>
          <w:color w:val="auto"/>
          <w:kern w:val="2"/>
          <w:sz w:val="32"/>
          <w:szCs w:val="32"/>
          <w:lang w:val="en-US" w:eastAsia="zh-CN" w:bidi="ar-SA"/>
        </w:rPr>
        <w:t>，实际完成值：</w:t>
      </w:r>
      <w:r>
        <w:rPr>
          <w:rFonts w:hint="eastAsia" w:ascii="Times New Roman" w:hAnsi="Times New Roman" w:eastAsia="仿宋_GB2312" w:cs="Times New Roman"/>
          <w:color w:val="auto"/>
          <w:kern w:val="2"/>
          <w:sz w:val="32"/>
          <w:szCs w:val="32"/>
          <w:lang w:val="en-US" w:eastAsia="zh-CN" w:bidi="ar-SA"/>
        </w:rPr>
        <w:t>有效推动</w:t>
      </w:r>
      <w:r>
        <w:rPr>
          <w:rFonts w:hint="default" w:ascii="Times New Roman" w:hAnsi="Times New Roman" w:eastAsia="仿宋_GB2312" w:cs="Times New Roman"/>
          <w:color w:val="auto"/>
          <w:kern w:val="2"/>
          <w:sz w:val="32"/>
          <w:szCs w:val="32"/>
          <w:lang w:val="en-US" w:eastAsia="zh-CN" w:bidi="ar-SA"/>
        </w:rPr>
        <w:t>，指标完成率100%。</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2.满意度</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①</w:t>
      </w:r>
      <w:r>
        <w:rPr>
          <w:rFonts w:hint="eastAsia" w:ascii="Times New Roman" w:hAnsi="Times New Roman" w:eastAsia="仿宋_GB2312" w:cs="Times New Roman"/>
          <w:color w:val="auto"/>
          <w:kern w:val="2"/>
          <w:sz w:val="32"/>
          <w:szCs w:val="32"/>
          <w:lang w:val="en-US" w:eastAsia="zh-CN" w:bidi="ar-SA"/>
        </w:rPr>
        <w:t>满意度指标：</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指标1：</w:t>
      </w:r>
      <w:r>
        <w:rPr>
          <w:rFonts w:hint="default" w:ascii="Times New Roman" w:hAnsi="Times New Roman" w:eastAsia="仿宋_GB2312" w:cs="Times New Roman"/>
          <w:color w:val="auto"/>
          <w:kern w:val="2"/>
          <w:sz w:val="32"/>
          <w:szCs w:val="32"/>
          <w:lang w:val="en-US" w:eastAsia="zh-CN" w:bidi="ar-SA"/>
        </w:rPr>
        <w:t>企业满意度</w:t>
      </w:r>
      <w:r>
        <w:rPr>
          <w:rFonts w:hint="eastAsia" w:ascii="Times New Roman" w:hAnsi="Times New Roman" w:eastAsia="仿宋_GB2312" w:cs="Times New Roman"/>
          <w:color w:val="auto"/>
          <w:kern w:val="2"/>
          <w:sz w:val="32"/>
          <w:szCs w:val="32"/>
          <w:lang w:val="en-US" w:eastAsia="zh-CN" w:bidi="ar-SA"/>
        </w:rPr>
        <w:t>，指标值：≥95%，</w:t>
      </w:r>
      <w:r>
        <w:rPr>
          <w:rFonts w:hint="default" w:ascii="Times New Roman" w:hAnsi="Times New Roman" w:eastAsia="仿宋_GB2312" w:cs="Times New Roman"/>
          <w:color w:val="auto"/>
          <w:kern w:val="2"/>
          <w:sz w:val="32"/>
          <w:szCs w:val="32"/>
          <w:lang w:val="en-US" w:eastAsia="zh-CN" w:bidi="ar-SA"/>
        </w:rPr>
        <w:t>实际完成值：</w:t>
      </w:r>
      <w:r>
        <w:rPr>
          <w:rFonts w:hint="eastAsia" w:ascii="Times New Roman" w:hAnsi="Times New Roman" w:eastAsia="仿宋_GB2312" w:cs="Times New Roman"/>
          <w:color w:val="auto"/>
          <w:kern w:val="2"/>
          <w:sz w:val="32"/>
          <w:szCs w:val="32"/>
          <w:lang w:val="en-US" w:eastAsia="zh-CN" w:bidi="ar-SA"/>
        </w:rPr>
        <w:t>100</w:t>
      </w:r>
      <w:r>
        <w:rPr>
          <w:rFonts w:hint="default" w:ascii="Times New Roman" w:hAnsi="Times New Roman" w:eastAsia="仿宋_GB2312" w:cs="Times New Roman"/>
          <w:color w:val="auto"/>
          <w:kern w:val="2"/>
          <w:sz w:val="32"/>
          <w:szCs w:val="32"/>
          <w:lang w:val="en-US" w:eastAsia="zh-CN" w:bidi="ar-SA"/>
        </w:rPr>
        <w:t>%，指标完成率10</w:t>
      </w:r>
      <w:r>
        <w:rPr>
          <w:rFonts w:hint="eastAsia" w:ascii="Times New Roman" w:hAnsi="Times New Roman" w:eastAsia="仿宋_GB2312" w:cs="Times New Roman"/>
          <w:color w:val="auto"/>
          <w:kern w:val="2"/>
          <w:sz w:val="32"/>
          <w:szCs w:val="32"/>
          <w:lang w:val="en-US" w:eastAsia="zh-CN" w:bidi="ar-SA"/>
        </w:rPr>
        <w:t>5</w:t>
      </w:r>
      <w:r>
        <w:rPr>
          <w:rFonts w:hint="default" w:ascii="Times New Roman" w:hAnsi="Times New Roman" w:eastAsia="仿宋_GB2312" w:cs="Times New Roman"/>
          <w:color w:val="auto"/>
          <w:kern w:val="2"/>
          <w:sz w:val="32"/>
          <w:szCs w:val="32"/>
          <w:lang w:val="en-US" w:eastAsia="zh-CN" w:bidi="ar-SA"/>
        </w:rPr>
        <w:t>%。</w:t>
      </w:r>
    </w:p>
    <w:p>
      <w:pPr>
        <w:spacing w:line="560" w:lineRule="exact"/>
        <w:rPr>
          <w:rFonts w:hint="default" w:ascii="Times New Roman" w:hAnsi="Times New Roman" w:eastAsia="黑体" w:cs="Times New Roman"/>
          <w:color w:val="auto"/>
          <w:sz w:val="32"/>
          <w:szCs w:val="32"/>
          <w:lang w:eastAsia="zh-Hans"/>
        </w:rPr>
      </w:pPr>
      <w:r>
        <w:rPr>
          <w:rFonts w:hint="eastAsia" w:eastAsia="黑体" w:cs="Times New Roman"/>
          <w:color w:val="auto"/>
          <w:sz w:val="32"/>
          <w:szCs w:val="32"/>
          <w:lang w:eastAsia="zh-CN"/>
        </w:rPr>
        <w:t>　</w:t>
      </w:r>
      <w:r>
        <w:rPr>
          <w:rFonts w:hint="default" w:ascii="Times New Roman" w:hAnsi="Times New Roman" w:eastAsia="黑体" w:cs="Times New Roman"/>
          <w:color w:val="auto"/>
          <w:sz w:val="32"/>
          <w:szCs w:val="32"/>
          <w:lang w:eastAsia="zh-Hans"/>
        </w:rPr>
        <w:t>五、预算执行进度与绩效指标总体完成率偏差</w:t>
      </w:r>
    </w:p>
    <w:p>
      <w:pPr>
        <w:pStyle w:val="21"/>
        <w:spacing w:line="560" w:lineRule="exact"/>
        <w:ind w:firstLine="640"/>
        <w:rPr>
          <w:rFonts w:hint="default" w:ascii="Times New Roman" w:hAnsi="Times New Roman" w:cs="Times New Roman"/>
          <w:color w:val="auto"/>
        </w:rPr>
      </w:pPr>
      <w:r>
        <w:rPr>
          <w:rFonts w:hint="eastAsia" w:cs="Times New Roman"/>
          <w:color w:val="auto"/>
          <w:kern w:val="2"/>
          <w:sz w:val="32"/>
          <w:szCs w:val="32"/>
          <w:lang w:val="en-US" w:eastAsia="zh-CN" w:bidi="ar-SA"/>
        </w:rPr>
        <w:t>招商引资服务资金</w:t>
      </w:r>
      <w:r>
        <w:rPr>
          <w:rFonts w:hint="default" w:ascii="Times New Roman" w:hAnsi="Times New Roman" w:eastAsia="仿宋_GB2312" w:cs="Times New Roman"/>
          <w:color w:val="auto"/>
          <w:kern w:val="2"/>
          <w:sz w:val="32"/>
          <w:szCs w:val="32"/>
          <w:lang w:val="en-US" w:eastAsia="zh-CN" w:bidi="ar-SA"/>
        </w:rPr>
        <w:t>年初预算</w:t>
      </w:r>
      <w:r>
        <w:rPr>
          <w:rFonts w:hint="eastAsia" w:cs="Times New Roman"/>
          <w:color w:val="auto"/>
          <w:kern w:val="2"/>
          <w:sz w:val="32"/>
          <w:szCs w:val="32"/>
          <w:lang w:val="en-US" w:eastAsia="zh-CN" w:bidi="ar-SA"/>
        </w:rPr>
        <w:t>600</w:t>
      </w:r>
      <w:r>
        <w:rPr>
          <w:rFonts w:hint="default"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万元，全年预算</w:t>
      </w:r>
      <w:r>
        <w:rPr>
          <w:rFonts w:hint="eastAsia" w:cs="Times New Roman"/>
          <w:color w:val="auto"/>
          <w:kern w:val="2"/>
          <w:sz w:val="32"/>
          <w:szCs w:val="32"/>
          <w:lang w:val="en-US" w:eastAsia="zh-CN" w:bidi="ar-SA"/>
        </w:rPr>
        <w:t>60</w:t>
      </w:r>
      <w:r>
        <w:rPr>
          <w:rFonts w:hint="default" w:ascii="Times New Roman" w:hAnsi="Times New Roman" w:cs="Times New Roman"/>
          <w:color w:val="auto"/>
          <w:kern w:val="2"/>
          <w:sz w:val="32"/>
          <w:szCs w:val="32"/>
          <w:lang w:val="en-US" w:eastAsia="zh-CN" w:bidi="ar-SA"/>
        </w:rPr>
        <w:t>00</w:t>
      </w:r>
      <w:r>
        <w:rPr>
          <w:rFonts w:hint="default" w:ascii="Times New Roman" w:hAnsi="Times New Roman" w:eastAsia="仿宋_GB2312" w:cs="Times New Roman"/>
          <w:color w:val="auto"/>
          <w:kern w:val="2"/>
          <w:sz w:val="32"/>
          <w:szCs w:val="32"/>
          <w:lang w:val="en-US" w:eastAsia="zh-CN" w:bidi="ar-SA"/>
        </w:rPr>
        <w:t>万元，实际支出</w:t>
      </w:r>
      <w:r>
        <w:rPr>
          <w:rFonts w:hint="eastAsia" w:cs="Times New Roman"/>
          <w:color w:val="auto"/>
          <w:kern w:val="2"/>
          <w:sz w:val="32"/>
          <w:szCs w:val="32"/>
          <w:lang w:val="en-US" w:eastAsia="zh-CN" w:bidi="ar-SA"/>
        </w:rPr>
        <w:t>6000</w:t>
      </w:r>
      <w:r>
        <w:rPr>
          <w:rFonts w:hint="default" w:ascii="Times New Roman" w:hAnsi="Times New Roman" w:eastAsia="仿宋_GB2312" w:cs="Times New Roman"/>
          <w:color w:val="auto"/>
          <w:kern w:val="2"/>
          <w:sz w:val="32"/>
          <w:szCs w:val="32"/>
          <w:lang w:val="en-US" w:eastAsia="zh-CN" w:bidi="ar-SA"/>
        </w:rPr>
        <w:t>万元，预算执行率为</w:t>
      </w:r>
      <w:r>
        <w:rPr>
          <w:rFonts w:hint="default" w:ascii="Times New Roman" w:hAnsi="Times New Roman" w:cs="Times New Roman"/>
          <w:color w:val="auto"/>
          <w:kern w:val="2"/>
          <w:sz w:val="32"/>
          <w:szCs w:val="32"/>
          <w:lang w:val="en-US" w:eastAsia="zh-CN" w:bidi="ar-SA"/>
        </w:rPr>
        <w:t>100.00</w:t>
      </w:r>
      <w:r>
        <w:rPr>
          <w:rFonts w:hint="default" w:ascii="Times New Roman" w:hAnsi="Times New Roman" w:eastAsia="仿宋_GB2312" w:cs="Times New Roman"/>
          <w:color w:val="auto"/>
          <w:kern w:val="2"/>
          <w:sz w:val="32"/>
          <w:szCs w:val="32"/>
          <w:lang w:val="en-US" w:eastAsia="zh-CN" w:bidi="ar-SA"/>
        </w:rPr>
        <w:t>%，项目绩效指标总体完成率为</w:t>
      </w:r>
      <w:r>
        <w:rPr>
          <w:rFonts w:hint="default" w:ascii="Times New Roman" w:hAnsi="Times New Roman" w:cs="Times New Roman"/>
          <w:color w:val="auto"/>
          <w:kern w:val="2"/>
          <w:sz w:val="32"/>
          <w:szCs w:val="32"/>
          <w:lang w:val="en-US" w:eastAsia="zh-CN" w:bidi="ar-SA"/>
        </w:rPr>
        <w:t>100.</w:t>
      </w:r>
      <w:r>
        <w:rPr>
          <w:rFonts w:hint="eastAsia" w:cs="Times New Roman"/>
          <w:color w:val="auto"/>
          <w:kern w:val="2"/>
          <w:sz w:val="32"/>
          <w:szCs w:val="32"/>
          <w:lang w:val="en-US" w:eastAsia="zh-CN" w:bidi="ar-SA"/>
        </w:rPr>
        <w:t>63</w:t>
      </w:r>
      <w:r>
        <w:rPr>
          <w:rFonts w:hint="default"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Hans" w:bidi="ar-SA"/>
        </w:rPr>
        <w:t>总体</w:t>
      </w:r>
      <w:r>
        <w:rPr>
          <w:rFonts w:hint="default" w:ascii="Times New Roman" w:hAnsi="Times New Roman" w:eastAsia="仿宋_GB2312" w:cs="Times New Roman"/>
          <w:color w:val="auto"/>
          <w:kern w:val="2"/>
          <w:sz w:val="32"/>
          <w:szCs w:val="32"/>
          <w:lang w:val="en-US" w:eastAsia="zh-CN" w:bidi="ar-SA"/>
        </w:rPr>
        <w:t>偏差率为</w:t>
      </w:r>
      <w:r>
        <w:rPr>
          <w:rFonts w:hint="default" w:ascii="Times New Roman" w:hAnsi="Times New Roman" w:cs="Times New Roman"/>
          <w:color w:val="auto"/>
          <w:kern w:val="2"/>
          <w:sz w:val="32"/>
          <w:szCs w:val="32"/>
          <w:lang w:val="en-US" w:eastAsia="zh-CN" w:bidi="ar-SA"/>
        </w:rPr>
        <w:t>0.</w:t>
      </w:r>
      <w:r>
        <w:rPr>
          <w:rFonts w:hint="eastAsia" w:cs="Times New Roman"/>
          <w:color w:val="auto"/>
          <w:kern w:val="2"/>
          <w:sz w:val="32"/>
          <w:szCs w:val="32"/>
          <w:lang w:val="en-US" w:eastAsia="zh-CN" w:bidi="ar-SA"/>
        </w:rPr>
        <w:t>63</w:t>
      </w:r>
      <w:r>
        <w:rPr>
          <w:rFonts w:hint="default"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Hans" w:bidi="ar-SA"/>
        </w:rPr>
        <w:t>偏差</w:t>
      </w:r>
      <w:r>
        <w:rPr>
          <w:rFonts w:hint="default" w:ascii="Times New Roman" w:hAnsi="Times New Roman" w:eastAsia="仿宋_GB2312" w:cs="Times New Roman"/>
          <w:color w:val="auto"/>
          <w:kern w:val="2"/>
          <w:sz w:val="32"/>
          <w:szCs w:val="32"/>
          <w:lang w:val="en-US" w:eastAsia="zh-CN" w:bidi="ar-SA"/>
        </w:rPr>
        <w:t>原因</w:t>
      </w:r>
      <w:r>
        <w:rPr>
          <w:rFonts w:hint="default" w:ascii="Times New Roman" w:hAnsi="Times New Roman" w:cs="Times New Roman"/>
          <w:color w:val="auto"/>
          <w:kern w:val="2"/>
          <w:sz w:val="32"/>
          <w:szCs w:val="32"/>
          <w:lang w:val="en-US" w:eastAsia="zh-CN" w:bidi="ar-SA"/>
        </w:rPr>
        <w:t>：</w:t>
      </w:r>
      <w:r>
        <w:rPr>
          <w:rFonts w:hint="eastAsia" w:cs="Times New Roman"/>
          <w:color w:val="auto"/>
          <w:kern w:val="2"/>
          <w:sz w:val="32"/>
          <w:szCs w:val="32"/>
          <w:lang w:val="en-US" w:eastAsia="zh-CN" w:bidi="ar-SA"/>
        </w:rPr>
        <w:t>项目人员满意度较高</w:t>
      </w:r>
      <w:r>
        <w:rPr>
          <w:rFonts w:hint="default" w:ascii="Times New Roman" w:hAnsi="Times New Roman" w:eastAsia="仿宋_GB2312" w:cs="Times New Roman"/>
          <w:color w:val="auto"/>
          <w:kern w:val="2"/>
          <w:sz w:val="32"/>
          <w:szCs w:val="32"/>
          <w:lang w:val="en-US" w:eastAsia="zh-CN" w:bidi="ar-SA"/>
        </w:rPr>
        <w:t>。</w:t>
      </w:r>
    </w:p>
    <w:p>
      <w:pPr>
        <w:spacing w:line="560" w:lineRule="exact"/>
        <w:rPr>
          <w:rFonts w:hint="default" w:ascii="Times New Roman" w:hAnsi="Times New Roman" w:eastAsia="黑体" w:cs="Times New Roman"/>
          <w:bCs/>
          <w:color w:val="auto"/>
          <w:sz w:val="32"/>
          <w:szCs w:val="32"/>
          <w:lang w:val="en-US" w:eastAsia="zh-CN"/>
        </w:rPr>
      </w:pPr>
      <w:bookmarkStart w:id="15" w:name="_Toc68703842"/>
      <w:r>
        <w:rPr>
          <w:rFonts w:hint="default" w:ascii="Times New Roman" w:hAnsi="Times New Roman" w:eastAsia="黑体" w:cs="Times New Roman"/>
          <w:bCs/>
          <w:color w:val="auto"/>
          <w:sz w:val="32"/>
          <w:szCs w:val="32"/>
          <w:lang w:val="en-US" w:eastAsia="zh-CN"/>
        </w:rPr>
        <w:t>六、主要经验及做法、存在的问题及原因分析</w:t>
      </w:r>
      <w:bookmarkEnd w:id="15"/>
    </w:p>
    <w:p>
      <w:pPr>
        <w:spacing w:line="560" w:lineRule="exact"/>
        <w:rPr>
          <w:rFonts w:hint="default" w:ascii="Times New Roman" w:hAnsi="Times New Roman" w:eastAsia="楷体_GB2312" w:cs="Times New Roman"/>
          <w:b/>
          <w:bCs/>
          <w:color w:val="auto"/>
          <w:kern w:val="2"/>
          <w:sz w:val="32"/>
          <w:szCs w:val="32"/>
          <w:lang w:val="en-US" w:eastAsia="zh-CN" w:bidi="ar-SA"/>
        </w:rPr>
      </w:pPr>
      <w:bookmarkStart w:id="16" w:name="_Toc68703843"/>
      <w:r>
        <w:rPr>
          <w:rFonts w:hint="default" w:ascii="Times New Roman" w:hAnsi="Times New Roman" w:eastAsia="楷体_GB2312" w:cs="Times New Roman"/>
          <w:b/>
          <w:bCs/>
          <w:color w:val="auto"/>
          <w:kern w:val="2"/>
          <w:sz w:val="32"/>
          <w:szCs w:val="32"/>
          <w:lang w:val="en-US" w:eastAsia="zh-CN" w:bidi="ar-SA"/>
        </w:rPr>
        <w:t>（一）主要经验及做法</w:t>
      </w:r>
      <w:bookmarkEnd w:id="16"/>
    </w:p>
    <w:p>
      <w:pPr>
        <w:spacing w:line="560" w:lineRule="exact"/>
        <w:ind w:firstLine="640" w:firstLineChars="200"/>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hint="default" w:ascii="Times New Roman" w:hAnsi="Times New Roman" w:cs="Times New Roman"/>
          <w:color w:val="auto"/>
        </w:rPr>
      </w:pPr>
      <w:r>
        <w:rPr>
          <w:rFonts w:hint="default" w:ascii="Times New Roman" w:hAnsi="Times New Roman" w:eastAsia="仿宋_GB2312" w:cs="Times New Roman"/>
          <w:b w:val="0"/>
          <w:bCs w:val="0"/>
          <w:color w:val="auto"/>
          <w:kern w:val="2"/>
          <w:sz w:val="32"/>
          <w:szCs w:val="32"/>
          <w:lang w:val="en-US" w:eastAsia="zh-CN" w:bidi="ar-S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default" w:ascii="Times New Roman" w:hAnsi="Times New Roman" w:eastAsia="仿宋_GB2312" w:cs="Times New Roman"/>
          <w:b w:val="0"/>
          <w:bCs w:val="0"/>
          <w:color w:val="auto"/>
          <w:kern w:val="2"/>
        </w:rPr>
        <w:t>。</w:t>
      </w:r>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color w:val="auto"/>
          <w:kern w:val="2"/>
          <w:sz w:val="32"/>
          <w:szCs w:val="32"/>
          <w:lang w:val="en-US" w:eastAsia="zh-CN" w:bidi="ar-SA"/>
        </w:rPr>
      </w:pPr>
      <w:bookmarkStart w:id="17" w:name="_Toc68703844"/>
      <w:r>
        <w:rPr>
          <w:rFonts w:hint="default" w:ascii="Times New Roman" w:hAnsi="Times New Roman" w:eastAsia="楷体_GB2312" w:cs="Times New Roman"/>
          <w:b/>
          <w:bCs/>
          <w:color w:val="auto"/>
          <w:kern w:val="2"/>
          <w:sz w:val="32"/>
          <w:szCs w:val="32"/>
          <w:lang w:val="en-US" w:eastAsia="zh-CN" w:bidi="ar-SA"/>
        </w:rPr>
        <w:t>（二）存在的问题及原因分析</w:t>
      </w:r>
      <w:bookmarkEnd w:id="17"/>
      <w:r>
        <w:rPr>
          <w:rFonts w:hint="default" w:ascii="Times New Roman" w:hAnsi="Times New Roman" w:eastAsia="楷体_GB2312" w:cs="Times New Roman"/>
          <w:b/>
          <w:bCs/>
          <w:color w:val="auto"/>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w:t>
      </w:r>
      <w:r>
        <w:rPr>
          <w:rFonts w:hint="default" w:ascii="Times New Roman" w:hAnsi="Times New Roman" w:cs="Times New Roman"/>
          <w:color w:val="auto"/>
          <w:sz w:val="32"/>
          <w:szCs w:val="32"/>
          <w:highlight w:val="none"/>
          <w:lang w:val="en-US" w:eastAsia="zh-CN"/>
        </w:rPr>
        <w:t>人手不足</w:t>
      </w:r>
      <w:r>
        <w:rPr>
          <w:rFonts w:hint="default" w:ascii="Times New Roman" w:hAnsi="Times New Roman" w:eastAsia="仿宋_GB2312" w:cs="Times New Roman"/>
          <w:color w:val="auto"/>
          <w:sz w:val="32"/>
          <w:szCs w:val="32"/>
          <w:highlight w:val="none"/>
          <w:lang w:val="en-US" w:eastAsia="zh-CN"/>
        </w:rPr>
        <w:t>等因素使我单位绩效工作人员</w:t>
      </w:r>
      <w:r>
        <w:rPr>
          <w:rFonts w:hint="default" w:ascii="Times New Roman" w:hAnsi="Times New Roman" w:cs="Times New Roman"/>
          <w:color w:val="auto"/>
          <w:sz w:val="32"/>
          <w:szCs w:val="32"/>
          <w:highlight w:val="none"/>
          <w:lang w:val="en-US" w:eastAsia="zh-CN"/>
        </w:rPr>
        <w:t>不固定</w:t>
      </w:r>
      <w:r>
        <w:rPr>
          <w:rFonts w:hint="default" w:ascii="Times New Roman" w:hAnsi="Times New Roman" w:eastAsia="仿宋_GB2312" w:cs="Times New Roman"/>
          <w:color w:val="auto"/>
          <w:sz w:val="32"/>
          <w:szCs w:val="32"/>
          <w:highlight w:val="none"/>
          <w:lang w:val="en-US" w:eastAsia="zh-CN"/>
        </w:rPr>
        <w:t>，造成了工作衔接不到位的情况。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default" w:ascii="Times New Roman" w:hAnsi="Times New Roman" w:eastAsia="仿宋_GB2312" w:cs="Times New Roman"/>
          <w:b w:val="0"/>
          <w:bCs w:val="0"/>
          <w:color w:val="auto"/>
          <w:kern w:val="2"/>
          <w:sz w:val="32"/>
          <w:szCs w:val="32"/>
          <w:lang w:val="en-US" w:eastAsia="zh-CN" w:bidi="ar-SA"/>
        </w:rPr>
      </w:pPr>
      <w:bookmarkStart w:id="18" w:name="_Toc68703845"/>
      <w:r>
        <w:rPr>
          <w:rFonts w:hint="default" w:ascii="Times New Roman" w:hAnsi="Times New Roman" w:eastAsia="黑体" w:cs="Times New Roman"/>
          <w:b w:val="0"/>
          <w:bCs/>
          <w:color w:val="auto"/>
          <w:kern w:val="2"/>
          <w:sz w:val="32"/>
          <w:szCs w:val="32"/>
          <w:lang w:val="en-US" w:eastAsia="zh-CN" w:bidi="ar-SA"/>
        </w:rPr>
        <w:t>七、有关建议</w:t>
      </w:r>
      <w:bookmarkEnd w:id="18"/>
      <w:r>
        <w:rPr>
          <w:rFonts w:hint="default" w:ascii="Times New Roman" w:hAnsi="Times New Roman" w:eastAsia="黑体" w:cs="Times New Roman"/>
          <w:b w:val="0"/>
          <w:bCs/>
          <w:color w:val="auto"/>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cs="Times New Roman"/>
          <w:color w:val="auto"/>
        </w:rPr>
      </w:pPr>
      <w:r>
        <w:rPr>
          <w:rFonts w:hint="default" w:ascii="Times New Roman" w:hAnsi="Times New Roman"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.进一步加强对绩效管理工作的组织领导，提高对预算绩效管理工作重要性的认识，总结经验</w:t>
      </w:r>
      <w:r>
        <w:rPr>
          <w:rFonts w:hint="default"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查找问题，抓紧研究制定更全面更完善的绩效评价管理办法。结合</w:t>
      </w:r>
      <w:r>
        <w:rPr>
          <w:rFonts w:hint="default" w:ascii="Times New Roman" w:hAnsi="Times New Roman" w:cs="Times New Roman"/>
          <w:color w:val="auto"/>
          <w:sz w:val="32"/>
          <w:szCs w:val="32"/>
          <w:highlight w:val="none"/>
          <w:lang w:val="en-US" w:eastAsia="zh-CN"/>
        </w:rPr>
        <w:t>日常工作</w:t>
      </w:r>
      <w:r>
        <w:rPr>
          <w:rFonts w:hint="default" w:ascii="Times New Roman" w:hAnsi="Times New Roman" w:eastAsia="仿宋_GB2312" w:cs="Times New Roman"/>
          <w:color w:val="auto"/>
          <w:sz w:val="32"/>
          <w:szCs w:val="32"/>
          <w:highlight w:val="none"/>
          <w:lang w:val="en-US" w:eastAsia="zh-CN"/>
        </w:rPr>
        <w:t>考核建立绩效工作考核制度，加大全</w:t>
      </w:r>
      <w:r>
        <w:rPr>
          <w:rFonts w:hint="default" w:ascii="Times New Roman" w:hAnsi="Times New Roman"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val="en-US" w:eastAsia="zh-CN"/>
        </w:rPr>
        <w:t>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color w:val="auto"/>
          <w:sz w:val="32"/>
          <w:szCs w:val="32"/>
        </w:rPr>
      </w:pPr>
      <w:bookmarkStart w:id="19" w:name="_Toc68703846"/>
      <w:r>
        <w:rPr>
          <w:rFonts w:hint="default" w:ascii="Times New Roman" w:hAnsi="Times New Roman" w:eastAsia="宋体" w:cs="Times New Roman"/>
          <w:color w:val="auto"/>
          <w:sz w:val="32"/>
          <w:szCs w:val="32"/>
          <w:lang w:eastAsia="zh-CN"/>
        </w:rPr>
        <w:t>八</w:t>
      </w:r>
      <w:r>
        <w:rPr>
          <w:rFonts w:hint="default" w:ascii="Times New Roman" w:hAnsi="Times New Roman" w:eastAsia="宋体" w:cs="Times New Roman"/>
          <w:color w:val="auto"/>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rFonts w:hint="default"/>
        </w:rPr>
      </w:pPr>
      <w:r>
        <w:rPr>
          <w:rFonts w:hint="default" w:ascii="Times New Roman" w:hAnsi="Times New Roman" w:cs="Times New Roman"/>
          <w:color w:val="auto"/>
          <w:sz w:val="32"/>
          <w:szCs w:val="32"/>
          <w:lang w:eastAsia="zh-CN"/>
        </w:rPr>
        <w:t>　</w:t>
      </w:r>
      <w:r>
        <w:rPr>
          <w:rFonts w:hint="default" w:ascii="Times New Roman" w:hAnsi="Times New Roman" w:eastAsia="仿宋_GB2312" w:cs="Times New Roman"/>
          <w:color w:val="auto"/>
          <w:sz w:val="32"/>
          <w:szCs w:val="32"/>
          <w:lang w:eastAsia="zh-Hans"/>
        </w:rPr>
        <w:t>本项目无其他需说明的问题</w:t>
      </w:r>
      <w:r>
        <w:rPr>
          <w:rFonts w:hint="default" w:ascii="Times New Roman" w:hAnsi="Times New Roman" w:cs="Times New Roman"/>
          <w:color w:val="auto"/>
          <w:sz w:val="32"/>
          <w:szCs w:val="32"/>
          <w:lang w:eastAsia="zh-CN"/>
        </w:rPr>
        <w:t>。</w:t>
      </w:r>
      <w:bookmarkStart w:id="22" w:name="_GoBack"/>
      <w:bookmarkEnd w:id="22"/>
    </w:p>
    <w:tbl>
      <w:tblPr>
        <w:tblStyle w:val="12"/>
        <w:tblpPr w:leftFromText="180" w:rightFromText="180" w:vertAnchor="text" w:horzAnchor="page" w:tblpX="650" w:tblpY="288"/>
        <w:tblOverlap w:val="never"/>
        <w:tblW w:w="10140" w:type="dxa"/>
        <w:tblInd w:w="0" w:type="dxa"/>
        <w:shd w:val="clear" w:color="auto" w:fill="auto"/>
        <w:tblLayout w:type="fixed"/>
        <w:tblCellMar>
          <w:top w:w="0" w:type="dxa"/>
          <w:left w:w="0" w:type="dxa"/>
          <w:bottom w:w="0" w:type="dxa"/>
          <w:right w:w="0" w:type="dxa"/>
        </w:tblCellMar>
      </w:tblPr>
      <w:tblGrid>
        <w:gridCol w:w="797"/>
        <w:gridCol w:w="798"/>
        <w:gridCol w:w="797"/>
        <w:gridCol w:w="798"/>
        <w:gridCol w:w="742"/>
        <w:gridCol w:w="465"/>
        <w:gridCol w:w="1110"/>
        <w:gridCol w:w="986"/>
        <w:gridCol w:w="643"/>
        <w:gridCol w:w="576"/>
        <w:gridCol w:w="654"/>
        <w:gridCol w:w="454"/>
        <w:gridCol w:w="521"/>
        <w:gridCol w:w="799"/>
      </w:tblGrid>
      <w:tr>
        <w:tblPrEx>
          <w:tblLayout w:type="fixed"/>
          <w:tblCellMar>
            <w:top w:w="0" w:type="dxa"/>
            <w:left w:w="0" w:type="dxa"/>
            <w:bottom w:w="0" w:type="dxa"/>
            <w:right w:w="0" w:type="dxa"/>
          </w:tblCellMar>
        </w:tblPrEx>
        <w:trPr>
          <w:trHeight w:val="530" w:hRule="atLeast"/>
        </w:trPr>
        <w:tc>
          <w:tcPr>
            <w:tcW w:w="1014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70" w:hRule="atLeast"/>
        </w:trPr>
        <w:tc>
          <w:tcPr>
            <w:tcW w:w="1014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shd w:val="clear" w:color="auto" w:fill="auto"/>
          <w:tblLayout w:type="fixed"/>
          <w:tblCellMar>
            <w:top w:w="0" w:type="dxa"/>
            <w:left w:w="0" w:type="dxa"/>
            <w:bottom w:w="0" w:type="dxa"/>
            <w:right w:w="0" w:type="dxa"/>
          </w:tblCellMar>
        </w:tblPrEx>
        <w:trPr>
          <w:trHeight w:val="276" w:hRule="atLeast"/>
        </w:trPr>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854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招商引资服务资金</w:t>
            </w:r>
          </w:p>
        </w:tc>
      </w:tr>
      <w:tr>
        <w:tblPrEx>
          <w:shd w:val="clear" w:color="auto" w:fill="auto"/>
          <w:tblLayout w:type="fixed"/>
          <w:tblCellMar>
            <w:top w:w="0" w:type="dxa"/>
            <w:left w:w="0" w:type="dxa"/>
            <w:bottom w:w="0" w:type="dxa"/>
            <w:right w:w="0" w:type="dxa"/>
          </w:tblCellMar>
        </w:tblPrEx>
        <w:trPr>
          <w:trHeight w:val="276" w:hRule="atLeast"/>
        </w:trPr>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91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霍尔果斯经济开发区（市）投资促进服务中心</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霍尔果斯经济开发区（市）投资促进服务中心</w:t>
            </w:r>
          </w:p>
        </w:tc>
      </w:tr>
      <w:tr>
        <w:tblPrEx>
          <w:tblLayout w:type="fixed"/>
          <w:tblCellMar>
            <w:top w:w="0" w:type="dxa"/>
            <w:left w:w="0" w:type="dxa"/>
            <w:bottom w:w="0" w:type="dxa"/>
            <w:right w:w="0" w:type="dxa"/>
          </w:tblCellMar>
        </w:tblPrEx>
        <w:trPr>
          <w:trHeight w:val="322" w:hRule="atLeast"/>
        </w:trPr>
        <w:tc>
          <w:tcPr>
            <w:tcW w:w="15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296" w:hRule="atLeast"/>
        </w:trPr>
        <w:tc>
          <w:tcPr>
            <w:tcW w:w="15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6000.00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6000</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6000.00</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tblPrEx>
          <w:tblLayout w:type="fixed"/>
          <w:tblCellMar>
            <w:top w:w="0" w:type="dxa"/>
            <w:left w:w="0" w:type="dxa"/>
            <w:bottom w:w="0" w:type="dxa"/>
            <w:right w:w="0" w:type="dxa"/>
          </w:tblCellMar>
        </w:tblPrEx>
        <w:trPr>
          <w:trHeight w:val="296" w:hRule="atLeast"/>
        </w:trPr>
        <w:tc>
          <w:tcPr>
            <w:tcW w:w="15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6000</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6000</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96" w:hRule="atLeast"/>
        </w:trPr>
        <w:tc>
          <w:tcPr>
            <w:tcW w:w="15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shd w:val="clear" w:color="auto" w:fill="auto"/>
          <w:tblLayout w:type="fixed"/>
          <w:tblCellMar>
            <w:top w:w="0" w:type="dxa"/>
            <w:left w:w="0" w:type="dxa"/>
            <w:bottom w:w="0" w:type="dxa"/>
            <w:right w:w="0" w:type="dxa"/>
          </w:tblCellMar>
        </w:tblPrEx>
        <w:trPr>
          <w:trHeight w:val="296" w:hRule="atLeast"/>
        </w:trPr>
        <w:tc>
          <w:tcPr>
            <w:tcW w:w="15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shd w:val="clear" w:color="auto" w:fill="auto"/>
          <w:tblLayout w:type="fixed"/>
          <w:tblCellMar>
            <w:top w:w="0" w:type="dxa"/>
            <w:left w:w="0" w:type="dxa"/>
            <w:bottom w:w="0" w:type="dxa"/>
            <w:right w:w="0" w:type="dxa"/>
          </w:tblCellMar>
        </w:tblPrEx>
        <w:trPr>
          <w:trHeight w:val="276" w:hRule="atLeast"/>
        </w:trPr>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7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46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2096"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7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目标1：进一步做好霍尔果斯经济开发区（市）招商引资和各类招商活动的组织策划，投资环境及对外招商项目的推介，做好来霍投资企业协调服务和对外区域经济合作推进。</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目标2：为进一步培育壮大特色优势产业。推动霍尔果斯经济开发区经济高质量发展，最大化实现资金的杠杆效益，带动更多产业发展，实现核心产业项目的落户、生产销售等全生命周期的共特和跟进，确保企业尽快形成上下游产业群，带动区域经济高质量发展，保障企业平稳运行。</w:t>
            </w:r>
          </w:p>
        </w:tc>
        <w:tc>
          <w:tcPr>
            <w:tcW w:w="46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目标1：进一步做好霍尔果斯经济开发区（市）招商引资和各类招商活动的组织策划，投资环境及对外招商项目的推介，做好来霍投资企业协调服务和对外区域经济合作推进。</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目标2：为进一步培育壮大特色优势产业。推动霍尔果斯经济开发区经济高质量发展，最大化实现资金的杠杆效益，带动更多产业发展，实现核心产业项目的落户、生产销售等全生命周期的共特和跟进，确保企业尽快形成上下游产业群，带动区域经济高质量发展，保障企业平稳运行。</w:t>
            </w:r>
          </w:p>
        </w:tc>
      </w:tr>
      <w:tr>
        <w:tblPrEx>
          <w:shd w:val="clear" w:color="auto" w:fill="auto"/>
          <w:tblLayout w:type="fixed"/>
          <w:tblCellMar>
            <w:top w:w="0" w:type="dxa"/>
            <w:left w:w="0" w:type="dxa"/>
            <w:bottom w:w="0" w:type="dxa"/>
            <w:right w:w="0" w:type="dxa"/>
          </w:tblCellMar>
        </w:tblPrEx>
        <w:trPr>
          <w:trHeight w:val="312" w:hRule="atLeast"/>
        </w:trPr>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2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1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3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shd w:val="clear" w:color="auto" w:fill="auto"/>
          <w:tblLayout w:type="fixed"/>
          <w:tblCellMar>
            <w:top w:w="0" w:type="dxa"/>
            <w:left w:w="0" w:type="dxa"/>
            <w:bottom w:w="0" w:type="dxa"/>
            <w:right w:w="0" w:type="dxa"/>
          </w:tblCellMar>
        </w:tblPrEx>
        <w:trPr>
          <w:trHeight w:val="348"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2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2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1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276" w:hRule="atLeast"/>
        </w:trPr>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公共服务平台服务企业数量增长率（%）</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&gt;1家</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1家</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lang w:eastAsia="zh-CN"/>
              </w:rPr>
            </w:pPr>
          </w:p>
        </w:tc>
      </w:tr>
      <w:tr>
        <w:tblPrEx>
          <w:shd w:val="clear" w:color="auto" w:fill="auto"/>
          <w:tblLayout w:type="fixed"/>
          <w:tblCellMar>
            <w:top w:w="0" w:type="dxa"/>
            <w:left w:w="0" w:type="dxa"/>
            <w:bottom w:w="0" w:type="dxa"/>
            <w:right w:w="0" w:type="dxa"/>
          </w:tblCellMar>
        </w:tblPrEx>
        <w:trPr>
          <w:trHeight w:val="276"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服务费发放次数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=1次</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1次</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Layout w:type="fixed"/>
          <w:tblCellMar>
            <w:top w:w="0" w:type="dxa"/>
            <w:left w:w="0" w:type="dxa"/>
            <w:bottom w:w="0" w:type="dxa"/>
            <w:right w:w="0" w:type="dxa"/>
          </w:tblCellMar>
        </w:tblPrEx>
        <w:trPr>
          <w:trHeight w:val="276"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招商活动开展次数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&gt;=1次</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1次</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Layout w:type="fixed"/>
          <w:tblCellMar>
            <w:top w:w="0" w:type="dxa"/>
            <w:left w:w="0" w:type="dxa"/>
            <w:bottom w:w="0" w:type="dxa"/>
            <w:right w:w="0" w:type="dxa"/>
          </w:tblCellMar>
        </w:tblPrEx>
        <w:trPr>
          <w:trHeight w:val="619"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服务费发放准确率</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Layout w:type="fixed"/>
          <w:tblCellMar>
            <w:top w:w="0" w:type="dxa"/>
            <w:left w:w="0" w:type="dxa"/>
            <w:bottom w:w="0" w:type="dxa"/>
            <w:right w:w="0" w:type="dxa"/>
          </w:tblCellMar>
        </w:tblPrEx>
        <w:trPr>
          <w:trHeight w:val="601"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服务费发放及时率</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536"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开展招商活动及时性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bl>
    <w:p>
      <w:pPr>
        <w:rPr>
          <w:rFonts w:hint="default" w:ascii="Times New Roman" w:hAnsi="Times New Roman" w:cs="Times New Roman"/>
          <w:color w:val="auto"/>
        </w:rPr>
      </w:pPr>
    </w:p>
    <w:p>
      <w:pPr>
        <w:pStyle w:val="2"/>
        <w:jc w:val="both"/>
        <w:rPr>
          <w:rFonts w:hint="default" w:ascii="Times New Roman" w:hAnsi="Times New Roman" w:cs="Times New Roman"/>
          <w:color w:val="auto"/>
        </w:rPr>
      </w:pPr>
    </w:p>
    <w:p>
      <w:pPr>
        <w:spacing w:line="600" w:lineRule="exact"/>
        <w:rPr>
          <w:rFonts w:hint="default" w:ascii="Times New Roman" w:hAnsi="Times New Roman" w:eastAsia="黑体" w:cs="Times New Roman"/>
          <w:bCs/>
          <w:color w:val="auto"/>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1"/>
        <w:ind w:firstLine="562"/>
        <w:jc w:val="center"/>
        <w:rPr>
          <w:rFonts w:hint="default" w:ascii="Times New Roman" w:hAnsi="Times New Roman" w:cs="Times New Roman"/>
          <w:color w:val="auto"/>
          <w:sz w:val="28"/>
          <w:szCs w:val="40"/>
        </w:rPr>
      </w:pPr>
      <w:bookmarkStart w:id="20" w:name="_Toc26499_WPSOffice_Level2"/>
      <w:bookmarkStart w:id="21" w:name="_Toc30064_WPSOffice_Level1"/>
      <w:r>
        <w:rPr>
          <w:rFonts w:hint="eastAsia" w:ascii="Times New Roman" w:hAnsi="Times New Roman" w:cs="Times New Roman"/>
          <w:b/>
          <w:bCs/>
          <w:color w:val="auto"/>
          <w:sz w:val="28"/>
          <w:szCs w:val="40"/>
          <w:lang w:val="en-US" w:eastAsia="zh-CN"/>
        </w:rPr>
        <w:t>招商引资服务资金</w:t>
      </w:r>
      <w:r>
        <w:rPr>
          <w:rFonts w:hint="default" w:ascii="Times New Roman" w:hAnsi="Times New Roman" w:cs="Times New Roman"/>
          <w:b/>
          <w:bCs/>
          <w:color w:val="auto"/>
          <w:sz w:val="28"/>
          <w:szCs w:val="40"/>
        </w:rPr>
        <w:t>项目绩效评价指标体系及综合评分表</w:t>
      </w:r>
      <w:bookmarkEnd w:id="20"/>
      <w:bookmarkEnd w:id="21"/>
    </w:p>
    <w:tbl>
      <w:tblPr>
        <w:tblStyle w:val="1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一级指标</w:t>
            </w:r>
          </w:p>
        </w:tc>
        <w:tc>
          <w:tcPr>
            <w:tcW w:w="764"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二级指标</w:t>
            </w:r>
          </w:p>
        </w:tc>
        <w:tc>
          <w:tcPr>
            <w:tcW w:w="87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三级指标</w:t>
            </w:r>
          </w:p>
        </w:tc>
        <w:tc>
          <w:tcPr>
            <w:tcW w:w="235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指标解释</w:t>
            </w:r>
          </w:p>
        </w:tc>
        <w:tc>
          <w:tcPr>
            <w:tcW w:w="5198"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指标说明</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权重</w:t>
            </w:r>
          </w:p>
        </w:tc>
        <w:tc>
          <w:tcPr>
            <w:tcW w:w="136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决策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项目立项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立项依据</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充分性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①项目立项是否符合国家法律法规、国民经济发展规划和相关政策；</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②项目立项是否符合行业发展规划和政策要求；</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③项目立项是否与部门职责范围相符，属于部门履职所需；</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④项目是否属于公共财政支持范围，是否符合中央、地方事权支出责任划分原则；</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立项程序</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规范性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①项目是否按照规定的程序申请设立；</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②审批文件、材料是否符合相关要求；</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绩效目标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绩效目标</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（如未设定预算绩效目标，也可考核其他工作任务目标）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①项目是否有绩效目标；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②项目绩效目标与实际工作内容是否具有相关性；</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绩效指标</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明确性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①是否将项目绩效目标细化分解为具体的绩效指标；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②是否通过清晰、可衡量的指标值予以体现；</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③是否与项目目标任务数或计划数相对应。</w:t>
            </w:r>
            <w:r>
              <w:rPr>
                <w:rFonts w:hint="default" w:ascii="Times New Roman" w:hAnsi="Times New Roman" w:cs="Times New Roman"/>
                <w:color w:val="auto"/>
                <w:kern w:val="0"/>
                <w:sz w:val="22"/>
                <w:szCs w:val="22"/>
              </w:rPr>
              <w:br w:type="textWrapping"/>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资金投入</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预算编制</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科学性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①预算编制是否经过科学论证；</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②预算内容与项目内容是否匹配；</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③预算额度测算依据是否充分，是否按照标准编制；</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资金分配</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①预算资金分配依据是否充分；</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过程</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资金到位率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资金到位率=（实际到位资金/预算资金）×100%。</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预算执行率</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预算执行率=（实际支出资金/实际到位资金）×100%。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资金使用</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合规性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①是否符合国家财经法规和财务管理制度以及有关专项资金管理办法的规定；</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②资金的拨付是否有完整的审批程序和手续；</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③是否符合项目预算批复或合同规定的用途；</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组织实施</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管理制度</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健全性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①是否已制定或具有相应的财务和业务管理制度；</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制度执行</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有效性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①是否遵守相关法律法规和相关管理规定；</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②项目调整及支出调整手续是否完备；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③项目合同书、验收报告、技术鉴定等资料是否齐全并及时归档；</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w:t>
            </w: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产出数量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实际完成率=（实际产出数/计划产出数）×100%。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实际产出数：一定时期（本年度或项目期）内项目实际产出的产品或提供的服务数量。</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产出质量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质量达标率=（质量达标产出数/实际产出数）×100%。</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产出时效</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完成及时性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实际完成时间：项目实施单位完成该项目实际所耗用的时间。</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产出成本</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成本节约率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成本节约率=[（计划成本-实际成本）/计划成本]×100%。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实际成本：项目实施单位如期、保质、保量完成既定工作目标实际所耗费的支出。</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效益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项目效益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实施效益</w:t>
            </w:r>
          </w:p>
        </w:tc>
        <w:tc>
          <w:tcPr>
            <w:tcW w:w="2353"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项目实施所产生的效益。</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满意度</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社会公众或服务对象对项目实施效果的满意程度。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bl>
    <w:p>
      <w:pPr>
        <w:rPr>
          <w:rFonts w:hint="default" w:ascii="Times New Roman" w:hAnsi="Times New Roman" w:cs="Times New Roman"/>
          <w:color w:val="auto"/>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5DE6C0C"/>
    <w:rsid w:val="06543F10"/>
    <w:rsid w:val="068C40D2"/>
    <w:rsid w:val="068D22BA"/>
    <w:rsid w:val="0E751831"/>
    <w:rsid w:val="0F2A6BF7"/>
    <w:rsid w:val="109627EE"/>
    <w:rsid w:val="11A25DBE"/>
    <w:rsid w:val="14444D66"/>
    <w:rsid w:val="15DE0717"/>
    <w:rsid w:val="17136327"/>
    <w:rsid w:val="181871E2"/>
    <w:rsid w:val="19166846"/>
    <w:rsid w:val="1C00052A"/>
    <w:rsid w:val="1F815859"/>
    <w:rsid w:val="20E92B23"/>
    <w:rsid w:val="20F841DC"/>
    <w:rsid w:val="22AC2218"/>
    <w:rsid w:val="2729052F"/>
    <w:rsid w:val="28C14634"/>
    <w:rsid w:val="28CE5192"/>
    <w:rsid w:val="2BB658E6"/>
    <w:rsid w:val="2EC724D4"/>
    <w:rsid w:val="2EE30257"/>
    <w:rsid w:val="30073B18"/>
    <w:rsid w:val="34DA27CE"/>
    <w:rsid w:val="359B69A2"/>
    <w:rsid w:val="36122B89"/>
    <w:rsid w:val="36411DC5"/>
    <w:rsid w:val="3681743F"/>
    <w:rsid w:val="36B72533"/>
    <w:rsid w:val="3B5F02D3"/>
    <w:rsid w:val="4057649F"/>
    <w:rsid w:val="450B6AE4"/>
    <w:rsid w:val="47C03A05"/>
    <w:rsid w:val="4ACC6887"/>
    <w:rsid w:val="4DAD5295"/>
    <w:rsid w:val="54873A1A"/>
    <w:rsid w:val="56796849"/>
    <w:rsid w:val="568F383B"/>
    <w:rsid w:val="583C1636"/>
    <w:rsid w:val="5D555EEF"/>
    <w:rsid w:val="5DA95371"/>
    <w:rsid w:val="5F9155E4"/>
    <w:rsid w:val="616C41E7"/>
    <w:rsid w:val="686F7714"/>
    <w:rsid w:val="6A862BA8"/>
    <w:rsid w:val="6B1C4BC4"/>
    <w:rsid w:val="6DFC1C65"/>
    <w:rsid w:val="75FA041F"/>
    <w:rsid w:val="760F49BD"/>
    <w:rsid w:val="76E870A0"/>
    <w:rsid w:val="77A6067C"/>
    <w:rsid w:val="7A0443F3"/>
    <w:rsid w:val="7AE40DD7"/>
    <w:rsid w:val="7B904EA5"/>
    <w:rsid w:val="7E6A4A91"/>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0"/>
    <w:semiHidden/>
    <w:unhideWhenUsed/>
    <w:qFormat/>
    <w:uiPriority w:val="99"/>
    <w:pPr>
      <w:tabs>
        <w:tab w:val="center" w:pos="4153"/>
        <w:tab w:val="right" w:pos="8306"/>
      </w:tabs>
      <w:snapToGrid w:val="0"/>
      <w:jc w:val="left"/>
    </w:pPr>
    <w:rPr>
      <w:sz w:val="18"/>
      <w:szCs w:val="18"/>
    </w:rPr>
  </w:style>
  <w:style w:type="paragraph" w:styleId="9">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sz w:val="32"/>
      <w:szCs w:val="32"/>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Char"/>
    <w:basedOn w:val="13"/>
    <w:link w:val="9"/>
    <w:semiHidden/>
    <w:qFormat/>
    <w:uiPriority w:val="99"/>
    <w:rPr>
      <w:rFonts w:ascii="Times New Roman" w:hAnsi="Times New Roman" w:eastAsia="仿宋_GB2312" w:cs="Times New Roman"/>
      <w:sz w:val="18"/>
      <w:szCs w:val="18"/>
    </w:rPr>
  </w:style>
  <w:style w:type="character" w:customStyle="1" w:styleId="20">
    <w:name w:val="页脚 Char"/>
    <w:basedOn w:val="13"/>
    <w:link w:val="8"/>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1</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2024-06-11T09:19:24Z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