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spacing w:line="540" w:lineRule="exact"/>
        <w:jc w:val="center"/>
        <w:rPr>
          <w:rFonts w:eastAsia="方正小标宋_GBK"/>
          <w:kern w:val="0"/>
          <w:sz w:val="48"/>
          <w:szCs w:val="48"/>
        </w:rPr>
      </w:pPr>
      <w:r>
        <w:rPr>
          <w:rFonts w:ascii="宋体" w:hAnsi="宋体" w:eastAsia="宋体" w:cs="宋体"/>
          <w:sz w:val="24"/>
          <w:szCs w:val="24"/>
        </w:rPr>
        <w:br w:type="textWrapping"/>
      </w:r>
      <w:r>
        <w:rPr>
          <w:rFonts w:hint="eastAsia" w:eastAsia="方正小标宋_GBK"/>
          <w:kern w:val="0"/>
          <w:sz w:val="48"/>
          <w:szCs w:val="48"/>
        </w:rPr>
        <w:t>人工影响天气防雹作业</w:t>
      </w:r>
      <w:r>
        <w:rPr>
          <w:rFonts w:eastAsia="方正小标宋_GBK"/>
          <w:kern w:val="0"/>
          <w:sz w:val="48"/>
          <w:szCs w:val="48"/>
        </w:rPr>
        <w:t>资金项目支出绩效评价报告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3</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jc w:val="both"/>
        <w:rPr>
          <w:rFonts w:hint="eastAsia" w:ascii="宋体" w:hAnsi="宋体" w:eastAsia="宋体" w:cs="仿宋_GB2312"/>
          <w:b/>
          <w:bCs/>
          <w:color w:val="000000"/>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项目名称：</w:t>
      </w:r>
      <w:r>
        <w:rPr>
          <w:rFonts w:hint="eastAsia" w:ascii="宋体" w:hAnsi="宋体" w:eastAsia="宋体" w:cs="仿宋_GB2312"/>
          <w:b/>
          <w:bCs/>
          <w:color w:val="000000"/>
          <w:kern w:val="0"/>
          <w:sz w:val="28"/>
          <w:szCs w:val="28"/>
          <w:lang w:val="en-US" w:eastAsia="zh-CN"/>
        </w:rPr>
        <w:t>人工影响天气防雹作业</w:t>
      </w:r>
    </w:p>
    <w:p>
      <w:pPr>
        <w:spacing w:line="560" w:lineRule="exact"/>
        <w:jc w:val="both"/>
        <w:rPr>
          <w:rFonts w:hint="default" w:ascii="宋体" w:hAnsi="宋体" w:eastAsia="宋体" w:cs="宋体"/>
          <w:kern w:val="0"/>
          <w:sz w:val="28"/>
          <w:szCs w:val="28"/>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实施单位（公章）：</w:t>
      </w:r>
      <w:r>
        <w:rPr>
          <w:rFonts w:hint="eastAsia" w:ascii="宋体" w:hAnsi="宋体" w:eastAsia="宋体" w:cs="仿宋_GB2312"/>
          <w:b/>
          <w:bCs/>
          <w:color w:val="000000"/>
          <w:kern w:val="0"/>
          <w:sz w:val="28"/>
          <w:szCs w:val="28"/>
          <w:lang w:val="en-US" w:eastAsia="zh-CN"/>
        </w:rPr>
        <w:t>霍尔果斯市人工影响天气保障中心</w:t>
      </w:r>
    </w:p>
    <w:p>
      <w:pPr>
        <w:spacing w:line="560" w:lineRule="exact"/>
        <w:jc w:val="both"/>
        <w:rPr>
          <w:rFonts w:hint="default" w:ascii="宋体" w:hAnsi="宋体" w:eastAsia="宋体" w:cs="宋体"/>
          <w:kern w:val="0"/>
          <w:sz w:val="32"/>
          <w:szCs w:val="32"/>
          <w:lang w:val="en-US"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主管部门（公章）：</w:t>
      </w:r>
      <w:r>
        <w:rPr>
          <w:rFonts w:hint="eastAsia" w:ascii="宋体" w:hAnsi="宋体" w:eastAsia="宋体" w:cs="仿宋_GB2312"/>
          <w:b/>
          <w:bCs/>
          <w:color w:val="000000"/>
          <w:kern w:val="0"/>
          <w:sz w:val="32"/>
          <w:szCs w:val="32"/>
          <w:lang w:val="en-US" w:eastAsia="zh-CN"/>
        </w:rPr>
        <w:t>霍尔果斯市气象局</w:t>
      </w:r>
    </w:p>
    <w:p>
      <w:pPr>
        <w:spacing w:line="560" w:lineRule="exact"/>
        <w:ind w:firstLine="321" w:firstLineChars="100"/>
        <w:jc w:val="both"/>
        <w:rPr>
          <w:rFonts w:ascii="宋体" w:hAnsi="宋体" w:eastAsia="宋体" w:cs="宋体"/>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项目负责人（签章）：王媛</w:t>
      </w:r>
    </w:p>
    <w:p>
      <w:pPr>
        <w:spacing w:line="560" w:lineRule="exact"/>
        <w:ind w:firstLine="321" w:firstLineChars="100"/>
        <w:jc w:val="both"/>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年</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月</w:t>
      </w:r>
      <w:r>
        <w:rPr>
          <w:rFonts w:hint="eastAsia" w:ascii="宋体" w:hAnsi="宋体" w:eastAsia="宋体" w:cs="仿宋_GB2312"/>
          <w:color w:val="000000"/>
          <w:kern w:val="0"/>
          <w:sz w:val="32"/>
          <w:szCs w:val="32"/>
          <w:lang w:val="en-US" w:eastAsia="zh-CN"/>
        </w:rPr>
        <w:t>16</w:t>
      </w:r>
      <w:r>
        <w:rPr>
          <w:rFonts w:hint="eastAsia" w:ascii="宋体" w:hAnsi="宋体" w:eastAsia="宋体" w:cs="仿宋_GB2312"/>
          <w:color w:val="000000"/>
          <w:kern w:val="0"/>
          <w:sz w:val="32"/>
          <w:szCs w:val="32"/>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numPr>
          <w:ilvl w:val="0"/>
          <w:numId w:val="1"/>
        </w:numPr>
        <w:spacing w:line="560" w:lineRule="exact"/>
        <w:rPr>
          <w:rFonts w:hint="eastAsia" w:ascii="Times New Roman" w:hAnsi="Times New Roman" w:eastAsia="黑体" w:cs="Times New Roman"/>
          <w:bCs/>
          <w:sz w:val="32"/>
          <w:szCs w:val="32"/>
        </w:rPr>
      </w:pPr>
      <w:bookmarkStart w:id="0" w:name="_Toc68703827"/>
      <w:r>
        <w:rPr>
          <w:rFonts w:hint="eastAsia" w:ascii="Times New Roman" w:hAnsi="Times New Roman" w:eastAsia="黑体" w:cs="Times New Roman"/>
          <w:bCs/>
          <w:sz w:val="32"/>
          <w:szCs w:val="32"/>
        </w:rPr>
        <w:t>基本情况</w:t>
      </w:r>
      <w:bookmarkEnd w:id="0"/>
      <w:bookmarkStart w:id="1" w:name="_Toc68703828"/>
    </w:p>
    <w:p>
      <w:pPr>
        <w:numPr>
          <w:ilvl w:val="0"/>
          <w:numId w:val="0"/>
        </w:num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（一）</w:t>
      </w:r>
      <w:r>
        <w:rPr>
          <w:rFonts w:hint="eastAsia" w:ascii="Times New Roman" w:hAnsi="Times New Roman" w:eastAsia="楷体_GB2312" w:cs="Times New Roman"/>
          <w:b/>
          <w:bCs/>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lang w:eastAsia="zh-CN"/>
        </w:rPr>
      </w:pPr>
      <w:r>
        <w:rPr>
          <w:rFonts w:hint="eastAsia" w:ascii="Times New Roman" w:hAnsi="Times New Roman" w:cs="Times New Roman"/>
          <w:b w:val="0"/>
          <w:bCs w:val="0"/>
          <w:sz w:val="32"/>
          <w:szCs w:val="32"/>
          <w:lang w:val="en-US" w:eastAsia="zh-CN"/>
        </w:rPr>
        <w:t>　</w:t>
      </w:r>
      <w:r>
        <w:rPr>
          <w:rFonts w:hint="eastAsia" w:ascii="Times New Roman" w:hAnsi="Times New Roman" w:eastAsia="仿宋_GB2312" w:cs="Times New Roman"/>
          <w:b w:val="0"/>
          <w:bCs w:val="0"/>
          <w:sz w:val="32"/>
          <w:szCs w:val="32"/>
          <w:lang w:val="en-US" w:eastAsia="zh-CN"/>
        </w:rPr>
        <w:t>1.项目背景：</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olor w:val="auto"/>
          <w:sz w:val="32"/>
          <w:szCs w:val="32"/>
          <w:lang w:val="en-US" w:eastAsia="zh-CN"/>
        </w:rPr>
      </w:pPr>
      <w:r>
        <w:rPr>
          <w:rFonts w:hint="eastAsia"/>
          <w:color w:val="auto"/>
          <w:sz w:val="32"/>
          <w:szCs w:val="32"/>
          <w:lang w:val="en-US" w:eastAsia="zh-CN"/>
        </w:rPr>
        <w:t>冰雹灾害作为一种严重的自然灾害，给我国农业生产、生态环境和居民生活带来严重影响。为了降低冰雹灾害的影响，提高农业生产效益，保障人民群众的生命财产安全，本项目旨在通过科技手段，实施防雹作业，有效减轻冰雹灾害的危害。项目的实施对于提升本地防雹能力、促进农业生产持续稳定发展具有重要的实现意义和长远的社会效益。本项目将严格遵守国家相关的法律法规和政策要求，包括但不限于《中华人民共和国气象法》、《气象灾害防御条例》等法律法规。同时，项目将遵循各级政府关于防雹作业的具体政策，确保项目合法性和合规性。项目将遵循国家和行业相关的技术标准与规范，包括防雹作业的技术要求、安全标准、操作规范等。通过严格执行技术标准与规范，确保项目的科学性和有效性。</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eastAsia="zh-CN"/>
        </w:rPr>
      </w:pPr>
      <w:r>
        <w:rPr>
          <w:rFonts w:hint="eastAsia" w:ascii="Times New Roman" w:hAnsi="Times New Roman" w:cs="Times New Roman"/>
          <w:b w:val="0"/>
          <w:bCs w:val="0"/>
          <w:sz w:val="32"/>
          <w:szCs w:val="32"/>
          <w:lang w:eastAsia="zh-CN"/>
        </w:rPr>
        <w:t>　</w:t>
      </w:r>
      <w:r>
        <w:rPr>
          <w:rFonts w:hint="eastAsia" w:ascii="Times New Roman" w:hAnsi="Times New Roman" w:eastAsia="仿宋_GB2312" w:cs="Times New Roman"/>
          <w:b w:val="0"/>
          <w:bCs w:val="0"/>
          <w:sz w:val="32"/>
          <w:szCs w:val="32"/>
          <w:lang w:eastAsia="zh-CN"/>
        </w:rPr>
        <w:t>2</w:t>
      </w:r>
      <w:r>
        <w:rPr>
          <w:rFonts w:hint="eastAsia"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eastAsia="zh-CN"/>
        </w:rPr>
        <w:t>主要内容及实施情况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color w:val="FF0000"/>
          <w:sz w:val="32"/>
          <w:szCs w:val="32"/>
        </w:rPr>
      </w:pPr>
      <w:r>
        <w:rPr>
          <w:rFonts w:hint="eastAsia" w:ascii="仿宋_GB2312"/>
          <w:sz w:val="32"/>
          <w:szCs w:val="32"/>
        </w:rPr>
        <w:t>主要内容：</w:t>
      </w:r>
      <w:r>
        <w:rPr>
          <w:rFonts w:hint="eastAsia" w:ascii="仿宋_GB2312"/>
          <w:sz w:val="32"/>
          <w:szCs w:val="32"/>
          <w:lang w:val="en-US" w:eastAsia="zh-CN"/>
        </w:rPr>
        <w:t>为了进行</w:t>
      </w:r>
      <w:r>
        <w:rPr>
          <w:rFonts w:hint="eastAsia" w:eastAsia="仿宋_GB2312"/>
          <w:sz w:val="32"/>
          <w:szCs w:val="32"/>
        </w:rPr>
        <w:t>2023年</w:t>
      </w:r>
      <w:r>
        <w:rPr>
          <w:rFonts w:hint="eastAsia"/>
          <w:sz w:val="32"/>
          <w:szCs w:val="32"/>
          <w:lang w:val="en-US" w:eastAsia="zh-CN"/>
        </w:rPr>
        <w:t>的</w:t>
      </w:r>
      <w:r>
        <w:rPr>
          <w:rFonts w:hint="eastAsia" w:eastAsia="仿宋_GB2312"/>
          <w:sz w:val="32"/>
          <w:szCs w:val="32"/>
        </w:rPr>
        <w:t>防雹作业</w:t>
      </w:r>
      <w:r>
        <w:rPr>
          <w:rFonts w:hint="eastAsia"/>
          <w:sz w:val="32"/>
          <w:szCs w:val="32"/>
          <w:lang w:eastAsia="zh-CN"/>
        </w:rPr>
        <w:t>，</w:t>
      </w:r>
      <w:r>
        <w:rPr>
          <w:rFonts w:hint="eastAsia"/>
          <w:sz w:val="32"/>
          <w:szCs w:val="32"/>
          <w:lang w:val="en-US" w:eastAsia="zh-CN"/>
        </w:rPr>
        <w:t>购买所需材料设备</w:t>
      </w:r>
      <w:r>
        <w:rPr>
          <w:rFonts w:hint="eastAsia" w:eastAsia="仿宋_GB2312"/>
          <w:sz w:val="32"/>
          <w:szCs w:val="32"/>
        </w:rPr>
        <w:t>，</w:t>
      </w:r>
      <w:r>
        <w:rPr>
          <w:rFonts w:hint="eastAsia"/>
          <w:sz w:val="32"/>
          <w:szCs w:val="32"/>
          <w:lang w:val="en-US" w:eastAsia="zh-CN"/>
        </w:rPr>
        <w:t>购买</w:t>
      </w:r>
      <w:r>
        <w:rPr>
          <w:rFonts w:hint="eastAsia" w:eastAsia="仿宋_GB2312"/>
          <w:sz w:val="32"/>
          <w:szCs w:val="32"/>
        </w:rPr>
        <w:t>火箭弹量至少500枚，作业次数至少20次，</w:t>
      </w:r>
      <w:r>
        <w:rPr>
          <w:rFonts w:hint="eastAsia"/>
          <w:sz w:val="32"/>
          <w:szCs w:val="32"/>
          <w:lang w:val="en-US" w:eastAsia="zh-CN"/>
        </w:rPr>
        <w:t>确保防雹</w:t>
      </w:r>
      <w:r>
        <w:rPr>
          <w:rFonts w:hint="eastAsia" w:eastAsia="仿宋_GB2312"/>
          <w:sz w:val="32"/>
          <w:szCs w:val="32"/>
        </w:rPr>
        <w:t>作业总体成功率在90%以上，作业空域申请完成率在90%以上，单次作业完成时效不超过1小时，防雹项目完成时间在</w:t>
      </w:r>
      <w:r>
        <w:rPr>
          <w:rFonts w:hint="eastAsia"/>
          <w:sz w:val="32"/>
          <w:szCs w:val="32"/>
          <w:lang w:val="en-US" w:eastAsia="zh-CN"/>
        </w:rPr>
        <w:t>2023年</w:t>
      </w:r>
      <w:r>
        <w:rPr>
          <w:rFonts w:hint="eastAsia" w:eastAsia="仿宋_GB2312"/>
          <w:sz w:val="32"/>
          <w:szCs w:val="32"/>
        </w:rPr>
        <w:t>10月25日前，购置单发火箭弹成本不超过3080元一枚。</w:t>
      </w:r>
    </w:p>
    <w:p>
      <w:pPr>
        <w:spacing w:line="560" w:lineRule="exact"/>
        <w:ind w:firstLine="640" w:firstLineChars="200"/>
      </w:pPr>
      <w:r>
        <w:rPr>
          <w:rFonts w:hint="eastAsia" w:ascii="仿宋_GB2312"/>
          <w:sz w:val="32"/>
          <w:szCs w:val="32"/>
        </w:rPr>
        <w:t>实施情况：</w:t>
      </w:r>
      <w:r>
        <w:rPr>
          <w:rFonts w:eastAsia="仿宋_GB2312"/>
          <w:sz w:val="32"/>
          <w:szCs w:val="32"/>
        </w:rPr>
        <w:t>项目目前已经完成实际设立的目标，项目在实施过程中严格按照目标设立的各阶段任务进行开展工作，在前期立项过程中严格把质量关，建立安全防护机制，保证项目实施各阶段安全顺利进行。</w:t>
      </w:r>
      <w:r>
        <w:rPr>
          <w:rFonts w:hint="eastAsia"/>
          <w:sz w:val="32"/>
          <w:szCs w:val="32"/>
          <w:lang w:val="en-US" w:eastAsia="zh-CN"/>
        </w:rPr>
        <w:t>2023年防雹作业项目购买火箭弹1100枚，防雹作业次数74次，作业成功率100%，空域申请率100%，单次作业时间不超过15分钟，单发火箭弹购买成本3080元一枚</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cs="Times New Roman"/>
          <w:b w:val="0"/>
          <w:bCs w:val="0"/>
          <w:sz w:val="32"/>
          <w:szCs w:val="32"/>
          <w:lang w:eastAsia="zh-CN"/>
        </w:rPr>
      </w:pPr>
      <w:r>
        <w:rPr>
          <w:rFonts w:hint="eastAsia" w:ascii="Times New Roman" w:hAnsi="Times New Roman" w:cs="Times New Roman"/>
          <w:b w:val="0"/>
          <w:bCs w:val="0"/>
          <w:sz w:val="32"/>
          <w:szCs w:val="32"/>
          <w:lang w:eastAsia="zh-CN"/>
        </w:rPr>
        <w:t>　3</w:t>
      </w:r>
      <w:r>
        <w:rPr>
          <w:rFonts w:hint="eastAsia" w:ascii="Times New Roman" w:hAnsi="Times New Roman" w:cs="Times New Roman"/>
          <w:b w:val="0"/>
          <w:bCs w:val="0"/>
          <w:sz w:val="32"/>
          <w:szCs w:val="32"/>
          <w:lang w:val="en-US" w:eastAsia="zh-CN"/>
        </w:rPr>
        <w:t>.</w:t>
      </w:r>
      <w:r>
        <w:rPr>
          <w:rFonts w:hint="eastAsia" w:ascii="Times New Roman" w:hAnsi="Times New Roman" w:cs="Times New Roman"/>
          <w:b w:val="0"/>
          <w:bCs w:val="0"/>
          <w:sz w:val="32"/>
          <w:szCs w:val="32"/>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color w:val="FF0000"/>
          <w:sz w:val="32"/>
          <w:szCs w:val="32"/>
        </w:rPr>
      </w:pPr>
      <w:r>
        <w:rPr>
          <w:rFonts w:hint="eastAsia"/>
          <w:sz w:val="32"/>
          <w:szCs w:val="32"/>
        </w:rPr>
        <w:t>资金投入情况：</w:t>
      </w:r>
      <w:r>
        <w:rPr>
          <w:rFonts w:hint="eastAsia"/>
          <w:color w:val="auto"/>
          <w:sz w:val="32"/>
          <w:szCs w:val="32"/>
        </w:rPr>
        <w:t>该项目年初预算数</w:t>
      </w:r>
      <w:r>
        <w:rPr>
          <w:rFonts w:hint="eastAsia"/>
          <w:color w:val="auto"/>
          <w:sz w:val="32"/>
          <w:szCs w:val="32"/>
          <w:lang w:val="en-US" w:eastAsia="zh-CN"/>
        </w:rPr>
        <w:t>200</w:t>
      </w:r>
      <w:r>
        <w:rPr>
          <w:rFonts w:hint="eastAsia"/>
          <w:color w:val="auto"/>
          <w:sz w:val="32"/>
          <w:szCs w:val="32"/>
        </w:rPr>
        <w:t>万元，全年预算数</w:t>
      </w:r>
      <w:r>
        <w:rPr>
          <w:rFonts w:hint="eastAsia"/>
          <w:color w:val="auto"/>
          <w:sz w:val="32"/>
          <w:szCs w:val="32"/>
          <w:lang w:val="en-US" w:eastAsia="zh-CN"/>
        </w:rPr>
        <w:t>355.75</w:t>
      </w:r>
      <w:r>
        <w:rPr>
          <w:rFonts w:hint="eastAsia"/>
          <w:color w:val="auto"/>
          <w:sz w:val="32"/>
          <w:szCs w:val="32"/>
        </w:rPr>
        <w:t>万元</w:t>
      </w:r>
      <w:r>
        <w:rPr>
          <w:rFonts w:hint="eastAsia"/>
          <w:color w:val="auto"/>
          <w:sz w:val="32"/>
          <w:szCs w:val="32"/>
          <w:lang w:eastAsia="zh-CN"/>
        </w:rPr>
        <w:t>，</w:t>
      </w:r>
      <w:r>
        <w:rPr>
          <w:rFonts w:hint="eastAsia"/>
          <w:color w:val="auto"/>
          <w:sz w:val="32"/>
          <w:szCs w:val="32"/>
        </w:rPr>
        <w:t>有年中追加资金</w:t>
      </w:r>
      <w:r>
        <w:rPr>
          <w:rFonts w:hint="eastAsia"/>
          <w:color w:val="auto"/>
          <w:sz w:val="32"/>
          <w:szCs w:val="32"/>
          <w:lang w:val="en-US" w:eastAsia="zh-CN"/>
        </w:rPr>
        <w:t>155.75万</w:t>
      </w:r>
      <w:r>
        <w:rPr>
          <w:rFonts w:hint="eastAsia"/>
          <w:color w:val="auto"/>
          <w:sz w:val="32"/>
          <w:szCs w:val="32"/>
        </w:rPr>
        <w:t>，实际总投入</w:t>
      </w:r>
      <w:r>
        <w:rPr>
          <w:rFonts w:hint="eastAsia"/>
          <w:color w:val="auto"/>
          <w:sz w:val="32"/>
          <w:szCs w:val="32"/>
          <w:lang w:val="en-US" w:eastAsia="zh-CN"/>
        </w:rPr>
        <w:t>355.75</w:t>
      </w:r>
      <w:r>
        <w:rPr>
          <w:rFonts w:hint="eastAsia"/>
          <w:color w:val="auto"/>
          <w:sz w:val="32"/>
          <w:szCs w:val="32"/>
        </w:rPr>
        <w:t>万元，该项目资金已全部落实到位，资金来源为</w:t>
      </w:r>
      <w:r>
        <w:rPr>
          <w:rFonts w:hint="eastAsia"/>
          <w:color w:val="auto"/>
          <w:sz w:val="32"/>
          <w:szCs w:val="32"/>
          <w:lang w:val="en-US" w:eastAsia="zh-CN"/>
        </w:rPr>
        <w:t>财政拨款。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sz w:val="32"/>
          <w:szCs w:val="32"/>
        </w:rPr>
        <w:t>资金使用情况：</w:t>
      </w:r>
      <w:r>
        <w:rPr>
          <w:rFonts w:hint="eastAsia"/>
          <w:color w:val="auto"/>
          <w:sz w:val="32"/>
          <w:szCs w:val="32"/>
        </w:rPr>
        <w:t>该项目年初预算数</w:t>
      </w:r>
      <w:r>
        <w:rPr>
          <w:rFonts w:hint="eastAsia"/>
          <w:color w:val="auto"/>
          <w:sz w:val="32"/>
          <w:szCs w:val="32"/>
          <w:lang w:val="en-US" w:eastAsia="zh-CN"/>
        </w:rPr>
        <w:t>200</w:t>
      </w:r>
      <w:r>
        <w:rPr>
          <w:rFonts w:hint="eastAsia"/>
          <w:color w:val="auto"/>
          <w:sz w:val="32"/>
          <w:szCs w:val="32"/>
        </w:rPr>
        <w:t>万元，全年预算数</w:t>
      </w:r>
      <w:r>
        <w:rPr>
          <w:rFonts w:hint="eastAsia"/>
          <w:color w:val="auto"/>
          <w:sz w:val="32"/>
          <w:szCs w:val="32"/>
          <w:lang w:val="en-US" w:eastAsia="zh-CN"/>
        </w:rPr>
        <w:t>355.75</w:t>
      </w:r>
      <w:r>
        <w:rPr>
          <w:rFonts w:hint="eastAsia"/>
          <w:color w:val="auto"/>
          <w:sz w:val="32"/>
          <w:szCs w:val="32"/>
        </w:rPr>
        <w:t>万元</w:t>
      </w:r>
      <w:r>
        <w:rPr>
          <w:rFonts w:hint="eastAsia"/>
          <w:color w:val="auto"/>
          <w:sz w:val="32"/>
          <w:szCs w:val="32"/>
          <w:lang w:eastAsia="zh-CN"/>
        </w:rPr>
        <w:t>，</w:t>
      </w:r>
      <w:r>
        <w:rPr>
          <w:rFonts w:hint="eastAsia"/>
          <w:color w:val="auto"/>
          <w:sz w:val="32"/>
          <w:szCs w:val="32"/>
        </w:rPr>
        <w:t>有年中追加资金</w:t>
      </w:r>
      <w:r>
        <w:rPr>
          <w:rFonts w:hint="eastAsia"/>
          <w:color w:val="auto"/>
          <w:sz w:val="32"/>
          <w:szCs w:val="32"/>
          <w:lang w:val="en-US" w:eastAsia="zh-CN"/>
        </w:rPr>
        <w:t>155.75万</w:t>
      </w:r>
      <w:r>
        <w:rPr>
          <w:rFonts w:hint="eastAsia"/>
          <w:color w:val="auto"/>
          <w:sz w:val="32"/>
          <w:szCs w:val="32"/>
        </w:rPr>
        <w:t>，全年执行数</w:t>
      </w:r>
      <w:r>
        <w:rPr>
          <w:rFonts w:hint="eastAsia"/>
          <w:color w:val="auto"/>
          <w:sz w:val="32"/>
          <w:szCs w:val="32"/>
          <w:lang w:val="en-US" w:eastAsia="zh-CN"/>
        </w:rPr>
        <w:t>355.75</w:t>
      </w:r>
      <w:r>
        <w:rPr>
          <w:rFonts w:hint="eastAsia"/>
          <w:color w:val="auto"/>
          <w:sz w:val="32"/>
          <w:szCs w:val="32"/>
        </w:rPr>
        <w:t>万元，预算执行率为</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，主要</w:t>
      </w:r>
      <w:r>
        <w:rPr>
          <w:rFonts w:hint="eastAsia"/>
          <w:color w:val="auto"/>
          <w:sz w:val="32"/>
          <w:szCs w:val="32"/>
        </w:rPr>
        <w:t>用于：</w:t>
      </w:r>
      <w:r>
        <w:rPr>
          <w:rFonts w:hint="eastAsia"/>
          <w:color w:val="auto"/>
          <w:sz w:val="32"/>
          <w:szCs w:val="32"/>
          <w:lang w:val="en-US" w:eastAsia="zh-CN"/>
        </w:rPr>
        <w:t>355.75</w:t>
      </w:r>
      <w:r>
        <w:rPr>
          <w:rFonts w:hint="eastAsia"/>
          <w:color w:val="auto"/>
          <w:sz w:val="32"/>
          <w:szCs w:val="32"/>
        </w:rPr>
        <w:t>万元。</w:t>
      </w:r>
      <w:bookmarkStart w:id="2" w:name="_Toc68703829"/>
    </w:p>
    <w:p>
      <w:p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（二）项目绩效目标</w:t>
      </w:r>
      <w:bookmarkEnd w:id="2"/>
    </w:p>
    <w:p>
      <w:pPr>
        <w:keepNext w:val="0"/>
        <w:keepLines w:val="0"/>
        <w:pageBreakBefore w:val="0"/>
        <w:widowControl w:val="0"/>
        <w:kinsoku/>
        <w:wordWrap/>
        <w:overflowPunct/>
        <w:topLinePunct w:val="0"/>
        <w:autoSpaceDE/>
        <w:autoSpaceDN/>
        <w:bidi w:val="0"/>
        <w:adjustRightInd/>
        <w:snapToGrid/>
        <w:spacing w:line="560" w:lineRule="exact"/>
        <w:textAlignment w:val="auto"/>
        <w:rPr>
          <w:sz w:val="32"/>
          <w:szCs w:val="32"/>
        </w:rPr>
      </w:pPr>
      <w:r>
        <w:rPr>
          <w:rFonts w:hint="eastAsia"/>
          <w:color w:val="FF0000"/>
          <w:sz w:val="32"/>
          <w:szCs w:val="32"/>
          <w:lang w:eastAsia="zh-CN"/>
        </w:rPr>
        <w:t>　</w:t>
      </w:r>
      <w:r>
        <w:rPr>
          <w:rFonts w:hint="eastAsia"/>
          <w:b w:val="0"/>
          <w:bCs w:val="0"/>
          <w:sz w:val="32"/>
          <w:szCs w:val="32"/>
          <w:lang w:eastAsia="zh-CN"/>
        </w:rPr>
        <w:t>　</w:t>
      </w:r>
      <w:r>
        <w:rPr>
          <w:rFonts w:hint="eastAsia" w:ascii="Times New Roman" w:hAnsi="Times New Roman" w:eastAsia="仿宋_GB2312" w:cs="Times New Roman"/>
          <w:b w:val="0"/>
          <w:bCs w:val="0"/>
          <w:sz w:val="32"/>
          <w:szCs w:val="32"/>
          <w:lang w:val="en-US" w:eastAsia="zh-CN"/>
        </w:rPr>
        <w:t>1.总体目标：</w:t>
      </w:r>
      <w:r>
        <w:rPr>
          <w:rFonts w:hint="eastAsia" w:eastAsia="仿宋_GB2312"/>
          <w:sz w:val="32"/>
          <w:szCs w:val="32"/>
          <w:lang w:val="en-US" w:eastAsia="zh-CN"/>
        </w:rPr>
        <w:t>购买</w:t>
      </w:r>
      <w:r>
        <w:rPr>
          <w:rFonts w:hint="eastAsia" w:eastAsia="仿宋_GB2312"/>
          <w:sz w:val="32"/>
          <w:szCs w:val="32"/>
        </w:rPr>
        <w:t>2023年</w:t>
      </w:r>
      <w:r>
        <w:rPr>
          <w:rFonts w:hint="eastAsia"/>
          <w:sz w:val="32"/>
          <w:szCs w:val="32"/>
          <w:lang w:val="en-US" w:eastAsia="zh-CN"/>
        </w:rPr>
        <w:t>要</w:t>
      </w:r>
      <w:r>
        <w:rPr>
          <w:rFonts w:hint="eastAsia" w:eastAsia="仿宋_GB2312"/>
          <w:sz w:val="32"/>
          <w:szCs w:val="32"/>
        </w:rPr>
        <w:t>进行防雹作业</w:t>
      </w:r>
      <w:r>
        <w:rPr>
          <w:rFonts w:hint="eastAsia"/>
          <w:sz w:val="32"/>
          <w:szCs w:val="32"/>
          <w:lang w:val="en-US" w:eastAsia="zh-CN"/>
        </w:rPr>
        <w:t>需要的材料设备</w:t>
      </w:r>
      <w:r>
        <w:rPr>
          <w:rFonts w:hint="eastAsia" w:eastAsia="仿宋_GB2312"/>
          <w:sz w:val="32"/>
          <w:szCs w:val="32"/>
        </w:rPr>
        <w:t>，火箭弹量至少500枚，作业次数至少20次，</w:t>
      </w:r>
      <w:r>
        <w:rPr>
          <w:rFonts w:hint="eastAsia"/>
          <w:sz w:val="32"/>
          <w:szCs w:val="32"/>
          <w:lang w:val="en-US" w:eastAsia="zh-CN"/>
        </w:rPr>
        <w:t>确保防雹</w:t>
      </w:r>
      <w:r>
        <w:rPr>
          <w:rFonts w:hint="eastAsia" w:eastAsia="仿宋_GB2312"/>
          <w:sz w:val="32"/>
          <w:szCs w:val="32"/>
        </w:rPr>
        <w:t>作业总体成功率在90%以上，作业空域申请完成率在90%以上，单次作业完成时效不超过1小时，防雹项目完成时间在</w:t>
      </w:r>
      <w:r>
        <w:rPr>
          <w:rFonts w:hint="eastAsia"/>
          <w:sz w:val="32"/>
          <w:szCs w:val="32"/>
          <w:lang w:val="en-US" w:eastAsia="zh-CN"/>
        </w:rPr>
        <w:t>2023年</w:t>
      </w:r>
      <w:r>
        <w:rPr>
          <w:rFonts w:hint="eastAsia" w:eastAsia="仿宋_GB2312"/>
          <w:sz w:val="32"/>
          <w:szCs w:val="32"/>
        </w:rPr>
        <w:t>10月25日前，购置单发火箭弹成本不超过3080元一枚。</w:t>
      </w:r>
    </w:p>
    <w:p>
      <w:pPr>
        <w:spacing w:line="560" w:lineRule="exact"/>
        <w:rPr>
          <w:rFonts w:hint="eastAsia" w:cs="Times New Roman"/>
          <w:b w:val="0"/>
          <w:bCs w:val="0"/>
          <w:sz w:val="32"/>
          <w:szCs w:val="32"/>
          <w:lang w:val="en-US" w:eastAsia="zh-CN"/>
        </w:rPr>
      </w:pPr>
      <w:r>
        <w:rPr>
          <w:rFonts w:hint="eastAsia"/>
          <w:b w:val="0"/>
          <w:bCs w:val="0"/>
          <w:sz w:val="32"/>
          <w:szCs w:val="32"/>
          <w:lang w:eastAsia="zh-CN"/>
        </w:rPr>
        <w:t>　　</w:t>
      </w:r>
      <w:r>
        <w:rPr>
          <w:rFonts w:hint="eastAsia" w:ascii="Times New Roman" w:hAnsi="Times New Roman" w:eastAsia="仿宋_GB2312" w:cs="Times New Roman"/>
          <w:b w:val="0"/>
          <w:bCs w:val="0"/>
          <w:sz w:val="32"/>
          <w:szCs w:val="32"/>
          <w:lang w:val="en-US" w:eastAsia="zh-CN"/>
        </w:rPr>
        <w:t>2.阶段性目标：</w:t>
      </w:r>
      <w:bookmarkStart w:id="3" w:name="_Toc68703830"/>
      <w:r>
        <w:rPr>
          <w:rFonts w:hint="eastAsia" w:cs="Times New Roman"/>
          <w:b w:val="0"/>
          <w:bCs w:val="0"/>
          <w:sz w:val="32"/>
          <w:szCs w:val="32"/>
          <w:lang w:val="en-US" w:eastAsia="zh-CN"/>
        </w:rPr>
        <w:t>第一阶段(2023年1月1日至3月31日）、购买防雹作业必备材料，入库存放做好防雹作业准备工作。第二阶段(4月1日至4月15日）、防雹点位配送火箭弹，培训人员及安全教育。第三阶段(4月15日至10月25日）、根据进行的防雹作业情况，补充火箭弹，10月20日后总结防雹作业，回归剩余火箭弹入库。</w:t>
      </w:r>
    </w:p>
    <w:p>
      <w:pPr>
        <w:spacing w:line="560" w:lineRule="exact"/>
        <w:rPr>
          <w:rFonts w:hint="eastAsia"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lang w:val="en-US" w:eastAsia="zh-CN"/>
        </w:rPr>
        <w:t>二、绩效评价工作开展情况</w:t>
      </w:r>
      <w:bookmarkEnd w:id="3"/>
    </w:p>
    <w:p>
      <w:pPr>
        <w:numPr>
          <w:ilvl w:val="0"/>
          <w:numId w:val="0"/>
        </w:numPr>
        <w:spacing w:line="560" w:lineRule="exact"/>
        <w:rPr>
          <w:rFonts w:hint="eastAsia" w:ascii="Times New Roman" w:hAnsi="Times New Roman" w:eastAsia="楷体_GB2312" w:cs="Times New Roman"/>
          <w:b/>
          <w:bCs/>
          <w:sz w:val="32"/>
          <w:szCs w:val="32"/>
          <w:lang w:eastAsia="zh-CN"/>
        </w:rPr>
      </w:pPr>
      <w:bookmarkStart w:id="4" w:name="_Toc68703831"/>
      <w:r>
        <w:rPr>
          <w:rFonts w:hint="eastAsia" w:ascii="Times New Roman" w:hAnsi="Times New Roman" w:eastAsia="楷体_GB2312" w:cs="Times New Roman"/>
          <w:b/>
          <w:bCs/>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1.绩效评价目的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20"/>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cs="Times New Roman"/>
          <w:b/>
          <w:bCs/>
          <w:sz w:val="30"/>
          <w:szCs w:val="30"/>
          <w:lang w:val="en-US" w:eastAsia="zh-CN"/>
        </w:rPr>
        <w:t>　</w:t>
      </w:r>
      <w:r>
        <w:rPr>
          <w:rFonts w:hint="eastAsia" w:ascii="Times New Roman" w:hAnsi="Times New Roman" w:eastAsia="仿宋_GB2312" w:cs="Times New Roman"/>
          <w:b w:val="0"/>
          <w:bCs w:val="0"/>
          <w:sz w:val="32"/>
          <w:szCs w:val="32"/>
          <w:lang w:val="en-US" w:eastAsia="zh-CN"/>
        </w:rPr>
        <w:t>2.绩效评价对象：</w:t>
      </w:r>
    </w:p>
    <w:p>
      <w:pPr>
        <w:spacing w:line="560" w:lineRule="exact"/>
        <w:ind w:firstLine="640" w:firstLineChars="200"/>
        <w:rPr>
          <w:rFonts w:ascii="仿宋_GB2312" w:hAnsi="仿宋_GB2312" w:eastAsia="仿宋_GB2312" w:cs="仿宋_GB2312"/>
          <w:sz w:val="32"/>
          <w:szCs w:val="32"/>
        </w:rPr>
      </w:pPr>
      <w:r>
        <w:rPr>
          <w:rFonts w:hint="eastAsia" w:ascii="Times New Roman" w:hAnsi="Times New Roman" w:eastAsia="仿宋_GB2312" w:cs="Times New Roman"/>
          <w:kern w:val="0"/>
          <w:sz w:val="32"/>
          <w:szCs w:val="32"/>
          <w:lang w:val="en-US" w:eastAsia="zh-CN" w:bidi="ar-SA"/>
        </w:rPr>
        <w:t>人工影响天气防雹作业项目所</w:t>
      </w:r>
      <w:r>
        <w:rPr>
          <w:rFonts w:hint="eastAsia" w:ascii="仿宋_GB2312" w:hAnsi="仿宋_GB2312" w:eastAsia="仿宋_GB2312" w:cs="仿宋_GB2312"/>
          <w:sz w:val="32"/>
          <w:szCs w:val="32"/>
        </w:rPr>
        <w:t>包含的全部项目内容。</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color w:val="auto"/>
          <w:sz w:val="32"/>
          <w:szCs w:val="32"/>
        </w:rPr>
        <w:t>本次评价从项目决策（包括绩效目标、决策过程）、项目管理（包括项目资金、项目实施）、项目产出（包括项目产出数量、产出质量、产出时效和产出成本）项目效益四个维度进行</w:t>
      </w:r>
      <w:r>
        <w:rPr>
          <w:rFonts w:hint="eastAsia"/>
          <w:color w:val="auto"/>
          <w:sz w:val="32"/>
          <w:szCs w:val="32"/>
          <w:lang w:val="en-US" w:eastAsia="zh-CN"/>
        </w:rPr>
        <w:t>人工影响天气防雹作业</w:t>
      </w:r>
      <w:r>
        <w:rPr>
          <w:rFonts w:hint="eastAsia"/>
          <w:color w:val="auto"/>
          <w:sz w:val="32"/>
          <w:szCs w:val="32"/>
        </w:rPr>
        <w:t>评价，评价核心为资金的支出完成情况和效果。</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5" w:name="_Toc68703832"/>
      <w:r>
        <w:rPr>
          <w:rFonts w:hint="eastAsia" w:ascii="Times New Roman" w:hAnsi="Times New Roman" w:eastAsia="楷体_GB2312" w:cs="Times New Roman"/>
          <w:b/>
          <w:bCs/>
          <w:kern w:val="2"/>
          <w:sz w:val="32"/>
          <w:szCs w:val="32"/>
          <w:lang w:val="en-US" w:eastAsia="zh-CN" w:bidi="ar-SA"/>
        </w:rPr>
        <w:t>（二）绩效评价原则、评价指标体系</w:t>
      </w:r>
      <w:r>
        <w:rPr>
          <w:rFonts w:eastAsia="楷体_GB2312"/>
          <w:b/>
          <w:bCs/>
          <w:sz w:val="32"/>
          <w:szCs w:val="32"/>
        </w:rPr>
        <w:t>（详情见表1）</w:t>
      </w:r>
      <w:r>
        <w:rPr>
          <w:rFonts w:hint="eastAsia" w:ascii="Times New Roman" w:hAnsi="Times New Roman" w:eastAsia="楷体_GB2312" w:cs="Times New Roman"/>
          <w:b/>
          <w:bCs/>
          <w:kern w:val="2"/>
          <w:sz w:val="32"/>
          <w:szCs w:val="32"/>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pPr>
      <w:r>
        <w:rPr>
          <w:rFonts w:ascii="Times New Roman" w:hAnsi="Times New Roman" w:eastAsia="仿宋_GB2312"/>
          <w:b w:val="0"/>
          <w:bCs w:val="0"/>
        </w:rPr>
        <w:t>（4）公开透明。绩效评价结果应依法依规公开，并自觉接受社会监督。</w:t>
      </w:r>
    </w:p>
    <w:p>
      <w:pPr>
        <w:spacing w:line="360" w:lineRule="auto"/>
        <w:ind w:firstLine="600" w:firstLineChars="200"/>
        <w:jc w:val="left"/>
        <w:rPr>
          <w:rFonts w:hint="eastAsia"/>
          <w:sz w:val="32"/>
          <w:szCs w:val="32"/>
        </w:rPr>
      </w:pPr>
      <w:r>
        <w:rPr>
          <w:rFonts w:hint="eastAsia"/>
        </w:rPr>
        <w:t>2、</w:t>
      </w:r>
      <w:r>
        <w:rPr>
          <w:rFonts w:hint="eastAsia"/>
          <w:sz w:val="32"/>
          <w:szCs w:val="32"/>
        </w:rPr>
        <w:t>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560" w:lineRule="exact"/>
        <w:ind w:firstLine="708" w:firstLineChars="200"/>
        <w:jc w:val="both"/>
        <w:outlineLvl w:val="9"/>
        <w:rPr>
          <w:rFonts w:hint="eastAsia"/>
        </w:rPr>
      </w:pPr>
      <w:r>
        <w:rPr>
          <w:rFonts w:ascii="Times New Roman" w:hAnsi="Times New Roman" w:eastAsia="仿宋_GB2312"/>
          <w:b w:val="0"/>
          <w:bCs w:val="0"/>
          <w:color w:val="000000"/>
          <w:spacing w:val="17"/>
        </w:rPr>
        <w:t>具体评价指标体系详情见附件1</w:t>
      </w:r>
    </w:p>
    <w:p>
      <w:pPr>
        <w:pStyle w:val="6"/>
        <w:rPr>
          <w:rFonts w:hint="eastAsia"/>
          <w:sz w:val="32"/>
          <w:szCs w:val="32"/>
        </w:rPr>
      </w:pPr>
      <w:r>
        <w:rPr>
          <w:rFonts w:hint="eastAsia"/>
          <w:sz w:val="32"/>
          <w:szCs w:val="32"/>
        </w:rPr>
        <w:t>3、评价方法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eastAsia" w:eastAsia="仿宋_GB2312"/>
          <w:bCs/>
          <w:color w:val="FF0000"/>
          <w:sz w:val="32"/>
          <w:szCs w:val="32"/>
          <w:lang w:eastAsia="zh-CN"/>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（1）比较法</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通过对绩效目标与实施效果、历史与当期情况，综合分析绩效目标实现程度。对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最终验收情况与年度绩效目标对比、预算资金执行情况等相关因素进行比较。</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（2）因素分析法</w:t>
      </w:r>
    </w:p>
    <w:p>
      <w:pPr>
        <w:spacing w:line="560" w:lineRule="exact"/>
        <w:ind w:firstLine="708" w:firstLineChars="200"/>
        <w:rPr>
          <w:rFonts w:hint="eastAsia" w:eastAsia="仿宋_GB2312"/>
          <w:bCs/>
          <w:color w:val="000000" w:themeColor="text1"/>
          <w:sz w:val="32"/>
          <w:szCs w:val="32"/>
          <w:lang w:eastAsia="zh-CN"/>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通过综合分析影响绩效目标实现、实施效果的内外因素，评价绩效目标实现程度。通过对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eastAsia"/>
        </w:rPr>
      </w:pPr>
      <w:r>
        <w:rPr>
          <w:rFonts w:hint="eastAsia"/>
          <w:lang w:eastAsia="zh-CN"/>
        </w:rPr>
        <w:t>　　</w:t>
      </w:r>
      <w:r>
        <w:rPr>
          <w:rFonts w:hint="eastAsia"/>
          <w:sz w:val="32"/>
          <w:szCs w:val="32"/>
        </w:rPr>
        <w:t>4</w:t>
      </w:r>
      <w:r>
        <w:rPr>
          <w:rFonts w:hint="eastAsia"/>
          <w:sz w:val="32"/>
          <w:szCs w:val="32"/>
          <w:lang w:val="en-US" w:eastAsia="zh-CN"/>
        </w:rPr>
        <w:t>.</w:t>
      </w:r>
      <w:r>
        <w:rPr>
          <w:rFonts w:hint="eastAsia"/>
          <w:sz w:val="32"/>
          <w:szCs w:val="32"/>
        </w:rPr>
        <w:t>评价标准</w:t>
      </w:r>
    </w:p>
    <w:p>
      <w:pPr>
        <w:spacing w:line="560" w:lineRule="exact"/>
        <w:ind w:firstLine="640"/>
        <w:rPr>
          <w:rFonts w:hint="eastAsia"/>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w:t>
      </w:r>
      <w:r>
        <w:rPr>
          <w:rFonts w:hint="eastAsia"/>
          <w:bCs/>
          <w:color w:val="000000" w:themeColor="text1"/>
          <w:sz w:val="32"/>
          <w:szCs w:val="32"/>
          <w:lang w:val="en-US" w:eastAsia="zh-CN"/>
          <w14:textFill>
            <w14:solidFill>
              <w14:schemeClr w14:val="tx1"/>
            </w14:solidFill>
          </w14:textFill>
        </w:rPr>
        <w:t>计划</w:t>
      </w:r>
      <w:r>
        <w:rPr>
          <w:rFonts w:hint="eastAsia"/>
          <w:bCs/>
          <w:color w:val="000000" w:themeColor="text1"/>
          <w:sz w:val="32"/>
          <w:szCs w:val="32"/>
          <w14:textFill>
            <w14:solidFill>
              <w14:schemeClr w14:val="tx1"/>
            </w14:solidFill>
          </w14:textFill>
        </w:rPr>
        <w:t>标准。</w:t>
      </w:r>
    </w:p>
    <w:p>
      <w:pPr>
        <w:spacing w:line="560" w:lineRule="exact"/>
        <w:ind w:firstLine="640"/>
        <w:rPr>
          <w:rFonts w:hint="eastAsia"/>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6" w:name="_Toc68703833"/>
      <w:r>
        <w:rPr>
          <w:rFonts w:hint="eastAsia" w:ascii="Times New Roman" w:hAnsi="Times New Roman" w:eastAsia="楷体_GB2312" w:cs="Times New Roman"/>
          <w:b/>
          <w:bCs/>
          <w:kern w:val="2"/>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2</w:t>
      </w:r>
      <w:r>
        <w:rPr>
          <w:rFonts w:hint="eastAsia"/>
          <w:sz w:val="32"/>
          <w:szCs w:val="32"/>
          <w:lang w:val="en-US" w:eastAsia="zh-CN"/>
        </w:rPr>
        <w:t>.</w:t>
      </w:r>
      <w:r>
        <w:rPr>
          <w:rFonts w:hint="eastAsia"/>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3</w:t>
      </w:r>
      <w:r>
        <w:rPr>
          <w:rFonts w:hint="eastAsia"/>
          <w:sz w:val="32"/>
          <w:szCs w:val="32"/>
          <w:lang w:val="en-US" w:eastAsia="zh-CN"/>
        </w:rPr>
        <w:t>.</w:t>
      </w:r>
      <w:r>
        <w:rPr>
          <w:rFonts w:hint="eastAsia"/>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bookmarkStart w:id="7" w:name="_Toc68703834"/>
      <w:r>
        <w:rPr>
          <w:rFonts w:hint="eastAsia"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rPr>
          <w:rFonts w:hint="eastAsia" w:ascii="Times New Roman" w:hAnsi="Times New Roman" w:eastAsia="黑体" w:cs="Times New Roman"/>
          <w:bCs/>
          <w:sz w:val="32"/>
          <w:szCs w:val="32"/>
          <w:lang w:val="en-US" w:eastAsia="zh-CN"/>
        </w:rPr>
      </w:pPr>
      <w:r>
        <w:rPr>
          <w:rFonts w:hint="eastAsia" w:eastAsia="黑体" w:cs="Times New Roman"/>
          <w:bCs/>
          <w:sz w:val="32"/>
          <w:szCs w:val="32"/>
          <w:lang w:val="en-US" w:eastAsia="zh-CN"/>
        </w:rPr>
        <w:t>三、</w:t>
      </w:r>
      <w:r>
        <w:rPr>
          <w:rFonts w:hint="eastAsia" w:ascii="Times New Roman" w:hAnsi="Times New Roman" w:eastAsia="黑体" w:cs="Times New Roman"/>
          <w:bCs/>
          <w:sz w:val="32"/>
          <w:szCs w:val="32"/>
          <w:lang w:val="en-US" w:eastAsia="zh-CN"/>
        </w:rPr>
        <w:t>综合评价情况及评价结论</w:t>
      </w:r>
      <w:bookmarkEnd w:id="7"/>
      <w:r>
        <w:rPr>
          <w:rFonts w:eastAsia="黑体"/>
          <w:sz w:val="32"/>
          <w:szCs w:val="32"/>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8" w:name="_Toc68703835"/>
      <w:r>
        <w:rPr>
          <w:rFonts w:hint="eastAsia" w:ascii="Times New Roman" w:hAnsi="Times New Roman" w:eastAsia="楷体_GB2312" w:cs="Times New Roman"/>
          <w:b/>
          <w:bCs/>
          <w:kern w:val="2"/>
          <w:sz w:val="32"/>
          <w:szCs w:val="32"/>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bookmarkStart w:id="9" w:name="_Toc68703836"/>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3" w:firstLineChars="200"/>
        <w:textAlignment w:val="auto"/>
        <w:outlineLvl w:val="9"/>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评价结论</w:t>
      </w:r>
      <w:bookmarkEnd w:id="9"/>
    </w:p>
    <w:p>
      <w:pPr>
        <w:keepNext w:val="0"/>
        <w:keepLines w:val="0"/>
        <w:pageBreakBefore w:val="0"/>
        <w:widowControl w:val="0"/>
        <w:numPr>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Times New Roman"/>
          <w:b w:val="0"/>
          <w:bCs w:val="0"/>
          <w:kern w:val="28"/>
          <w:sz w:val="32"/>
          <w:szCs w:val="32"/>
          <w:lang w:val="en-US" w:eastAsia="zh-CN" w:bidi="ar-SA"/>
        </w:rPr>
      </w:pPr>
      <w:r>
        <w:rPr>
          <w:rFonts w:hint="eastAsia"/>
          <w:b w:val="0"/>
          <w:bCs w:val="0"/>
          <w:lang w:eastAsia="zh-CN"/>
        </w:rPr>
        <w:t>　　</w:t>
      </w:r>
      <w:r>
        <w:rPr>
          <w:rFonts w:hint="eastAsia" w:ascii="Times New Roman" w:hAnsi="Times New Roman" w:eastAsia="仿宋_GB2312" w:cs="Times New Roman"/>
          <w:b w:val="0"/>
          <w:bCs w:val="0"/>
          <w:kern w:val="28"/>
          <w:sz w:val="32"/>
          <w:szCs w:val="32"/>
          <w:lang w:val="en-US" w:eastAsia="zh-CN" w:bidi="ar-SA"/>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cs="Times New Roman"/>
          <w:b w:val="0"/>
          <w:bCs w:val="0"/>
          <w:kern w:val="28"/>
          <w:sz w:val="32"/>
          <w:szCs w:val="32"/>
          <w:lang w:val="en-US" w:eastAsia="zh-CN" w:bidi="ar-SA"/>
        </w:rPr>
        <w:t>99.5</w:t>
      </w:r>
      <w:r>
        <w:rPr>
          <w:rFonts w:hint="eastAsia" w:ascii="Times New Roman" w:hAnsi="Times New Roman" w:eastAsia="仿宋_GB2312" w:cs="Times New Roman"/>
          <w:b w:val="0"/>
          <w:bCs w:val="0"/>
          <w:kern w:val="28"/>
          <w:sz w:val="32"/>
          <w:szCs w:val="32"/>
          <w:lang w:val="en-US" w:eastAsia="zh-CN" w:bidi="ar-SA"/>
        </w:rPr>
        <w:t>分，属于“优”。其中，项目决策类指标权重为20分，得分为 20分，得分率为 100%。项目过程类指标权重为20分，得分为19.5分，得分率为 97.5%。项目产出类指标权重为40分，得分为40分，得分率为 100%。项目效益类指标权重为20分，得分为20分，得分率为100%。具体打分情况详见：附件1综合评分表。</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sz w:val="30"/>
          <w:szCs w:val="30"/>
          <w:lang w:eastAsia="zh-CN"/>
        </w:rPr>
        <w:t>　　　　　　　　</w:t>
      </w:r>
      <w:r>
        <w:rPr>
          <w:rFonts w:hint="eastAsia" w:ascii="Times New Roman" w:hAnsi="Times New Roman" w:eastAsia="仿宋_GB2312" w:cs="Times New Roman"/>
          <w:b w:val="0"/>
          <w:bCs w:val="0"/>
          <w:kern w:val="28"/>
          <w:sz w:val="32"/>
          <w:szCs w:val="32"/>
          <w:lang w:val="en-US" w:eastAsia="zh-CN" w:bidi="ar-SA"/>
        </w:rPr>
        <w:t>表1综合评分表</w:t>
      </w:r>
    </w:p>
    <w:tbl>
      <w:tblPr>
        <w:tblStyle w:val="11"/>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lang w:val="en-US" w:eastAsia="zh-CN"/>
              </w:rPr>
            </w:pPr>
            <w:r>
              <w:rPr>
                <w:rFonts w:hint="eastAsia"/>
                <w:i w:val="0"/>
                <w:iCs w:val="0"/>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color w:val="000000"/>
                <w:sz w:val="22"/>
                <w:lang w:val="en-US"/>
              </w:rPr>
            </w:pPr>
            <w:r>
              <w:rPr>
                <w:rFonts w:hint="eastAsia"/>
                <w:color w:val="000000"/>
                <w:sz w:val="22"/>
                <w:lang w:val="en-US" w:eastAsia="zh-CN"/>
              </w:rPr>
              <w:t>19.5</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color w:val="000000"/>
                <w:sz w:val="22"/>
                <w:lang w:val="en-US"/>
              </w:rPr>
            </w:pPr>
            <w:r>
              <w:rPr>
                <w:rFonts w:hint="eastAsia"/>
                <w:color w:val="000000"/>
                <w:sz w:val="22"/>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i w:val="0"/>
                <w:iCs w:val="0"/>
                <w:color w:val="000000"/>
                <w:sz w:val="22"/>
                <w:lang w:val="en-US"/>
              </w:rPr>
            </w:pPr>
            <w:r>
              <w:rPr>
                <w:rFonts w:hint="eastAsia"/>
                <w:i w:val="0"/>
                <w:iCs w:val="0"/>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i w:val="0"/>
                <w:iCs w:val="0"/>
                <w:color w:val="000000"/>
                <w:sz w:val="22"/>
                <w:lang w:val="en-US" w:eastAsia="zh-CN"/>
              </w:rPr>
            </w:pPr>
            <w:r>
              <w:rPr>
                <w:rFonts w:hint="eastAsia"/>
                <w:b/>
                <w:bCs/>
                <w:i w:val="0"/>
                <w:iCs w:val="0"/>
                <w:color w:val="000000"/>
                <w:sz w:val="22"/>
                <w:lang w:val="en-US" w:eastAsia="zh-CN"/>
              </w:rPr>
              <w:t>99.5</w:t>
            </w:r>
          </w:p>
        </w:tc>
      </w:tr>
    </w:tbl>
    <w:p>
      <w:pPr>
        <w:spacing w:line="560" w:lineRule="exact"/>
        <w:rPr>
          <w:rFonts w:hint="eastAsia" w:ascii="Times New Roman" w:hAnsi="Times New Roman" w:eastAsia="黑体" w:cs="Times New Roman"/>
          <w:bCs/>
          <w:sz w:val="32"/>
          <w:szCs w:val="32"/>
          <w:lang w:val="en-US" w:eastAsia="zh-CN"/>
        </w:rPr>
      </w:pPr>
      <w:bookmarkStart w:id="10" w:name="_Toc68703837"/>
      <w:r>
        <w:rPr>
          <w:rFonts w:hint="eastAsia" w:ascii="Times New Roman" w:hAnsi="Times New Roman" w:eastAsia="黑体" w:cs="Times New Roman"/>
          <w:bCs/>
          <w:sz w:val="32"/>
          <w:szCs w:val="32"/>
          <w:lang w:val="en-US" w:eastAsia="zh-CN"/>
        </w:rPr>
        <w:t>四、绩效评价指标分析</w:t>
      </w:r>
      <w:bookmarkEnd w:id="10"/>
    </w:p>
    <w:p>
      <w:pPr>
        <w:spacing w:line="560" w:lineRule="exact"/>
        <w:rPr>
          <w:rFonts w:hint="eastAsia" w:ascii="Times New Roman" w:hAnsi="Times New Roman" w:eastAsia="楷体_GB2312" w:cs="Times New Roman"/>
          <w:b/>
          <w:bCs/>
          <w:kern w:val="2"/>
          <w:sz w:val="32"/>
          <w:szCs w:val="32"/>
          <w:lang w:val="en-US" w:eastAsia="zh-CN" w:bidi="ar-SA"/>
        </w:rPr>
      </w:pPr>
      <w:bookmarkStart w:id="11" w:name="_Toc68703838"/>
      <w:r>
        <w:rPr>
          <w:rFonts w:hint="eastAsia" w:ascii="Times New Roman" w:hAnsi="Times New Roman" w:eastAsia="楷体_GB2312" w:cs="Times New Roman"/>
          <w:b/>
          <w:bCs/>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eastAsia"/>
          <w:b w:val="0"/>
          <w:bCs w:val="0"/>
          <w:sz w:val="32"/>
          <w:szCs w:val="32"/>
          <w:lang w:val="en-US" w:eastAsia="zh-CN"/>
        </w:rPr>
      </w:pPr>
      <w:r>
        <w:rPr>
          <w:rFonts w:hint="eastAsia"/>
          <w:b w:val="0"/>
          <w:bCs w:val="0"/>
          <w:sz w:val="32"/>
          <w:szCs w:val="32"/>
          <w:lang w:val="en-US" w:eastAsia="zh-CN"/>
        </w:rPr>
        <w:t>　　项目决策类指标包括项目立项、绩效目标和资金投入三方面的内容，由6个三级指标构成，权重分值为20分，实际得分20分，得分率为100%。</w:t>
      </w:r>
    </w:p>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color w:val="FF0000"/>
          <w:sz w:val="32"/>
          <w:szCs w:val="32"/>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sz w:val="32"/>
          <w:szCs w:val="32"/>
        </w:rPr>
      </w:pPr>
      <w:r>
        <w:rPr>
          <w:rFonts w:hint="eastAsia"/>
          <w:b w:val="0"/>
          <w:bCs w:val="0"/>
          <w:sz w:val="32"/>
          <w:szCs w:val="32"/>
        </w:rPr>
        <w:t>2</w:t>
      </w:r>
      <w:r>
        <w:rPr>
          <w:rFonts w:hint="eastAsia"/>
          <w:b w:val="0"/>
          <w:bCs w:val="0"/>
          <w:sz w:val="32"/>
          <w:szCs w:val="32"/>
          <w:lang w:val="en-US" w:eastAsia="zh-CN"/>
        </w:rPr>
        <w:t>.</w:t>
      </w:r>
      <w:r>
        <w:rPr>
          <w:rFonts w:hint="eastAsia"/>
          <w:b w:val="0"/>
          <w:bCs w:val="0"/>
          <w:sz w:val="32"/>
          <w:szCs w:val="32"/>
        </w:rPr>
        <w:t>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sz w:val="32"/>
          <w:szCs w:val="32"/>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bookmarkStart w:id="12" w:name="_Hlk68699917"/>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2"/>
        <w:numPr>
          <w:ilvl w:val="0"/>
          <w:numId w:val="0"/>
        </w:numPr>
        <w:spacing w:before="0" w:after="0" w:line="560" w:lineRule="exact"/>
        <w:jc w:val="both"/>
        <w:rPr>
          <w:rFonts w:ascii="楷体" w:hAnsi="楷体" w:eastAsia="楷体" w:cs="楷体"/>
        </w:rPr>
      </w:pPr>
      <w:r>
        <w:rPr>
          <w:rFonts w:hint="eastAsia" w:ascii="楷体" w:hAnsi="楷体" w:eastAsia="楷体" w:cs="楷体"/>
          <w:lang w:eastAsia="zh-CN"/>
        </w:rPr>
        <w:t>（二）</w:t>
      </w: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三级指标构成，权重分值为20分，实际得分19.5分，得分率为97.5%。</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本项目总投资355.75万元，财政资金及时足额到位，到位率100%，预算资金按计划进度执行。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预算编制较为详细，项目资金支出总体能够按照预算执行，预算资金支出355.75万元，预算执行率为100%。</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6"/>
        <w:numPr>
          <w:ilvl w:val="0"/>
          <w:numId w:val="0"/>
        </w:numPr>
        <w:rPr>
          <w:rFonts w:hint="eastAsia" w:ascii="Times New Roman" w:hAnsi="Times New Roman" w:eastAsia="楷体_GB2312" w:cs="Times New Roman"/>
          <w:b/>
          <w:bCs/>
          <w:kern w:val="2"/>
          <w:sz w:val="32"/>
          <w:szCs w:val="32"/>
          <w:lang w:val="en-US" w:eastAsia="zh-CN" w:bidi="ar-SA"/>
        </w:rPr>
      </w:pPr>
      <w:bookmarkStart w:id="13" w:name="_Toc68703840"/>
      <w:r>
        <w:rPr>
          <w:rFonts w:hint="eastAsia" w:ascii="Times New Roman" w:hAnsi="Times New Roman" w:eastAsia="楷体_GB2312" w:cs="Times New Roman"/>
          <w:b/>
          <w:bCs/>
          <w:kern w:val="2"/>
          <w:sz w:val="32"/>
          <w:szCs w:val="32"/>
          <w:lang w:val="en-US" w:eastAsia="zh-CN" w:bidi="ar-SA"/>
        </w:rPr>
        <w:t>（三）项目产出情况</w:t>
      </w:r>
      <w:bookmarkEnd w:id="13"/>
    </w:p>
    <w:p>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项目产出类指标包括产出数量、产出质量、产出时效、产出成本四方面的内容，由6个三级指标构成，权重分为40分，实际得分</w:t>
      </w:r>
      <w:r>
        <w:rPr>
          <w:rFonts w:hint="eastAsia" w:ascii="仿宋_GB2312" w:hAnsi="仿宋_GB2312" w:cs="仿宋_GB2312"/>
          <w:sz w:val="32"/>
          <w:szCs w:val="32"/>
          <w:lang w:val="en-US" w:eastAsia="zh-CN"/>
        </w:rPr>
        <w:t>40</w:t>
      </w:r>
      <w:r>
        <w:rPr>
          <w:rFonts w:hint="eastAsia" w:ascii="仿宋_GB2312" w:hAnsi="仿宋_GB2312" w:eastAsia="仿宋_GB2312" w:cs="仿宋_GB2312"/>
          <w:sz w:val="32"/>
          <w:szCs w:val="32"/>
          <w:lang w:val="en-US" w:eastAsia="zh-CN"/>
        </w:rPr>
        <w:t>分，得分率为</w:t>
      </w:r>
      <w:r>
        <w:rPr>
          <w:rFonts w:hint="eastAsia" w:ascii="仿宋_GB2312" w:hAnsi="仿宋_GB2312" w:cs="仿宋_GB2312"/>
          <w:sz w:val="32"/>
          <w:szCs w:val="32"/>
          <w:lang w:val="en-US" w:eastAsia="zh-CN"/>
        </w:rPr>
        <w:t>10</w:t>
      </w:r>
      <w:r>
        <w:rPr>
          <w:rFonts w:hint="eastAsia" w:ascii="仿宋_GB2312" w:hAnsi="仿宋_GB2312" w:eastAsia="仿宋_GB2312" w:cs="仿宋_GB2312"/>
          <w:sz w:val="32"/>
          <w:szCs w:val="32"/>
          <w:lang w:val="en-US" w:eastAsia="zh-CN"/>
        </w:rPr>
        <w:t>0%。具体产出指标完成情况如下：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32"/>
          <w:lang w:eastAsia="zh-CN"/>
        </w:rPr>
      </w:pPr>
      <w:r>
        <w:rPr>
          <w:rFonts w:hint="eastAsia"/>
          <w:color w:val="auto"/>
          <w:sz w:val="32"/>
          <w:szCs w:val="32"/>
        </w:rPr>
        <w:t>指标1：</w:t>
      </w:r>
      <w:r>
        <w:rPr>
          <w:rFonts w:hint="eastAsia"/>
          <w:color w:val="auto"/>
          <w:sz w:val="32"/>
          <w:szCs w:val="32"/>
          <w:lang w:val="en-US" w:eastAsia="zh-CN"/>
        </w:rPr>
        <w:t>火箭弹购买量</w:t>
      </w:r>
      <w:r>
        <w:rPr>
          <w:rFonts w:hint="eastAsia"/>
          <w:color w:val="auto"/>
          <w:sz w:val="32"/>
          <w:szCs w:val="32"/>
        </w:rPr>
        <w:t>，指标值：</w:t>
      </w:r>
      <w:r>
        <w:rPr>
          <w:rFonts w:hint="eastAsia"/>
          <w:color w:val="auto"/>
          <w:sz w:val="32"/>
          <w:szCs w:val="32"/>
          <w:lang w:val="en-US" w:eastAsia="zh-CN"/>
        </w:rPr>
        <w:t>&gt;=1000枚</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1100枚</w:t>
      </w:r>
      <w:r>
        <w:rPr>
          <w:rFonts w:hint="eastAsia"/>
          <w:color w:val="auto"/>
          <w:sz w:val="32"/>
          <w:szCs w:val="32"/>
        </w:rPr>
        <w:t>，指标完成率</w:t>
      </w:r>
      <w:r>
        <w:rPr>
          <w:rFonts w:hint="eastAsia"/>
          <w:color w:val="auto"/>
          <w:sz w:val="32"/>
          <w:szCs w:val="32"/>
          <w:lang w:val="en-US" w:eastAsia="zh-CN"/>
        </w:rPr>
        <w:t>110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color w:val="auto"/>
          <w:sz w:val="32"/>
          <w:szCs w:val="32"/>
        </w:rPr>
        <w:t>指标2：</w:t>
      </w:r>
      <w:r>
        <w:rPr>
          <w:rFonts w:hint="eastAsia"/>
          <w:color w:val="auto"/>
          <w:sz w:val="32"/>
          <w:szCs w:val="32"/>
          <w:lang w:val="en-US" w:eastAsia="zh-CN"/>
        </w:rPr>
        <w:t>防雹作业次数</w:t>
      </w:r>
      <w:r>
        <w:rPr>
          <w:rFonts w:hint="eastAsia"/>
          <w:color w:val="auto"/>
          <w:sz w:val="32"/>
          <w:szCs w:val="32"/>
        </w:rPr>
        <w:t>，指标值：</w:t>
      </w:r>
      <w:r>
        <w:rPr>
          <w:rFonts w:hint="eastAsia"/>
          <w:color w:val="auto"/>
          <w:sz w:val="32"/>
          <w:szCs w:val="32"/>
          <w:lang w:val="en-US" w:eastAsia="zh-CN"/>
        </w:rPr>
        <w:t>&gt;=50次</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74次</w:t>
      </w:r>
      <w:r>
        <w:rPr>
          <w:rFonts w:hint="eastAsia"/>
          <w:color w:val="auto"/>
          <w:sz w:val="32"/>
          <w:szCs w:val="32"/>
        </w:rPr>
        <w:t>，指标完成率</w:t>
      </w:r>
      <w:r>
        <w:rPr>
          <w:rFonts w:hint="eastAsia"/>
          <w:color w:val="auto"/>
          <w:sz w:val="32"/>
          <w:szCs w:val="32"/>
          <w:lang w:val="en-US" w:eastAsia="zh-CN"/>
        </w:rPr>
        <w:t>148</w:t>
      </w:r>
      <w:r>
        <w:rPr>
          <w:rFonts w:hint="eastAsia"/>
          <w:color w:val="auto"/>
          <w:sz w:val="32"/>
          <w:szCs w:val="32"/>
        </w:rPr>
        <w:t>%</w:t>
      </w:r>
      <w:r>
        <w:rPr>
          <w:rFonts w:hint="eastAsia"/>
          <w:color w:val="auto"/>
          <w:sz w:val="32"/>
          <w:szCs w:val="32"/>
          <w:lang w:val="en-US" w:eastAsia="zh-CN"/>
        </w:rPr>
        <w:t>,偏差原因：夏季防雹作业次数较多下一年度精准预估。</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32"/>
          <w:lang w:eastAsia="zh-CN"/>
        </w:rPr>
      </w:pPr>
      <w:r>
        <w:rPr>
          <w:rFonts w:hint="eastAsia"/>
          <w:color w:val="auto"/>
          <w:sz w:val="32"/>
          <w:szCs w:val="32"/>
        </w:rPr>
        <w:t>指标1：</w:t>
      </w:r>
      <w:r>
        <w:rPr>
          <w:rFonts w:hint="eastAsia"/>
          <w:color w:val="auto"/>
          <w:sz w:val="32"/>
          <w:szCs w:val="32"/>
          <w:lang w:val="en-US" w:eastAsia="zh-CN"/>
        </w:rPr>
        <w:t>防雹作业成功率</w:t>
      </w:r>
      <w:r>
        <w:rPr>
          <w:rFonts w:hint="eastAsia"/>
          <w:color w:val="auto"/>
          <w:sz w:val="32"/>
          <w:szCs w:val="32"/>
        </w:rPr>
        <w:t>，指标值：</w:t>
      </w:r>
      <w:r>
        <w:rPr>
          <w:rFonts w:hint="eastAsia"/>
          <w:color w:val="auto"/>
          <w:sz w:val="32"/>
          <w:szCs w:val="32"/>
          <w:lang w:val="en-US" w:eastAsia="zh-CN"/>
        </w:rPr>
        <w:t>&gt;=90%</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111</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lang w:eastAsia="zh-CN"/>
        </w:rPr>
      </w:pPr>
      <w:r>
        <w:rPr>
          <w:rFonts w:hint="eastAsia"/>
          <w:color w:val="auto"/>
          <w:sz w:val="32"/>
          <w:szCs w:val="32"/>
        </w:rPr>
        <w:t>指标2：</w:t>
      </w:r>
      <w:r>
        <w:rPr>
          <w:rFonts w:hint="eastAsia"/>
          <w:color w:val="auto"/>
          <w:sz w:val="32"/>
          <w:szCs w:val="32"/>
          <w:lang w:val="en-US" w:eastAsia="zh-CN"/>
        </w:rPr>
        <w:t>防雹作业空域申请完成</w:t>
      </w:r>
      <w:r>
        <w:rPr>
          <w:rFonts w:hint="eastAsia"/>
          <w:color w:val="auto"/>
          <w:sz w:val="32"/>
          <w:szCs w:val="32"/>
        </w:rPr>
        <w:t>，指标值：</w:t>
      </w:r>
      <w:r>
        <w:rPr>
          <w:rFonts w:hint="eastAsia"/>
          <w:color w:val="auto"/>
          <w:sz w:val="32"/>
          <w:szCs w:val="32"/>
          <w:lang w:val="en-US" w:eastAsia="zh-CN"/>
        </w:rPr>
        <w:t>&gt;=90%</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111</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32"/>
          <w:lang w:eastAsia="zh-CN"/>
        </w:rPr>
      </w:pPr>
      <w:bookmarkStart w:id="14" w:name="_Toc68703841"/>
      <w:r>
        <w:rPr>
          <w:rFonts w:hint="eastAsia"/>
          <w:color w:val="auto"/>
          <w:sz w:val="32"/>
          <w:szCs w:val="32"/>
        </w:rPr>
        <w:t>指标1：</w:t>
      </w:r>
      <w:r>
        <w:rPr>
          <w:rFonts w:hint="eastAsia"/>
          <w:color w:val="auto"/>
          <w:sz w:val="32"/>
          <w:szCs w:val="32"/>
          <w:lang w:val="en-US" w:eastAsia="zh-CN"/>
        </w:rPr>
        <w:t>单次作业完成时间</w:t>
      </w:r>
      <w:r>
        <w:rPr>
          <w:rFonts w:hint="eastAsia"/>
          <w:color w:val="auto"/>
          <w:sz w:val="32"/>
          <w:szCs w:val="32"/>
        </w:rPr>
        <w:t>，指标值：</w:t>
      </w:r>
      <w:r>
        <w:rPr>
          <w:rFonts w:hint="eastAsia"/>
          <w:color w:val="auto"/>
          <w:sz w:val="32"/>
          <w:szCs w:val="32"/>
          <w:lang w:val="en-US" w:eastAsia="zh-CN"/>
        </w:rPr>
        <w:t>&lt;=1小时</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0.1小时</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lang w:eastAsia="zh-CN"/>
        </w:rPr>
      </w:pPr>
      <w:r>
        <w:rPr>
          <w:rFonts w:hint="eastAsia"/>
          <w:color w:val="auto"/>
          <w:sz w:val="32"/>
          <w:szCs w:val="32"/>
        </w:rPr>
        <w:t>指标2：</w:t>
      </w:r>
      <w:r>
        <w:rPr>
          <w:rFonts w:hint="eastAsia"/>
          <w:color w:val="auto"/>
          <w:sz w:val="32"/>
          <w:szCs w:val="32"/>
          <w:lang w:val="en-US" w:eastAsia="zh-CN"/>
        </w:rPr>
        <w:t>项目完成时限</w:t>
      </w:r>
      <w:r>
        <w:rPr>
          <w:rFonts w:hint="eastAsia"/>
          <w:color w:val="auto"/>
          <w:sz w:val="32"/>
          <w:szCs w:val="32"/>
        </w:rPr>
        <w:t>，指标值：</w:t>
      </w:r>
      <w:r>
        <w:rPr>
          <w:rFonts w:hint="eastAsia"/>
          <w:color w:val="auto"/>
          <w:sz w:val="32"/>
          <w:szCs w:val="32"/>
          <w:lang w:val="en-US" w:eastAsia="zh-CN"/>
        </w:rPr>
        <w:t>2023年10月25日前</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2023年10月25日</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 4 \* GB3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sz w:val="32"/>
          <w:szCs w:val="32"/>
          <w:highlight w:val="none"/>
          <w:lang w:val="en-US" w:eastAsia="zh-CN"/>
        </w:rPr>
        <w:t>④</w:t>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成本指标：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val="en-US" w:eastAsia="zh-CN"/>
        </w:rPr>
      </w:pPr>
      <w:r>
        <w:rPr>
          <w:rFonts w:hint="eastAsia"/>
          <w:color w:val="auto"/>
          <w:sz w:val="32"/>
          <w:szCs w:val="32"/>
        </w:rPr>
        <w:t>指标1：</w:t>
      </w:r>
      <w:r>
        <w:rPr>
          <w:rFonts w:hint="eastAsia"/>
          <w:color w:val="auto"/>
          <w:sz w:val="32"/>
          <w:szCs w:val="32"/>
          <w:lang w:val="en-US" w:eastAsia="zh-CN"/>
        </w:rPr>
        <w:t>单发火箭弹单价</w:t>
      </w:r>
      <w:r>
        <w:rPr>
          <w:rFonts w:hint="eastAsia"/>
          <w:color w:val="auto"/>
          <w:sz w:val="32"/>
          <w:szCs w:val="32"/>
        </w:rPr>
        <w:t>，指标值：</w:t>
      </w:r>
      <w:r>
        <w:rPr>
          <w:rFonts w:hint="eastAsia"/>
          <w:color w:val="auto"/>
          <w:sz w:val="32"/>
          <w:szCs w:val="32"/>
          <w:lang w:val="en-US" w:eastAsia="zh-CN"/>
        </w:rPr>
        <w:t>&lt;=3080元</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3080元</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（四）项目效益情况</w:t>
      </w:r>
      <w:bookmarkEnd w:id="14"/>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项目效益类指标包括项目实施效益和满意度两方面的内容，由2个三级指标构成，权重分为20分，实际得分20分，得分率为100%。具体效益指标及满意度指标完成情况如下：</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1.实施效益</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经济效益指标：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color w:val="auto"/>
          <w:sz w:val="32"/>
          <w:szCs w:val="32"/>
        </w:rPr>
        <w:t>指标1：</w:t>
      </w:r>
      <w:r>
        <w:rPr>
          <w:rFonts w:hint="eastAsia"/>
          <w:color w:val="auto"/>
          <w:sz w:val="32"/>
          <w:szCs w:val="32"/>
          <w:lang w:val="en-US" w:eastAsia="zh-CN"/>
        </w:rPr>
        <w:t>防雹减灾</w:t>
      </w:r>
      <w:r>
        <w:rPr>
          <w:rFonts w:hint="eastAsia"/>
          <w:color w:val="auto"/>
          <w:sz w:val="32"/>
          <w:szCs w:val="32"/>
        </w:rPr>
        <w:t>，指标值：</w:t>
      </w:r>
      <w:r>
        <w:rPr>
          <w:rFonts w:hint="eastAsia"/>
          <w:color w:val="auto"/>
          <w:sz w:val="32"/>
          <w:szCs w:val="32"/>
          <w:lang w:val="en-US" w:eastAsia="zh-CN"/>
        </w:rPr>
        <w:t>显著提升</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显著提升</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②</w:t>
      </w:r>
      <w:r>
        <w:rPr>
          <w:rFonts w:hint="eastAsia" w:ascii="仿宋_GB2312" w:hAnsi="仿宋_GB2312" w:eastAsia="仿宋_GB2312" w:cs="仿宋_GB2312"/>
          <w:sz w:val="32"/>
          <w:szCs w:val="32"/>
          <w:highlight w:val="none"/>
        </w:rPr>
        <w:t>社会效益指标：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eastAsia="zh-CN"/>
        </w:rPr>
      </w:pPr>
      <w:r>
        <w:rPr>
          <w:rFonts w:hint="eastAsia"/>
          <w:color w:val="auto"/>
          <w:sz w:val="32"/>
          <w:szCs w:val="32"/>
        </w:rPr>
        <w:t>指标2：</w:t>
      </w:r>
      <w:r>
        <w:rPr>
          <w:rFonts w:hint="eastAsia"/>
          <w:color w:val="auto"/>
          <w:sz w:val="32"/>
          <w:szCs w:val="32"/>
          <w:lang w:val="en-US" w:eastAsia="zh-CN"/>
        </w:rPr>
        <w:t>减轻冰雹灾害造成的经济损失</w:t>
      </w:r>
      <w:r>
        <w:rPr>
          <w:rFonts w:hint="eastAsia"/>
          <w:color w:val="auto"/>
          <w:sz w:val="32"/>
          <w:szCs w:val="32"/>
        </w:rPr>
        <w:t>，指标值：</w:t>
      </w:r>
      <w:r>
        <w:rPr>
          <w:rFonts w:hint="eastAsia"/>
          <w:color w:val="auto"/>
          <w:sz w:val="32"/>
          <w:szCs w:val="32"/>
          <w:lang w:val="en-US" w:eastAsia="zh-CN"/>
        </w:rPr>
        <w:t>效果明显</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效果明显</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eastAsia="zh-CN"/>
        </w:rPr>
      </w:pPr>
      <w:r>
        <w:rPr>
          <w:rFonts w:hint="eastAsia" w:ascii="仿宋_GB2312" w:hAnsi="仿宋_GB2312" w:eastAsia="仿宋_GB2312" w:cs="仿宋_GB2312"/>
          <w:sz w:val="32"/>
          <w:szCs w:val="32"/>
          <w:highlight w:val="none"/>
          <w:lang w:val="en-US" w:eastAsia="zh-CN"/>
        </w:rPr>
        <w:t>满意度指标：</w:t>
      </w:r>
      <w:r>
        <w:rPr>
          <w:rFonts w:hint="eastAsia"/>
          <w:color w:val="auto"/>
          <w:sz w:val="32"/>
          <w:szCs w:val="32"/>
          <w:lang w:val="en-US" w:eastAsia="zh-CN"/>
        </w:rPr>
        <w:t>服务对象整体满意度</w:t>
      </w:r>
      <w:r>
        <w:rPr>
          <w:rFonts w:hint="eastAsia"/>
          <w:color w:val="auto"/>
          <w:sz w:val="32"/>
          <w:szCs w:val="32"/>
        </w:rPr>
        <w:t>，指标值：</w:t>
      </w:r>
      <w:r>
        <w:rPr>
          <w:rFonts w:hint="eastAsia"/>
          <w:color w:val="auto"/>
          <w:sz w:val="32"/>
          <w:szCs w:val="32"/>
          <w:lang w:val="en-US" w:eastAsia="zh-CN"/>
        </w:rPr>
        <w:t>&gt;=95%</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95%</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pacing w:line="560" w:lineRule="exact"/>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Style w:val="20"/>
        <w:spacing w:line="560" w:lineRule="exact"/>
        <w:ind w:firstLine="640"/>
      </w:pPr>
      <w:r>
        <w:rPr>
          <w:rFonts w:hint="eastAsia" w:ascii="仿宋_GB2312" w:hAnsi="仿宋_GB2312" w:eastAsia="仿宋_GB2312" w:cs="仿宋_GB2312"/>
          <w:kern w:val="2"/>
          <w:sz w:val="32"/>
          <w:szCs w:val="32"/>
          <w:lang w:val="en-US" w:eastAsia="zh-CN" w:bidi="ar-SA"/>
        </w:rPr>
        <w:t>人工影响天气防雹作业项目年初预算200万元，全年预算355.73万元，实际支出355.73万元，预算执行率为100%，项目绩效指标总体完成率为108%，</w:t>
      </w:r>
      <w:r>
        <w:rPr>
          <w:rFonts w:hint="eastAsia" w:ascii="仿宋_GB2312" w:hAnsi="仿宋_GB2312" w:eastAsia="仿宋_GB2312" w:cs="仿宋_GB2312"/>
          <w:kern w:val="2"/>
          <w:sz w:val="32"/>
          <w:szCs w:val="32"/>
          <w:lang w:val="en-US" w:eastAsia="zh-Hans" w:bidi="ar-SA"/>
        </w:rPr>
        <w:t>总体</w:t>
      </w:r>
      <w:r>
        <w:rPr>
          <w:rFonts w:hint="eastAsia" w:ascii="仿宋_GB2312" w:hAnsi="仿宋_GB2312" w:eastAsia="仿宋_GB2312" w:cs="仿宋_GB2312"/>
          <w:kern w:val="2"/>
          <w:sz w:val="32"/>
          <w:szCs w:val="32"/>
          <w:lang w:val="en-US" w:eastAsia="zh-CN" w:bidi="ar-SA"/>
        </w:rPr>
        <w:t>偏差率为8%</w:t>
      </w:r>
      <w:r>
        <w:rPr>
          <w:rFonts w:hint="eastAsia" w:ascii="仿宋_GB2312" w:hAnsi="仿宋_GB2312" w:cs="仿宋_GB2312"/>
          <w:kern w:val="2"/>
          <w:sz w:val="32"/>
          <w:szCs w:val="32"/>
          <w:lang w:val="en-US" w:eastAsia="zh-CN" w:bidi="ar-SA"/>
        </w:rPr>
        <w:t>。</w:t>
      </w:r>
    </w:p>
    <w:p>
      <w:pPr>
        <w:spacing w:line="560" w:lineRule="exact"/>
        <w:rPr>
          <w:rFonts w:hint="eastAsia" w:ascii="Times New Roman" w:hAnsi="Times New Roman" w:eastAsia="黑体" w:cs="Times New Roman"/>
          <w:bCs/>
          <w:sz w:val="32"/>
          <w:szCs w:val="32"/>
          <w:lang w:val="en-US" w:eastAsia="zh-CN"/>
        </w:rPr>
      </w:pPr>
      <w:bookmarkStart w:id="15" w:name="_Toc68703842"/>
      <w:r>
        <w:rPr>
          <w:rFonts w:hint="eastAsia" w:eastAsia="黑体" w:cs="Times New Roman"/>
          <w:bCs/>
          <w:sz w:val="32"/>
          <w:szCs w:val="32"/>
          <w:lang w:val="en-US" w:eastAsia="zh-CN"/>
        </w:rPr>
        <w:t>六</w:t>
      </w:r>
      <w:r>
        <w:rPr>
          <w:rFonts w:hint="eastAsia" w:ascii="Times New Roman" w:hAnsi="Times New Roman" w:eastAsia="黑体" w:cs="Times New Roman"/>
          <w:bCs/>
          <w:sz w:val="32"/>
          <w:szCs w:val="32"/>
          <w:lang w:val="en-US" w:eastAsia="zh-CN"/>
        </w:rPr>
        <w:t>、主要经验及做法、存在的问题及原因分析</w:t>
      </w:r>
      <w:bookmarkEnd w:id="15"/>
    </w:p>
    <w:p>
      <w:pPr>
        <w:spacing w:line="560" w:lineRule="exact"/>
        <w:rPr>
          <w:rFonts w:hint="eastAsia" w:ascii="Times New Roman" w:hAnsi="Times New Roman" w:eastAsia="楷体_GB2312" w:cs="Times New Roman"/>
          <w:b/>
          <w:bCs/>
          <w:kern w:val="2"/>
          <w:sz w:val="32"/>
          <w:szCs w:val="32"/>
          <w:lang w:val="en-US" w:eastAsia="zh-CN" w:bidi="ar-SA"/>
        </w:rPr>
      </w:pPr>
      <w:bookmarkStart w:id="16" w:name="_Toc68703843"/>
      <w:r>
        <w:rPr>
          <w:rFonts w:hint="eastAsia" w:ascii="Times New Roman" w:hAnsi="Times New Roman" w:eastAsia="楷体_GB2312" w:cs="Times New Roman"/>
          <w:b/>
          <w:bCs/>
          <w:kern w:val="2"/>
          <w:sz w:val="32"/>
          <w:szCs w:val="32"/>
          <w:lang w:val="en-US" w:eastAsia="zh-CN" w:bidi="ar-SA"/>
        </w:rPr>
        <w:t>（一）主要经验及做法</w:t>
      </w:r>
      <w:bookmarkEnd w:id="16"/>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napToGrid/>
        <w:spacing w:before="0" w:after="0" w:line="560" w:lineRule="exact"/>
        <w:ind w:firstLine="640" w:firstLineChars="200"/>
        <w:jc w:val="left"/>
        <w:textAlignment w:val="auto"/>
        <w:outlineLvl w:val="9"/>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17" w:name="_Toc68703844"/>
      <w:r>
        <w:rPr>
          <w:rFonts w:hint="eastAsia" w:ascii="Times New Roman" w:hAnsi="Times New Roman" w:eastAsia="楷体_GB2312" w:cs="Times New Roman"/>
          <w:b/>
          <w:bCs/>
          <w:kern w:val="2"/>
          <w:sz w:val="32"/>
          <w:szCs w:val="32"/>
          <w:lang w:val="en-US" w:eastAsia="zh-CN" w:bidi="ar-SA"/>
        </w:rPr>
        <w:t>（二）存在的问题及原因分析</w:t>
      </w:r>
      <w:bookmarkEnd w:id="17"/>
      <w:r>
        <w:rPr>
          <w:rFonts w:hint="eastAsia" w:ascii="Times New Roman" w:hAnsi="Times New Roman" w:eastAsia="楷体_GB2312" w:cs="Times New Roman"/>
          <w:b/>
          <w:bCs/>
          <w:kern w:val="2"/>
          <w:sz w:val="32"/>
          <w:szCs w:val="32"/>
          <w:lang w:val="en-US" w:eastAsia="zh-CN" w:bidi="ar-SA"/>
        </w:rPr>
        <w:t>　</w:t>
      </w:r>
    </w:p>
    <w:p>
      <w:pPr>
        <w:pageBreakBefore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2.因轮岗、调动等因素使我单位绩效工作人员流动频繁，造成了工作衔接不到位的情况。</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3.对绩效目标申报还不够重视，绩效目标设置量化程度进一步提高。</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Times New Roman"/>
          <w:b w:val="0"/>
          <w:bCs w:val="0"/>
          <w:color w:val="FF0000"/>
          <w:kern w:val="2"/>
          <w:sz w:val="32"/>
          <w:szCs w:val="32"/>
          <w:lang w:val="en-US" w:eastAsia="zh-CN" w:bidi="ar-SA"/>
        </w:rPr>
      </w:pPr>
      <w:bookmarkStart w:id="18" w:name="_Toc68703845"/>
      <w:r>
        <w:rPr>
          <w:rFonts w:hint="eastAsia" w:eastAsia="黑体" w:cs="Times New Roman"/>
          <w:b w:val="0"/>
          <w:bCs/>
          <w:kern w:val="2"/>
          <w:sz w:val="32"/>
          <w:szCs w:val="32"/>
          <w:lang w:val="en-US" w:eastAsia="zh-CN" w:bidi="ar-SA"/>
        </w:rPr>
        <w:t>七</w:t>
      </w:r>
      <w:r>
        <w:rPr>
          <w:rFonts w:hint="eastAsia" w:ascii="Times New Roman" w:hAnsi="Times New Roman" w:eastAsia="黑体" w:cs="Times New Roman"/>
          <w:b w:val="0"/>
          <w:bCs/>
          <w:kern w:val="2"/>
          <w:sz w:val="32"/>
          <w:szCs w:val="32"/>
          <w:lang w:val="en-US" w:eastAsia="zh-CN" w:bidi="ar-SA"/>
        </w:rPr>
        <w:t>、有关建议</w:t>
      </w:r>
      <w:bookmarkEnd w:id="18"/>
      <w:r>
        <w:rPr>
          <w:rFonts w:hint="eastAsia" w:ascii="Times New Roman" w:hAnsi="Times New Roman" w:eastAsia="黑体" w:cs="Times New Roman"/>
          <w:b w:val="0"/>
          <w:bCs/>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sz w:val="22"/>
          <w:szCs w:val="28"/>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sz w:val="32"/>
          <w:szCs w:val="32"/>
        </w:rPr>
      </w:pPr>
      <w:bookmarkStart w:id="19" w:name="_Toc68703846"/>
      <w:r>
        <w:rPr>
          <w:rFonts w:hint="eastAsia" w:ascii="黑体" w:hAnsi="黑体" w:eastAsia="黑体" w:cs="黑体"/>
          <w:sz w:val="32"/>
          <w:szCs w:val="32"/>
          <w:lang w:eastAsia="zh-CN"/>
        </w:rPr>
        <w:t>八</w:t>
      </w:r>
      <w:r>
        <w:rPr>
          <w:rFonts w:hint="eastAsia" w:ascii="黑体" w:hAnsi="黑体" w:eastAsia="黑体" w:cs="黑体"/>
          <w:sz w:val="32"/>
          <w:szCs w:val="32"/>
        </w:rPr>
        <w:t>、其他需要说明的问题</w:t>
      </w:r>
      <w:bookmarkEnd w:id="19"/>
    </w:p>
    <w:p>
      <w:pPr>
        <w:pageBreakBefore w:val="0"/>
        <w:widowControl w:val="0"/>
        <w:kinsoku/>
        <w:wordWrap/>
        <w:overflowPunct/>
        <w:topLinePunct w:val="0"/>
        <w:autoSpaceDE/>
        <w:autoSpaceDN/>
        <w:bidi w:val="0"/>
        <w:adjustRightInd/>
        <w:snapToGrid/>
        <w:spacing w:line="560" w:lineRule="exact"/>
        <w:textAlignment w:val="auto"/>
        <w:rPr>
          <w:color w:val="FF0000"/>
          <w:sz w:val="32"/>
          <w:szCs w:val="32"/>
        </w:rPr>
      </w:pPr>
      <w:r>
        <w:rPr>
          <w:rFonts w:hint="eastAsia" w:ascii="仿宋_GB2312" w:hAnsi="仿宋_GB2312" w:cs="仿宋_GB2312"/>
          <w:sz w:val="32"/>
          <w:szCs w:val="32"/>
          <w:lang w:eastAsia="zh-CN"/>
        </w:rPr>
        <w:t>　</w:t>
      </w:r>
      <w:r>
        <w:rPr>
          <w:rFonts w:hint="eastAsia" w:ascii="仿宋_GB2312" w:hAnsi="仿宋_GB2312" w:eastAsia="仿宋_GB2312" w:cs="仿宋_GB2312"/>
          <w:sz w:val="32"/>
          <w:szCs w:val="32"/>
          <w:lang w:eastAsia="zh-Hans"/>
        </w:rPr>
        <w:t>本项目无其他需说明的问题</w:t>
      </w:r>
      <w:r>
        <w:rPr>
          <w:rFonts w:hint="eastAsia" w:ascii="仿宋_GB2312" w:hAnsi="仿宋_GB2312" w:cs="仿宋_GB2312"/>
          <w:sz w:val="32"/>
          <w:szCs w:val="32"/>
          <w:lang w:eastAsia="zh-CN"/>
        </w:rPr>
        <w:t>。</w:t>
      </w:r>
    </w:p>
    <w:p/>
    <w:p>
      <w:pPr>
        <w:pStyle w:val="2"/>
        <w:jc w:val="both"/>
      </w:pPr>
    </w:p>
    <w:tbl>
      <w:tblPr>
        <w:tblStyle w:val="11"/>
        <w:tblW w:w="8834" w:type="dxa"/>
        <w:tblInd w:w="0" w:type="dxa"/>
        <w:tblLayout w:type="fixed"/>
        <w:tblCellMar>
          <w:top w:w="0" w:type="dxa"/>
          <w:left w:w="0" w:type="dxa"/>
          <w:bottom w:w="0" w:type="dxa"/>
          <w:right w:w="0" w:type="dxa"/>
        </w:tblCellMar>
      </w:tblPr>
      <w:tblGrid>
        <w:gridCol w:w="695"/>
        <w:gridCol w:w="531"/>
        <w:gridCol w:w="859"/>
        <w:gridCol w:w="695"/>
        <w:gridCol w:w="646"/>
        <w:gridCol w:w="125"/>
        <w:gridCol w:w="1039"/>
        <w:gridCol w:w="1067"/>
        <w:gridCol w:w="560"/>
        <w:gridCol w:w="501"/>
        <w:gridCol w:w="570"/>
        <w:gridCol w:w="396"/>
        <w:gridCol w:w="454"/>
        <w:gridCol w:w="696"/>
      </w:tblGrid>
      <w:tr>
        <w:tblPrEx>
          <w:tblLayout w:type="fixed"/>
          <w:tblCellMar>
            <w:top w:w="0" w:type="dxa"/>
            <w:left w:w="0" w:type="dxa"/>
            <w:bottom w:w="0" w:type="dxa"/>
            <w:right w:w="0" w:type="dxa"/>
          </w:tblCellMar>
        </w:tblPrEx>
        <w:trPr>
          <w:trHeight w:val="420" w:hRule="atLeast"/>
        </w:trPr>
        <w:tc>
          <w:tcPr>
            <w:tcW w:w="8834" w:type="dxa"/>
            <w:gridSpan w:val="14"/>
            <w:tcBorders>
              <w:top w:val="nil"/>
              <w:left w:val="nil"/>
              <w:bottom w:val="single" w:color="auto"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eastAsia="方正小标宋简体"/>
                <w:b/>
                <w:sz w:val="32"/>
                <w:szCs w:val="32"/>
                <w:u w:val="single"/>
              </w:rPr>
            </w:pPr>
            <w:r>
              <w:rPr>
                <w:rFonts w:hint="eastAsia" w:ascii="宋体" w:hAnsi="宋体" w:eastAsia="宋体" w:cs="宋体"/>
                <w:b/>
                <w:i w:val="0"/>
                <w:color w:val="000000"/>
                <w:kern w:val="0"/>
                <w:sz w:val="32"/>
                <w:szCs w:val="32"/>
                <w:u w:val="none"/>
                <w:lang w:val="en-US" w:eastAsia="zh-CN" w:bidi="ar"/>
              </w:rPr>
              <w:t>项目支出绩效自评表</w:t>
            </w:r>
          </w:p>
        </w:tc>
      </w:tr>
      <w:tr>
        <w:tblPrEx>
          <w:tblLayout w:type="fixed"/>
          <w:tblCellMar>
            <w:top w:w="0" w:type="dxa"/>
            <w:left w:w="0" w:type="dxa"/>
            <w:bottom w:w="0" w:type="dxa"/>
            <w:right w:w="0" w:type="dxa"/>
          </w:tblCellMar>
        </w:tblPrEx>
        <w:trPr>
          <w:trHeight w:val="288" w:hRule="atLeast"/>
        </w:trPr>
        <w:tc>
          <w:tcPr>
            <w:tcW w:w="8834" w:type="dxa"/>
            <w:gridSpan w:val="14"/>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(2023年度)</w:t>
            </w:r>
          </w:p>
        </w:tc>
      </w:tr>
      <w:tr>
        <w:tblPrEx>
          <w:tblLayout w:type="fixed"/>
          <w:tblCellMar>
            <w:top w:w="0" w:type="dxa"/>
            <w:left w:w="0" w:type="dxa"/>
            <w:bottom w:w="0" w:type="dxa"/>
            <w:right w:w="0" w:type="dxa"/>
          </w:tblCellMar>
        </w:tblPrEx>
        <w:trPr>
          <w:trHeight w:val="276" w:hRule="atLeast"/>
        </w:trPr>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项目名称</w:t>
            </w:r>
          </w:p>
        </w:tc>
        <w:tc>
          <w:tcPr>
            <w:tcW w:w="7608"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both"/>
              <w:rPr>
                <w:rFonts w:hint="eastAsia" w:ascii="Times New Roman" w:hAnsi="Times New Roman" w:eastAsia="宋体" w:cs="Times New Roman"/>
                <w:kern w:val="0"/>
                <w:sz w:val="18"/>
                <w:szCs w:val="18"/>
                <w:lang w:eastAsia="zh-CN" w:bidi="ar"/>
              </w:rPr>
            </w:pPr>
            <w:r>
              <w:rPr>
                <w:rFonts w:hint="eastAsia" w:eastAsia="宋体" w:cs="Times New Roman"/>
                <w:kern w:val="0"/>
                <w:sz w:val="18"/>
                <w:szCs w:val="18"/>
                <w:lang w:eastAsia="zh-CN" w:bidi="ar"/>
              </w:rPr>
              <w:t>人工影响天气防雹作业项目</w:t>
            </w:r>
          </w:p>
        </w:tc>
      </w:tr>
      <w:tr>
        <w:tblPrEx>
          <w:tblLayout w:type="fixed"/>
          <w:tblCellMar>
            <w:top w:w="0" w:type="dxa"/>
            <w:left w:w="0" w:type="dxa"/>
            <w:bottom w:w="0" w:type="dxa"/>
            <w:right w:w="0" w:type="dxa"/>
          </w:tblCellMar>
        </w:tblPrEx>
        <w:trPr>
          <w:trHeight w:val="276" w:hRule="atLeast"/>
        </w:trPr>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主管部门</w:t>
            </w:r>
          </w:p>
        </w:tc>
        <w:tc>
          <w:tcPr>
            <w:tcW w:w="3364"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eastAsia="zh-CN" w:bidi="ar"/>
              </w:rPr>
            </w:pPr>
            <w:r>
              <w:rPr>
                <w:rFonts w:hint="eastAsia" w:eastAsia="宋体" w:cs="Times New Roman"/>
                <w:kern w:val="0"/>
                <w:sz w:val="18"/>
                <w:szCs w:val="18"/>
                <w:lang w:eastAsia="zh-CN" w:bidi="ar"/>
              </w:rPr>
              <w:t>霍尔果斯气象局</w:t>
            </w: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实施单位</w:t>
            </w:r>
          </w:p>
        </w:tc>
        <w:tc>
          <w:tcPr>
            <w:tcW w:w="2617"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eastAsia="zh-CN" w:bidi="ar"/>
              </w:rPr>
            </w:pPr>
            <w:r>
              <w:rPr>
                <w:rFonts w:hint="eastAsia" w:eastAsia="宋体" w:cs="Times New Roman"/>
                <w:kern w:val="0"/>
                <w:sz w:val="18"/>
                <w:szCs w:val="18"/>
                <w:lang w:eastAsia="zh-CN" w:bidi="ar"/>
              </w:rPr>
              <w:t>霍尔果斯市人工影响天气保障中心</w:t>
            </w:r>
          </w:p>
        </w:tc>
      </w:tr>
      <w:tr>
        <w:tblPrEx>
          <w:tblLayout w:type="fixed"/>
          <w:tblCellMar>
            <w:top w:w="0" w:type="dxa"/>
            <w:left w:w="0" w:type="dxa"/>
            <w:bottom w:w="0" w:type="dxa"/>
            <w:right w:w="0" w:type="dxa"/>
          </w:tblCellMar>
        </w:tblPrEx>
        <w:trPr>
          <w:trHeight w:val="276" w:hRule="atLeast"/>
        </w:trPr>
        <w:tc>
          <w:tcPr>
            <w:tcW w:w="122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项目资金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（万元）</w:t>
            </w: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年初预算数</w:t>
            </w:r>
          </w:p>
        </w:tc>
        <w:tc>
          <w:tcPr>
            <w:tcW w:w="116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全年预算数</w:t>
            </w: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全年执行数</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分值</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执行率</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得分</w:t>
            </w:r>
          </w:p>
        </w:tc>
      </w:tr>
      <w:tr>
        <w:tblPrEx>
          <w:tblLayout w:type="fixed"/>
          <w:tblCellMar>
            <w:top w:w="0" w:type="dxa"/>
            <w:left w:w="0" w:type="dxa"/>
            <w:bottom w:w="0" w:type="dxa"/>
            <w:right w:w="0" w:type="dxa"/>
          </w:tblCellMar>
        </w:tblPrEx>
        <w:trPr>
          <w:trHeight w:val="623"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年度资金总额</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bidi="ar"/>
              </w:rPr>
            </w:pPr>
            <w:r>
              <w:rPr>
                <w:rFonts w:hint="eastAsia" w:ascii="宋体" w:hAnsi="宋体" w:eastAsia="宋体" w:cs="宋体"/>
                <w:i w:val="0"/>
                <w:color w:val="000000"/>
                <w:kern w:val="0"/>
                <w:sz w:val="20"/>
                <w:szCs w:val="20"/>
                <w:u w:val="none"/>
                <w:lang w:val="en-US" w:eastAsia="zh-CN" w:bidi="ar"/>
              </w:rPr>
              <w:t>200</w:t>
            </w:r>
          </w:p>
        </w:tc>
        <w:tc>
          <w:tcPr>
            <w:tcW w:w="116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eastAsia="仿宋_GB2312"/>
                <w:lang w:val="en-US" w:eastAsia="zh-CN"/>
              </w:rPr>
            </w:pPr>
            <w:r>
              <w:rPr>
                <w:rFonts w:hint="eastAsia" w:ascii="宋体" w:hAnsi="宋体" w:eastAsia="宋体" w:cs="宋体"/>
                <w:i w:val="0"/>
                <w:caps w:val="0"/>
                <w:color w:val="333333"/>
                <w:spacing w:val="0"/>
                <w:sz w:val="21"/>
                <w:szCs w:val="21"/>
                <w:shd w:val="clear" w:fill="FFFFFF"/>
              </w:rPr>
              <w:t>355.73</w:t>
            </w: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aps w:val="0"/>
                <w:color w:val="333333"/>
                <w:spacing w:val="0"/>
                <w:sz w:val="21"/>
                <w:szCs w:val="21"/>
                <w:shd w:val="clear" w:fill="FFFFFF"/>
              </w:rPr>
              <w:t>355.73</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10</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100.00%</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10.00</w:t>
            </w:r>
          </w:p>
        </w:tc>
      </w:tr>
      <w:tr>
        <w:tblPrEx>
          <w:tblLayout w:type="fixed"/>
          <w:tblCellMar>
            <w:top w:w="0" w:type="dxa"/>
            <w:left w:w="0" w:type="dxa"/>
            <w:bottom w:w="0" w:type="dxa"/>
            <w:right w:w="0" w:type="dxa"/>
          </w:tblCellMar>
        </w:tblPrEx>
        <w:trPr>
          <w:trHeight w:val="638"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其中：当年财政拨款</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aps w:val="0"/>
                <w:color w:val="333333"/>
                <w:spacing w:val="0"/>
                <w:sz w:val="21"/>
                <w:szCs w:val="21"/>
                <w:shd w:val="clear" w:fill="FFFFFF"/>
              </w:rPr>
              <w:t>355.73</w:t>
            </w:r>
          </w:p>
        </w:tc>
        <w:tc>
          <w:tcPr>
            <w:tcW w:w="116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aps w:val="0"/>
                <w:color w:val="333333"/>
                <w:spacing w:val="0"/>
                <w:sz w:val="21"/>
                <w:szCs w:val="21"/>
                <w:shd w:val="clear" w:fill="FFFFFF"/>
              </w:rPr>
              <w:t>355.73</w:t>
            </w: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aps w:val="0"/>
                <w:color w:val="333333"/>
                <w:spacing w:val="0"/>
                <w:sz w:val="21"/>
                <w:szCs w:val="21"/>
                <w:shd w:val="clear" w:fill="FFFFFF"/>
              </w:rPr>
              <w:t>355.73</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bidi="ar"/>
              </w:rPr>
            </w:pPr>
            <w:r>
              <w:rPr>
                <w:rFonts w:hint="eastAsia" w:ascii="宋体" w:hAnsi="宋体" w:eastAsia="宋体" w:cs="宋体"/>
                <w:i w:val="0"/>
                <w:color w:val="000000"/>
                <w:kern w:val="0"/>
                <w:sz w:val="20"/>
                <w:szCs w:val="20"/>
                <w:u w:val="none"/>
                <w:lang w:val="en-US" w:eastAsia="zh-CN" w:bidi="ar"/>
              </w:rPr>
              <w:t>10</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100.00%</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lang w:val="en-US"/>
              </w:rPr>
            </w:pPr>
            <w:r>
              <w:rPr>
                <w:rFonts w:hint="eastAsia" w:ascii="宋体" w:hAnsi="宋体" w:eastAsia="宋体" w:cs="宋体"/>
                <w:i w:val="0"/>
                <w:color w:val="000000"/>
                <w:kern w:val="0"/>
                <w:sz w:val="20"/>
                <w:szCs w:val="20"/>
                <w:u w:val="none"/>
                <w:lang w:val="en-US" w:eastAsia="zh-CN" w:bidi="ar"/>
              </w:rPr>
              <w:t>10.00</w:t>
            </w:r>
          </w:p>
        </w:tc>
      </w:tr>
      <w:tr>
        <w:tblPrEx>
          <w:tblLayout w:type="fixed"/>
          <w:tblCellMar>
            <w:top w:w="0" w:type="dxa"/>
            <w:left w:w="0" w:type="dxa"/>
            <w:bottom w:w="0" w:type="dxa"/>
            <w:right w:w="0" w:type="dxa"/>
          </w:tblCellMar>
        </w:tblPrEx>
        <w:trPr>
          <w:trHeight w:val="276"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 xml:space="preserve">      上年结转资金</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0</w:t>
            </w:r>
          </w:p>
        </w:tc>
        <w:tc>
          <w:tcPr>
            <w:tcW w:w="116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0</w:t>
            </w: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val="en-US" w:eastAsia="zh-CN" w:bidi="ar"/>
              </w:rPr>
            </w:pPr>
            <w:r>
              <w:rPr>
                <w:rFonts w:hint="eastAsia" w:eastAsia="宋体" w:cs="Times New Roman"/>
                <w:kern w:val="0"/>
                <w:sz w:val="18"/>
                <w:szCs w:val="18"/>
                <w:lang w:val="en-US" w:eastAsia="zh-CN" w:bidi="ar"/>
              </w:rPr>
              <w:t>0</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 xml:space="preserve">  其他资金</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0</w:t>
            </w:r>
          </w:p>
        </w:tc>
        <w:tc>
          <w:tcPr>
            <w:tcW w:w="116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0</w:t>
            </w:r>
          </w:p>
        </w:tc>
        <w:tc>
          <w:tcPr>
            <w:tcW w:w="162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Times New Roman" w:hAnsi="Times New Roman" w:eastAsia="宋体" w:cs="Times New Roman"/>
                <w:kern w:val="0"/>
                <w:sz w:val="18"/>
                <w:szCs w:val="18"/>
                <w:lang w:val="en-US" w:eastAsia="zh-CN" w:bidi="ar"/>
              </w:rPr>
            </w:pPr>
            <w:r>
              <w:rPr>
                <w:rFonts w:hint="eastAsia" w:eastAsia="宋体" w:cs="Times New Roman"/>
                <w:kern w:val="0"/>
                <w:sz w:val="18"/>
                <w:szCs w:val="18"/>
                <w:lang w:val="en-US" w:eastAsia="zh-CN" w:bidi="ar"/>
              </w:rPr>
              <w:t>0</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年度总体目标</w:t>
            </w:r>
          </w:p>
        </w:tc>
        <w:tc>
          <w:tcPr>
            <w:tcW w:w="3895"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预期目标</w:t>
            </w:r>
          </w:p>
        </w:tc>
        <w:tc>
          <w:tcPr>
            <w:tcW w:w="4244"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实际完成情况</w:t>
            </w:r>
          </w:p>
        </w:tc>
      </w:tr>
      <w:tr>
        <w:tblPrEx>
          <w:tblLayout w:type="fixed"/>
          <w:tblCellMar>
            <w:top w:w="0" w:type="dxa"/>
            <w:left w:w="0" w:type="dxa"/>
            <w:bottom w:w="0" w:type="dxa"/>
            <w:right w:w="0" w:type="dxa"/>
          </w:tblCellMar>
        </w:tblPrEx>
        <w:trPr>
          <w:trHeight w:val="7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3895"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jc w:val="left"/>
              <w:rPr>
                <w:rFonts w:ascii="Times New Roman" w:hAnsi="Times New Roman" w:eastAsia="宋体" w:cs="Times New Roman"/>
                <w:kern w:val="0"/>
                <w:sz w:val="18"/>
                <w:szCs w:val="18"/>
                <w:lang w:bidi="ar"/>
              </w:rPr>
            </w:pPr>
            <w:r>
              <w:rPr>
                <w:rFonts w:hint="eastAsia" w:ascii="宋体" w:hAnsi="宋体" w:eastAsia="宋体" w:cs="宋体"/>
                <w:i w:val="0"/>
                <w:caps w:val="0"/>
                <w:color w:val="333333"/>
                <w:spacing w:val="0"/>
                <w:sz w:val="21"/>
                <w:szCs w:val="21"/>
                <w:shd w:val="clear" w:fill="FFFFFF"/>
              </w:rPr>
              <w:t>2023年要进行防雹作业，购买火箭弹量至少500枚，防雹作业次数至少20次，保证人影作业总体成功率在90%以上，防雹作业空域申请完成率在90%以上，单次作业完成时效不超过1小时，2023年要进行防雹作业项目完成时间在10月25日</w:t>
            </w:r>
            <w:r>
              <w:rPr>
                <w:rFonts w:hint="eastAsia" w:ascii="宋体" w:hAnsi="宋体" w:eastAsia="宋体" w:cs="宋体"/>
                <w:i w:val="0"/>
                <w:caps w:val="0"/>
                <w:color w:val="333333"/>
                <w:spacing w:val="0"/>
                <w:sz w:val="21"/>
                <w:szCs w:val="21"/>
                <w:shd w:val="clear" w:fill="FFFFFF"/>
                <w:lang w:val="en-US" w:eastAsia="zh-CN"/>
              </w:rPr>
              <w:t>之</w:t>
            </w:r>
            <w:r>
              <w:rPr>
                <w:rFonts w:hint="eastAsia" w:ascii="宋体" w:hAnsi="宋体" w:eastAsia="宋体" w:cs="宋体"/>
                <w:i w:val="0"/>
                <w:caps w:val="0"/>
                <w:color w:val="333333"/>
                <w:spacing w:val="0"/>
                <w:sz w:val="21"/>
                <w:szCs w:val="21"/>
                <w:shd w:val="clear" w:fill="FFFFFF"/>
              </w:rPr>
              <w:t>前，购置单发火箭弹成本不超过3080元一枚。</w:t>
            </w:r>
          </w:p>
        </w:tc>
        <w:tc>
          <w:tcPr>
            <w:tcW w:w="4244"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jc w:val="left"/>
              <w:rPr>
                <w:rFonts w:hint="eastAsia" w:ascii="Times New Roman" w:hAnsi="Times New Roman" w:eastAsia="宋体" w:cs="Times New Roman"/>
                <w:kern w:val="0"/>
                <w:sz w:val="18"/>
                <w:szCs w:val="18"/>
                <w:lang w:val="en-US" w:eastAsia="zh-CN" w:bidi="ar"/>
              </w:rPr>
            </w:pPr>
            <w:r>
              <w:rPr>
                <w:rFonts w:hint="eastAsia" w:ascii="宋体" w:hAnsi="宋体" w:eastAsia="宋体" w:cs="宋体"/>
                <w:i w:val="0"/>
                <w:caps w:val="0"/>
                <w:color w:val="333333"/>
                <w:spacing w:val="0"/>
                <w:sz w:val="21"/>
                <w:szCs w:val="21"/>
                <w:shd w:val="clear" w:fill="FFFFFF"/>
              </w:rPr>
              <w:t>2023年要进行防雹作业</w:t>
            </w:r>
            <w:r>
              <w:rPr>
                <w:rFonts w:hint="eastAsia" w:ascii="宋体" w:hAnsi="宋体" w:eastAsia="宋体" w:cs="宋体"/>
                <w:i w:val="0"/>
                <w:caps w:val="0"/>
                <w:color w:val="333333"/>
                <w:spacing w:val="0"/>
                <w:sz w:val="21"/>
                <w:szCs w:val="21"/>
                <w:shd w:val="clear" w:fill="FFFFFF"/>
                <w:lang w:eastAsia="zh-CN"/>
              </w:rPr>
              <w:t>，</w:t>
            </w:r>
            <w:r>
              <w:rPr>
                <w:rFonts w:hint="eastAsia" w:ascii="宋体" w:hAnsi="宋体" w:eastAsia="宋体" w:cs="宋体"/>
                <w:i w:val="0"/>
                <w:caps w:val="0"/>
                <w:color w:val="333333"/>
                <w:spacing w:val="0"/>
                <w:sz w:val="21"/>
                <w:szCs w:val="21"/>
                <w:shd w:val="clear" w:fill="FFFFFF"/>
                <w:lang w:val="en-US" w:eastAsia="zh-CN"/>
              </w:rPr>
              <w:t>实际</w:t>
            </w:r>
            <w:r>
              <w:rPr>
                <w:rFonts w:hint="eastAsia" w:ascii="宋体" w:hAnsi="宋体" w:eastAsia="宋体" w:cs="宋体"/>
                <w:i w:val="0"/>
                <w:caps w:val="0"/>
                <w:color w:val="333333"/>
                <w:spacing w:val="0"/>
                <w:sz w:val="21"/>
                <w:szCs w:val="21"/>
                <w:shd w:val="clear" w:fill="FFFFFF"/>
              </w:rPr>
              <w:t>购买</w:t>
            </w:r>
            <w:r>
              <w:rPr>
                <w:rFonts w:hint="eastAsia" w:ascii="宋体" w:hAnsi="宋体" w:eastAsia="宋体" w:cs="宋体"/>
                <w:i w:val="0"/>
                <w:caps w:val="0"/>
                <w:color w:val="333333"/>
                <w:spacing w:val="0"/>
                <w:sz w:val="21"/>
                <w:szCs w:val="21"/>
                <w:shd w:val="clear" w:fill="FFFFFF"/>
                <w:lang w:val="en-US" w:eastAsia="zh-CN"/>
              </w:rPr>
              <w:t>使用</w:t>
            </w:r>
            <w:r>
              <w:rPr>
                <w:rFonts w:hint="eastAsia" w:ascii="宋体" w:hAnsi="宋体" w:eastAsia="宋体" w:cs="宋体"/>
                <w:i w:val="0"/>
                <w:caps w:val="0"/>
                <w:color w:val="333333"/>
                <w:spacing w:val="0"/>
                <w:sz w:val="21"/>
                <w:szCs w:val="21"/>
                <w:shd w:val="clear" w:fill="FFFFFF"/>
              </w:rPr>
              <w:t>火箭弹量1100枚，防雹作业74次，作业成功率100%，空域申请率100%，单次作业时间不超过15分钟，单发火箭弹购买成本3080元一枚</w:t>
            </w:r>
            <w:r>
              <w:rPr>
                <w:rFonts w:hint="eastAsia" w:ascii="宋体" w:hAnsi="宋体" w:eastAsia="宋体" w:cs="宋体"/>
                <w:i w:val="0"/>
                <w:caps w:val="0"/>
                <w:color w:val="333333"/>
                <w:spacing w:val="0"/>
                <w:sz w:val="21"/>
                <w:szCs w:val="21"/>
                <w:shd w:val="clear" w:fill="FFFFFF"/>
                <w:lang w:eastAsia="zh-CN"/>
              </w:rPr>
              <w:t>，</w:t>
            </w:r>
            <w:r>
              <w:rPr>
                <w:rFonts w:hint="eastAsia" w:ascii="宋体" w:hAnsi="宋体" w:eastAsia="宋体" w:cs="宋体"/>
                <w:i w:val="0"/>
                <w:caps w:val="0"/>
                <w:color w:val="333333"/>
                <w:spacing w:val="0"/>
                <w:sz w:val="21"/>
                <w:szCs w:val="21"/>
                <w:shd w:val="clear" w:fill="FFFFFF"/>
              </w:rPr>
              <w:t>2023年要防雹作业项目10月25日</w:t>
            </w:r>
            <w:r>
              <w:rPr>
                <w:rFonts w:hint="eastAsia" w:ascii="宋体" w:hAnsi="宋体" w:eastAsia="宋体" w:cs="宋体"/>
                <w:i w:val="0"/>
                <w:caps w:val="0"/>
                <w:color w:val="333333"/>
                <w:spacing w:val="0"/>
                <w:sz w:val="21"/>
                <w:szCs w:val="21"/>
                <w:shd w:val="clear" w:fill="FFFFFF"/>
                <w:lang w:val="en-US" w:eastAsia="zh-CN"/>
              </w:rPr>
              <w:t>之</w:t>
            </w:r>
            <w:r>
              <w:rPr>
                <w:rFonts w:hint="eastAsia" w:ascii="宋体" w:hAnsi="宋体" w:eastAsia="宋体" w:cs="宋体"/>
                <w:i w:val="0"/>
                <w:caps w:val="0"/>
                <w:color w:val="333333"/>
                <w:spacing w:val="0"/>
                <w:sz w:val="21"/>
                <w:szCs w:val="21"/>
                <w:shd w:val="clear" w:fill="FFFFFF"/>
              </w:rPr>
              <w:t>前</w:t>
            </w:r>
            <w:r>
              <w:rPr>
                <w:rFonts w:hint="eastAsia" w:ascii="宋体" w:hAnsi="宋体" w:eastAsia="宋体" w:cs="宋体"/>
                <w:i w:val="0"/>
                <w:caps w:val="0"/>
                <w:color w:val="333333"/>
                <w:spacing w:val="0"/>
                <w:sz w:val="21"/>
                <w:szCs w:val="21"/>
                <w:shd w:val="clear" w:fill="FFFFFF"/>
                <w:lang w:val="en-US" w:eastAsia="zh-CN"/>
              </w:rPr>
              <w:t>完成</w:t>
            </w:r>
          </w:p>
        </w:tc>
      </w:tr>
      <w:tr>
        <w:tblPrEx>
          <w:tblLayout w:type="fixed"/>
          <w:tblCellMar>
            <w:top w:w="0" w:type="dxa"/>
            <w:left w:w="0" w:type="dxa"/>
            <w:bottom w:w="0" w:type="dxa"/>
            <w:right w:w="0" w:type="dxa"/>
          </w:tblCellMar>
        </w:tblPrEx>
        <w:trPr>
          <w:trHeight w:val="408"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一级指标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二级指标</w:t>
            </w:r>
          </w:p>
        </w:tc>
        <w:tc>
          <w:tcPr>
            <w:tcW w:w="146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三级指标</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年度指标值</w:t>
            </w: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实际完成值</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分值</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得分</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偏差原因分析及改进措施</w:t>
            </w:r>
          </w:p>
        </w:tc>
      </w:tr>
      <w:tr>
        <w:tblPrEx>
          <w:tblLayout w:type="fixed"/>
          <w:tblCellMar>
            <w:top w:w="0" w:type="dxa"/>
            <w:left w:w="0" w:type="dxa"/>
            <w:bottom w:w="0" w:type="dxa"/>
            <w:right w:w="0" w:type="dxa"/>
          </w:tblCellMar>
        </w:tblPrEx>
        <w:trPr>
          <w:trHeight w:val="408" w:hRule="atLeast"/>
        </w:trPr>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年度绩效指标完成情况</w:t>
            </w:r>
          </w:p>
        </w:tc>
        <w:tc>
          <w:tcPr>
            <w:tcW w:w="531"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产出指标</w:t>
            </w:r>
          </w:p>
        </w:tc>
        <w:tc>
          <w:tcPr>
            <w:tcW w:w="859"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数量指标</w:t>
            </w:r>
          </w:p>
        </w:tc>
        <w:tc>
          <w:tcPr>
            <w:tcW w:w="146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火箭弹够买量</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&gt;=1000枚</w:t>
            </w: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1100枚</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5</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r>
      <w:tr>
        <w:tblPrEx>
          <w:tblLayout w:type="fixed"/>
          <w:tblCellMar>
            <w:top w:w="0" w:type="dxa"/>
            <w:left w:w="0" w:type="dxa"/>
            <w:bottom w:w="0" w:type="dxa"/>
            <w:right w:w="0" w:type="dxa"/>
          </w:tblCellMar>
        </w:tblPrEx>
        <w:trPr>
          <w:trHeight w:val="56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59"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防雹作业次数</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&gt;=50次</w:t>
            </w: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74次</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5</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56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59"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质量指标</w:t>
            </w:r>
          </w:p>
        </w:tc>
        <w:tc>
          <w:tcPr>
            <w:tcW w:w="146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人影作业成功率</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&gt;=90%</w:t>
            </w: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59"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人影作业空域申请完成率</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&gt;=90%</w:t>
            </w: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59"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时效指标</w:t>
            </w:r>
          </w:p>
        </w:tc>
        <w:tc>
          <w:tcPr>
            <w:tcW w:w="146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单次作业完成时间</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&lt;=1小时</w:t>
            </w: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0.1小时</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5</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59"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人影防雹项目完成时限</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2023年10月25日之前</w:t>
            </w: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2023年10月25日</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5</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5</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restart"/>
            <w:tcBorders>
              <w:top w:val="single" w:color="auto"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成本指标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经济成本指标</w:t>
            </w:r>
          </w:p>
        </w:tc>
        <w:tc>
          <w:tcPr>
            <w:tcW w:w="146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单发火箭弹价格</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&lt;=3080元</w:t>
            </w: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3080元</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20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社会成本指标</w:t>
            </w:r>
          </w:p>
        </w:tc>
        <w:tc>
          <w:tcPr>
            <w:tcW w:w="146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生态环境成本指标</w:t>
            </w:r>
          </w:p>
        </w:tc>
        <w:tc>
          <w:tcPr>
            <w:tcW w:w="146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32"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效益指标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color w:val="000000"/>
                <w:kern w:val="0"/>
                <w:sz w:val="20"/>
                <w:szCs w:val="20"/>
                <w:u w:val="none"/>
                <w:lang w:val="en-US" w:eastAsia="zh-CN" w:bidi="ar"/>
              </w:rPr>
              <w:t>经济效益指标</w:t>
            </w:r>
          </w:p>
        </w:tc>
        <w:tc>
          <w:tcPr>
            <w:tcW w:w="146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防雹减灾</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显著提升</w:t>
            </w: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显著提升</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32"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531"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社会效益指标</w:t>
            </w:r>
          </w:p>
        </w:tc>
        <w:tc>
          <w:tcPr>
            <w:tcW w:w="146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减轻冰雹灾害损失</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效果明显</w:t>
            </w: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效果明显</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32"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p>
        </w:tc>
        <w:tc>
          <w:tcPr>
            <w:tcW w:w="531" w:type="dxa"/>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eastAsia="宋体" w:cs="Times New Roman"/>
                <w:kern w:val="0"/>
                <w:sz w:val="18"/>
                <w:szCs w:val="18"/>
                <w:lang w:val="en-US" w:eastAsia="zh-CN" w:bidi="ar"/>
              </w:rPr>
              <w:t>满意度指标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eastAsia="宋体" w:cs="Times New Roman"/>
                <w:kern w:val="0"/>
                <w:sz w:val="18"/>
                <w:szCs w:val="18"/>
                <w:lang w:val="en-US" w:eastAsia="zh-CN" w:bidi="ar"/>
              </w:rPr>
              <w:t>满意度指标</w:t>
            </w:r>
          </w:p>
        </w:tc>
        <w:tc>
          <w:tcPr>
            <w:tcW w:w="146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服务对象满意度</w:t>
            </w:r>
          </w:p>
        </w:tc>
        <w:tc>
          <w:tcPr>
            <w:tcW w:w="103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&gt;=95%</w:t>
            </w:r>
          </w:p>
        </w:tc>
        <w:tc>
          <w:tcPr>
            <w:tcW w:w="10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95%</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32" w:hRule="atLeast"/>
        </w:trPr>
        <w:tc>
          <w:tcPr>
            <w:tcW w:w="5657" w:type="dxa"/>
            <w:gridSpan w:val="8"/>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合计</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100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bl>
    <w:p>
      <w:pPr>
        <w:spacing w:line="600" w:lineRule="exact"/>
        <w:rPr>
          <w:rFonts w:hint="eastAsia" w:ascii="黑体" w:hAnsi="黑体" w:eastAsia="黑体" w:cs="黑体"/>
          <w:bCs/>
          <w:sz w:val="32"/>
          <w:szCs w:val="32"/>
        </w:rPr>
        <w:sectPr>
          <w:headerReference r:id="rId3" w:type="default"/>
          <w:pgSz w:w="11906" w:h="16838"/>
          <w:pgMar w:top="1928" w:right="1531" w:bottom="1701" w:left="1531" w:header="737" w:footer="851" w:gutter="0"/>
          <w:cols w:space="720" w:num="1"/>
          <w:docGrid w:type="lines" w:linePitch="408" w:charSpace="0"/>
        </w:sectPr>
      </w:pPr>
      <w:bookmarkStart w:id="22" w:name="_GoBack"/>
      <w:bookmarkEnd w:id="22"/>
    </w:p>
    <w:p>
      <w:pPr>
        <w:pStyle w:val="20"/>
        <w:ind w:firstLine="562"/>
        <w:jc w:val="center"/>
        <w:rPr>
          <w:sz w:val="28"/>
          <w:szCs w:val="40"/>
        </w:rPr>
      </w:pPr>
      <w:bookmarkStart w:id="20" w:name="_Toc26499_WPSOffice_Level2"/>
      <w:bookmarkStart w:id="21" w:name="_Toc30064_WPSOffice_Level1"/>
      <w:r>
        <w:rPr>
          <w:rFonts w:hint="eastAsia"/>
          <w:b/>
          <w:bCs/>
          <w:sz w:val="28"/>
          <w:szCs w:val="40"/>
          <w:lang w:eastAsia="zh-CN"/>
        </w:rPr>
        <w:t>人工影响天气防雹作业项目</w:t>
      </w:r>
      <w:r>
        <w:rPr>
          <w:rFonts w:hint="eastAsia"/>
          <w:b/>
          <w:bCs/>
          <w:sz w:val="28"/>
          <w:szCs w:val="40"/>
        </w:rPr>
        <w:t>项目绩效评价指标体系及综合评分表</w:t>
      </w:r>
      <w:bookmarkEnd w:id="20"/>
      <w:bookmarkEnd w:id="21"/>
    </w:p>
    <w:tbl>
      <w:tblPr>
        <w:tblStyle w:val="11"/>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Ex>
        <w:trPr>
          <w:trHeight w:val="692" w:hRule="atLeast"/>
          <w:tblHeader/>
          <w:jc w:val="center"/>
        </w:trPr>
        <w:tc>
          <w:tcPr>
            <w:tcW w:w="832" w:type="dxa"/>
            <w:shd w:val="clear" w:color="auto" w:fill="auto"/>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一级指标</w:t>
            </w:r>
          </w:p>
        </w:tc>
        <w:tc>
          <w:tcPr>
            <w:tcW w:w="764" w:type="dxa"/>
            <w:shd w:val="clear" w:color="auto" w:fill="auto"/>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二级指标</w:t>
            </w:r>
          </w:p>
        </w:tc>
        <w:tc>
          <w:tcPr>
            <w:tcW w:w="873" w:type="dxa"/>
            <w:shd w:val="clear" w:color="auto" w:fill="auto"/>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三级指标</w:t>
            </w:r>
          </w:p>
        </w:tc>
        <w:tc>
          <w:tcPr>
            <w:tcW w:w="2353" w:type="dxa"/>
            <w:shd w:val="clear" w:color="auto" w:fill="auto"/>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指标解释</w:t>
            </w:r>
          </w:p>
        </w:tc>
        <w:tc>
          <w:tcPr>
            <w:tcW w:w="5198" w:type="dxa"/>
            <w:shd w:val="clear" w:color="auto" w:fill="auto"/>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指标说明</w:t>
            </w:r>
          </w:p>
        </w:tc>
        <w:tc>
          <w:tcPr>
            <w:tcW w:w="1300" w:type="dxa"/>
            <w:shd w:val="clear" w:color="auto" w:fill="auto"/>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权重</w:t>
            </w:r>
          </w:p>
        </w:tc>
        <w:tc>
          <w:tcPr>
            <w:tcW w:w="1363" w:type="dxa"/>
            <w:shd w:val="clear" w:color="auto" w:fill="auto"/>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Ex>
        <w:trPr>
          <w:trHeight w:val="2919" w:hRule="atLeast"/>
          <w:jc w:val="center"/>
        </w:trPr>
        <w:tc>
          <w:tcPr>
            <w:tcW w:w="832" w:type="dxa"/>
            <w:vMerge w:val="restart"/>
            <w:shd w:val="clear" w:color="auto" w:fill="auto"/>
            <w:vAlign w:val="center"/>
          </w:tcPr>
          <w:p>
            <w:pPr>
              <w:widowControl/>
              <w:spacing w:line="0" w:lineRule="atLeast"/>
              <w:jc w:val="center"/>
              <w:rPr>
                <w:color w:val="auto"/>
                <w:kern w:val="0"/>
                <w:sz w:val="22"/>
                <w:szCs w:val="22"/>
                <w:highlight w:val="none"/>
              </w:rPr>
            </w:pPr>
          </w:p>
          <w:p>
            <w:pPr>
              <w:widowControl/>
              <w:spacing w:line="0" w:lineRule="atLeast"/>
              <w:jc w:val="center"/>
              <w:rPr>
                <w:color w:val="auto"/>
                <w:kern w:val="0"/>
                <w:sz w:val="22"/>
                <w:szCs w:val="22"/>
                <w:highlight w:val="none"/>
              </w:rPr>
            </w:pPr>
          </w:p>
          <w:p>
            <w:pPr>
              <w:widowControl/>
              <w:spacing w:line="0" w:lineRule="atLeast"/>
              <w:jc w:val="center"/>
              <w:rPr>
                <w:color w:val="auto"/>
                <w:kern w:val="0"/>
                <w:sz w:val="22"/>
                <w:szCs w:val="22"/>
                <w:highlight w:val="none"/>
              </w:rPr>
            </w:pPr>
          </w:p>
          <w:p>
            <w:pPr>
              <w:widowControl/>
              <w:spacing w:line="0" w:lineRule="atLeast"/>
              <w:jc w:val="center"/>
              <w:rPr>
                <w:color w:val="auto"/>
                <w:kern w:val="0"/>
                <w:sz w:val="22"/>
                <w:szCs w:val="22"/>
                <w:highlight w:val="none"/>
              </w:rPr>
            </w:pPr>
          </w:p>
          <w:p>
            <w:pPr>
              <w:widowControl/>
              <w:spacing w:line="0" w:lineRule="atLeast"/>
              <w:jc w:val="center"/>
              <w:rPr>
                <w:color w:val="auto"/>
                <w:kern w:val="0"/>
                <w:sz w:val="22"/>
                <w:szCs w:val="22"/>
                <w:highlight w:val="none"/>
              </w:rPr>
            </w:pPr>
          </w:p>
          <w:p>
            <w:pPr>
              <w:widowControl/>
              <w:spacing w:line="0" w:lineRule="atLeast"/>
              <w:jc w:val="center"/>
              <w:rPr>
                <w:color w:val="auto"/>
                <w:kern w:val="0"/>
                <w:sz w:val="22"/>
                <w:szCs w:val="22"/>
                <w:highlight w:val="none"/>
              </w:rPr>
            </w:pPr>
          </w:p>
          <w:p>
            <w:pPr>
              <w:widowControl/>
              <w:spacing w:line="0" w:lineRule="atLeast"/>
              <w:jc w:val="center"/>
              <w:rPr>
                <w:color w:val="auto"/>
                <w:kern w:val="0"/>
                <w:sz w:val="22"/>
                <w:szCs w:val="22"/>
                <w:highlight w:val="none"/>
              </w:rPr>
            </w:pPr>
            <w:r>
              <w:rPr>
                <w:color w:val="auto"/>
                <w:kern w:val="0"/>
                <w:sz w:val="22"/>
                <w:szCs w:val="22"/>
                <w:highlight w:val="none"/>
              </w:rPr>
              <w:t>决策　</w:t>
            </w:r>
          </w:p>
        </w:tc>
        <w:tc>
          <w:tcPr>
            <w:tcW w:w="764" w:type="dxa"/>
            <w:vMerge w:val="restart"/>
            <w:shd w:val="clear" w:color="auto" w:fill="auto"/>
            <w:vAlign w:val="center"/>
          </w:tcPr>
          <w:p>
            <w:pPr>
              <w:widowControl/>
              <w:spacing w:line="0" w:lineRule="atLeast"/>
              <w:jc w:val="center"/>
              <w:rPr>
                <w:color w:val="auto"/>
                <w:kern w:val="0"/>
                <w:sz w:val="22"/>
                <w:szCs w:val="22"/>
                <w:highlight w:val="none"/>
              </w:rPr>
            </w:pPr>
            <w:r>
              <w:rPr>
                <w:color w:val="auto"/>
                <w:kern w:val="0"/>
                <w:sz w:val="22"/>
                <w:szCs w:val="22"/>
                <w:highlight w:val="none"/>
              </w:rPr>
              <w:t>项目立项　</w:t>
            </w:r>
          </w:p>
        </w:tc>
        <w:tc>
          <w:tcPr>
            <w:tcW w:w="873" w:type="dxa"/>
            <w:shd w:val="clear" w:color="auto" w:fill="auto"/>
            <w:vAlign w:val="center"/>
          </w:tcPr>
          <w:p>
            <w:pPr>
              <w:widowControl/>
              <w:spacing w:line="0" w:lineRule="atLeast"/>
              <w:jc w:val="center"/>
              <w:rPr>
                <w:color w:val="auto"/>
                <w:kern w:val="0"/>
                <w:sz w:val="22"/>
                <w:szCs w:val="22"/>
                <w:highlight w:val="none"/>
              </w:rPr>
            </w:pPr>
            <w:r>
              <w:rPr>
                <w:color w:val="auto"/>
                <w:kern w:val="0"/>
                <w:sz w:val="22"/>
                <w:szCs w:val="22"/>
                <w:highlight w:val="none"/>
              </w:rPr>
              <w:t>立项依据</w:t>
            </w:r>
          </w:p>
          <w:p>
            <w:pPr>
              <w:widowControl/>
              <w:spacing w:line="0" w:lineRule="atLeast"/>
              <w:jc w:val="center"/>
              <w:rPr>
                <w:color w:val="auto"/>
                <w:kern w:val="0"/>
                <w:sz w:val="22"/>
                <w:szCs w:val="22"/>
                <w:highlight w:val="none"/>
              </w:rPr>
            </w:pPr>
            <w:r>
              <w:rPr>
                <w:color w:val="auto"/>
                <w:kern w:val="0"/>
                <w:sz w:val="22"/>
                <w:szCs w:val="22"/>
                <w:highlight w:val="none"/>
              </w:rPr>
              <w:t>充分性</w:t>
            </w:r>
          </w:p>
        </w:tc>
        <w:tc>
          <w:tcPr>
            <w:tcW w:w="2353" w:type="dxa"/>
            <w:shd w:val="clear" w:color="auto" w:fill="auto"/>
            <w:vAlign w:val="center"/>
          </w:tcPr>
          <w:p>
            <w:pPr>
              <w:widowControl/>
              <w:spacing w:line="0" w:lineRule="atLeast"/>
              <w:rPr>
                <w:color w:val="auto"/>
                <w:kern w:val="0"/>
                <w:sz w:val="22"/>
                <w:szCs w:val="22"/>
                <w:highlight w:val="none"/>
              </w:rPr>
            </w:pPr>
            <w:r>
              <w:rPr>
                <w:color w:val="auto"/>
                <w:kern w:val="0"/>
                <w:sz w:val="22"/>
                <w:szCs w:val="22"/>
                <w:highlight w:val="none"/>
              </w:rPr>
              <w:t>项目立项是否符合法律法规、相关政策、发展规划以及部门职责，用以反映和考核项目立项依据情况。</w:t>
            </w:r>
          </w:p>
        </w:tc>
        <w:tc>
          <w:tcPr>
            <w:tcW w:w="5198" w:type="dxa"/>
            <w:shd w:val="clear" w:color="auto" w:fill="auto"/>
            <w:vAlign w:val="center"/>
          </w:tcPr>
          <w:p>
            <w:pPr>
              <w:widowControl/>
              <w:spacing w:line="0" w:lineRule="atLeast"/>
              <w:jc w:val="lef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①项目立项是否符合国家法律法规、国民经济发展规划和相关政策；</w:t>
            </w:r>
            <w:r>
              <w:rPr>
                <w:color w:val="auto"/>
                <w:kern w:val="0"/>
                <w:sz w:val="22"/>
                <w:szCs w:val="22"/>
                <w:highlight w:val="none"/>
              </w:rPr>
              <w:br w:type="textWrapping"/>
            </w:r>
            <w:r>
              <w:rPr>
                <w:color w:val="auto"/>
                <w:kern w:val="0"/>
                <w:sz w:val="22"/>
                <w:szCs w:val="22"/>
                <w:highlight w:val="none"/>
              </w:rPr>
              <w:t>②项目立项是否符合行业发展规划和政策要求；</w:t>
            </w:r>
            <w:r>
              <w:rPr>
                <w:color w:val="auto"/>
                <w:kern w:val="0"/>
                <w:sz w:val="22"/>
                <w:szCs w:val="22"/>
                <w:highlight w:val="none"/>
              </w:rPr>
              <w:br w:type="textWrapping"/>
            </w:r>
            <w:r>
              <w:rPr>
                <w:color w:val="auto"/>
                <w:kern w:val="0"/>
                <w:sz w:val="22"/>
                <w:szCs w:val="22"/>
                <w:highlight w:val="none"/>
              </w:rPr>
              <w:t>③项目立项是否与部门职责范围相符，属于部门履职所需；</w:t>
            </w:r>
            <w:r>
              <w:rPr>
                <w:color w:val="auto"/>
                <w:kern w:val="0"/>
                <w:sz w:val="22"/>
                <w:szCs w:val="22"/>
                <w:highlight w:val="none"/>
              </w:rPr>
              <w:br w:type="textWrapping"/>
            </w:r>
            <w:r>
              <w:rPr>
                <w:color w:val="auto"/>
                <w:kern w:val="0"/>
                <w:sz w:val="22"/>
                <w:szCs w:val="22"/>
                <w:highlight w:val="none"/>
              </w:rPr>
              <w:t>④项目是否属于公共财政支持范围，是否符合中央、地方事权支出责任划分原则；</w:t>
            </w:r>
            <w:r>
              <w:rPr>
                <w:color w:val="auto"/>
                <w:kern w:val="0"/>
                <w:sz w:val="22"/>
                <w:szCs w:val="22"/>
                <w:highlight w:val="none"/>
              </w:rPr>
              <w:br w:type="textWrapping"/>
            </w:r>
            <w:r>
              <w:rPr>
                <w:color w:val="auto"/>
                <w:kern w:val="0"/>
                <w:sz w:val="22"/>
                <w:szCs w:val="22"/>
                <w:highlight w:val="none"/>
              </w:rPr>
              <w:t>⑤项目是否与相关部门同类项目或部门内部相关项目重复。</w:t>
            </w:r>
          </w:p>
        </w:tc>
        <w:tc>
          <w:tcPr>
            <w:tcW w:w="1300" w:type="dxa"/>
            <w:shd w:val="clear" w:color="auto" w:fill="auto"/>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3</w:t>
            </w:r>
          </w:p>
        </w:tc>
        <w:tc>
          <w:tcPr>
            <w:tcW w:w="1363" w:type="dxa"/>
            <w:shd w:val="clear" w:color="auto" w:fill="auto"/>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Ex>
        <w:trPr>
          <w:trHeight w:val="90" w:hRule="atLeast"/>
          <w:jc w:val="center"/>
        </w:trPr>
        <w:tc>
          <w:tcPr>
            <w:tcW w:w="832" w:type="dxa"/>
            <w:vMerge w:val="continue"/>
            <w:shd w:val="clear" w:color="auto" w:fill="auto"/>
            <w:vAlign w:val="center"/>
          </w:tcPr>
          <w:p>
            <w:pPr>
              <w:spacing w:line="0" w:lineRule="atLeast"/>
              <w:jc w:val="center"/>
              <w:rPr>
                <w:color w:val="auto"/>
                <w:kern w:val="0"/>
                <w:sz w:val="22"/>
                <w:szCs w:val="22"/>
                <w:highlight w:val="none"/>
              </w:rPr>
            </w:pPr>
          </w:p>
        </w:tc>
        <w:tc>
          <w:tcPr>
            <w:tcW w:w="764" w:type="dxa"/>
            <w:vMerge w:val="continue"/>
            <w:shd w:val="clear" w:color="auto" w:fill="auto"/>
            <w:vAlign w:val="center"/>
          </w:tcPr>
          <w:p>
            <w:pPr>
              <w:widowControl/>
              <w:spacing w:line="0" w:lineRule="atLeast"/>
              <w:jc w:val="center"/>
              <w:rPr>
                <w:color w:val="auto"/>
                <w:kern w:val="0"/>
                <w:sz w:val="22"/>
                <w:szCs w:val="22"/>
                <w:highlight w:val="none"/>
              </w:rPr>
            </w:pPr>
          </w:p>
        </w:tc>
        <w:tc>
          <w:tcPr>
            <w:tcW w:w="873" w:type="dxa"/>
            <w:shd w:val="clear" w:color="auto" w:fill="auto"/>
            <w:vAlign w:val="center"/>
          </w:tcPr>
          <w:p>
            <w:pPr>
              <w:widowControl/>
              <w:spacing w:line="0" w:lineRule="atLeast"/>
              <w:jc w:val="center"/>
              <w:rPr>
                <w:color w:val="auto"/>
                <w:kern w:val="0"/>
                <w:sz w:val="22"/>
                <w:szCs w:val="22"/>
                <w:highlight w:val="none"/>
              </w:rPr>
            </w:pPr>
            <w:r>
              <w:rPr>
                <w:color w:val="auto"/>
                <w:kern w:val="0"/>
                <w:sz w:val="22"/>
                <w:szCs w:val="22"/>
                <w:highlight w:val="none"/>
              </w:rPr>
              <w:t>立项程序</w:t>
            </w:r>
          </w:p>
          <w:p>
            <w:pPr>
              <w:widowControl/>
              <w:spacing w:line="0" w:lineRule="atLeast"/>
              <w:jc w:val="center"/>
              <w:rPr>
                <w:color w:val="auto"/>
                <w:kern w:val="0"/>
                <w:sz w:val="22"/>
                <w:szCs w:val="22"/>
                <w:highlight w:val="none"/>
              </w:rPr>
            </w:pPr>
            <w:r>
              <w:rPr>
                <w:color w:val="auto"/>
                <w:kern w:val="0"/>
                <w:sz w:val="22"/>
                <w:szCs w:val="22"/>
                <w:highlight w:val="none"/>
              </w:rPr>
              <w:t>规范性</w:t>
            </w:r>
          </w:p>
        </w:tc>
        <w:tc>
          <w:tcPr>
            <w:tcW w:w="2353" w:type="dxa"/>
            <w:shd w:val="clear" w:color="auto" w:fill="auto"/>
            <w:vAlign w:val="center"/>
          </w:tcPr>
          <w:p>
            <w:pPr>
              <w:widowControl/>
              <w:spacing w:line="0" w:lineRule="atLeast"/>
              <w:rPr>
                <w:color w:val="auto"/>
                <w:kern w:val="0"/>
                <w:sz w:val="22"/>
                <w:szCs w:val="22"/>
                <w:highlight w:val="none"/>
              </w:rPr>
            </w:pPr>
            <w:r>
              <w:rPr>
                <w:color w:val="auto"/>
                <w:kern w:val="0"/>
                <w:sz w:val="22"/>
                <w:szCs w:val="22"/>
                <w:highlight w:val="none"/>
              </w:rPr>
              <w:t>项目申请、设立过程是否符合相关要求，用以反映和考核项目立项的规范情况。</w:t>
            </w:r>
          </w:p>
        </w:tc>
        <w:tc>
          <w:tcPr>
            <w:tcW w:w="5198" w:type="dxa"/>
            <w:shd w:val="clear" w:color="auto" w:fill="auto"/>
            <w:vAlign w:val="center"/>
          </w:tcPr>
          <w:p>
            <w:pPr>
              <w:widowControl/>
              <w:spacing w:line="0" w:lineRule="atLeast"/>
              <w:jc w:val="lef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①项目是否按照规定的程序申请设立；</w:t>
            </w:r>
            <w:r>
              <w:rPr>
                <w:color w:val="auto"/>
                <w:kern w:val="0"/>
                <w:sz w:val="22"/>
                <w:szCs w:val="22"/>
                <w:highlight w:val="none"/>
              </w:rPr>
              <w:br w:type="textWrapping"/>
            </w:r>
            <w:r>
              <w:rPr>
                <w:color w:val="auto"/>
                <w:kern w:val="0"/>
                <w:sz w:val="22"/>
                <w:szCs w:val="22"/>
                <w:highlight w:val="none"/>
              </w:rPr>
              <w:t>②审批文件、材料是否符合相关要求；</w:t>
            </w:r>
            <w:r>
              <w:rPr>
                <w:color w:val="auto"/>
                <w:kern w:val="0"/>
                <w:sz w:val="22"/>
                <w:szCs w:val="22"/>
                <w:highlight w:val="none"/>
              </w:rPr>
              <w:br w:type="textWrapping"/>
            </w:r>
            <w:r>
              <w:rPr>
                <w:color w:val="auto"/>
                <w:kern w:val="0"/>
                <w:sz w:val="22"/>
                <w:szCs w:val="22"/>
                <w:highlight w:val="none"/>
              </w:rPr>
              <w:t>③事前是否已经过必要的可行性研究、专家论证、风险评估、绩效评估、集体决策。</w:t>
            </w:r>
          </w:p>
        </w:tc>
        <w:tc>
          <w:tcPr>
            <w:tcW w:w="1300" w:type="dxa"/>
            <w:shd w:val="clear" w:color="auto" w:fill="auto"/>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3</w:t>
            </w:r>
          </w:p>
        </w:tc>
        <w:tc>
          <w:tcPr>
            <w:tcW w:w="1363" w:type="dxa"/>
            <w:shd w:val="clear" w:color="auto" w:fill="auto"/>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Ex>
        <w:trPr>
          <w:trHeight w:val="90" w:hRule="atLeast"/>
          <w:jc w:val="center"/>
        </w:trPr>
        <w:tc>
          <w:tcPr>
            <w:tcW w:w="832" w:type="dxa"/>
            <w:vMerge w:val="continue"/>
            <w:shd w:val="clear" w:color="auto" w:fill="auto"/>
            <w:vAlign w:val="center"/>
          </w:tcPr>
          <w:p>
            <w:pPr>
              <w:spacing w:line="0" w:lineRule="atLeast"/>
              <w:jc w:val="center"/>
              <w:rPr>
                <w:color w:val="auto"/>
                <w:kern w:val="0"/>
                <w:sz w:val="22"/>
                <w:szCs w:val="22"/>
                <w:highlight w:val="none"/>
              </w:rPr>
            </w:pPr>
          </w:p>
        </w:tc>
        <w:tc>
          <w:tcPr>
            <w:tcW w:w="764" w:type="dxa"/>
            <w:vMerge w:val="restart"/>
            <w:shd w:val="clear" w:color="auto" w:fill="auto"/>
            <w:vAlign w:val="center"/>
          </w:tcPr>
          <w:p>
            <w:pPr>
              <w:widowControl/>
              <w:spacing w:line="0" w:lineRule="atLeast"/>
              <w:jc w:val="center"/>
              <w:rPr>
                <w:color w:val="auto"/>
                <w:kern w:val="0"/>
                <w:sz w:val="22"/>
                <w:szCs w:val="22"/>
                <w:highlight w:val="none"/>
              </w:rPr>
            </w:pPr>
            <w:r>
              <w:rPr>
                <w:color w:val="auto"/>
                <w:kern w:val="0"/>
                <w:sz w:val="22"/>
                <w:szCs w:val="22"/>
                <w:highlight w:val="none"/>
              </w:rPr>
              <w:t>绩效目标　</w:t>
            </w:r>
          </w:p>
        </w:tc>
        <w:tc>
          <w:tcPr>
            <w:tcW w:w="873" w:type="dxa"/>
            <w:shd w:val="clear" w:color="auto" w:fill="auto"/>
            <w:vAlign w:val="center"/>
          </w:tcPr>
          <w:p>
            <w:pPr>
              <w:widowControl/>
              <w:spacing w:line="0" w:lineRule="atLeast"/>
              <w:jc w:val="center"/>
              <w:rPr>
                <w:color w:val="auto"/>
                <w:kern w:val="0"/>
                <w:sz w:val="22"/>
                <w:szCs w:val="22"/>
                <w:highlight w:val="none"/>
              </w:rPr>
            </w:pPr>
            <w:r>
              <w:rPr>
                <w:color w:val="auto"/>
                <w:kern w:val="0"/>
                <w:sz w:val="22"/>
                <w:szCs w:val="22"/>
                <w:highlight w:val="none"/>
              </w:rPr>
              <w:t>绩效目标</w:t>
            </w:r>
          </w:p>
          <w:p>
            <w:pPr>
              <w:widowControl/>
              <w:spacing w:line="0" w:lineRule="atLeast"/>
              <w:jc w:val="center"/>
              <w:rPr>
                <w:color w:val="auto"/>
                <w:kern w:val="0"/>
                <w:sz w:val="22"/>
                <w:szCs w:val="22"/>
                <w:highlight w:val="none"/>
              </w:rPr>
            </w:pPr>
            <w:r>
              <w:rPr>
                <w:color w:val="auto"/>
                <w:kern w:val="0"/>
                <w:sz w:val="22"/>
                <w:szCs w:val="22"/>
                <w:highlight w:val="none"/>
              </w:rPr>
              <w:t>合理性</w:t>
            </w:r>
          </w:p>
        </w:tc>
        <w:tc>
          <w:tcPr>
            <w:tcW w:w="2353" w:type="dxa"/>
            <w:shd w:val="clear" w:color="auto" w:fill="auto"/>
            <w:vAlign w:val="center"/>
          </w:tcPr>
          <w:p>
            <w:pPr>
              <w:widowControl/>
              <w:spacing w:line="0" w:lineRule="atLeast"/>
              <w:rPr>
                <w:color w:val="auto"/>
                <w:kern w:val="0"/>
                <w:sz w:val="22"/>
                <w:szCs w:val="22"/>
                <w:highlight w:val="none"/>
              </w:rPr>
            </w:pPr>
            <w:r>
              <w:rPr>
                <w:color w:val="auto"/>
                <w:kern w:val="0"/>
                <w:sz w:val="22"/>
                <w:szCs w:val="22"/>
                <w:highlight w:val="none"/>
              </w:rPr>
              <w:t>项目所设定的绩效目标是否依据充分，是否符合客观实际，用以反映和考核项目绩效目标与项目实施的相符情况。</w:t>
            </w:r>
          </w:p>
        </w:tc>
        <w:tc>
          <w:tcPr>
            <w:tcW w:w="5198" w:type="dxa"/>
            <w:shd w:val="clear" w:color="auto" w:fill="auto"/>
            <w:vAlign w:val="center"/>
          </w:tcPr>
          <w:p>
            <w:pPr>
              <w:widowControl/>
              <w:spacing w:line="0" w:lineRule="atLeast"/>
              <w:jc w:val="lef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（如未设定预算绩效目标，也可考核其他工作任务目标）</w:t>
            </w:r>
            <w:r>
              <w:rPr>
                <w:color w:val="auto"/>
                <w:kern w:val="0"/>
                <w:sz w:val="22"/>
                <w:szCs w:val="22"/>
                <w:highlight w:val="none"/>
              </w:rPr>
              <w:br w:type="textWrapping"/>
            </w:r>
            <w:r>
              <w:rPr>
                <w:color w:val="auto"/>
                <w:kern w:val="0"/>
                <w:sz w:val="22"/>
                <w:szCs w:val="22"/>
                <w:highlight w:val="none"/>
              </w:rPr>
              <w:t>①项目是否有绩效目标；</w:t>
            </w:r>
            <w:r>
              <w:rPr>
                <w:color w:val="auto"/>
                <w:kern w:val="0"/>
                <w:sz w:val="22"/>
                <w:szCs w:val="22"/>
                <w:highlight w:val="none"/>
              </w:rPr>
              <w:br w:type="textWrapping"/>
            </w:r>
            <w:r>
              <w:rPr>
                <w:color w:val="auto"/>
                <w:kern w:val="0"/>
                <w:sz w:val="22"/>
                <w:szCs w:val="22"/>
                <w:highlight w:val="none"/>
              </w:rPr>
              <w:t>②项目绩效目标与实际工作内容是否具有相关性；</w:t>
            </w:r>
            <w:r>
              <w:rPr>
                <w:color w:val="auto"/>
                <w:kern w:val="0"/>
                <w:sz w:val="22"/>
                <w:szCs w:val="22"/>
                <w:highlight w:val="none"/>
              </w:rPr>
              <w:br w:type="textWrapping"/>
            </w:r>
            <w:r>
              <w:rPr>
                <w:color w:val="auto"/>
                <w:kern w:val="0"/>
                <w:sz w:val="22"/>
                <w:szCs w:val="22"/>
                <w:highlight w:val="none"/>
              </w:rPr>
              <w:t>③项目预期产出效益和效果是否符合正常的业绩水平；</w:t>
            </w:r>
          </w:p>
          <w:p>
            <w:pPr>
              <w:widowControl/>
              <w:spacing w:line="0" w:lineRule="atLeast"/>
              <w:jc w:val="left"/>
              <w:rPr>
                <w:color w:val="auto"/>
                <w:kern w:val="0"/>
                <w:sz w:val="22"/>
                <w:szCs w:val="22"/>
                <w:highlight w:val="none"/>
              </w:rPr>
            </w:pPr>
            <w:r>
              <w:rPr>
                <w:color w:val="auto"/>
                <w:kern w:val="0"/>
                <w:sz w:val="22"/>
                <w:szCs w:val="22"/>
                <w:highlight w:val="none"/>
              </w:rPr>
              <w:t>④是否与预算确定的项目投资额或资金量相匹配。</w:t>
            </w:r>
          </w:p>
        </w:tc>
        <w:tc>
          <w:tcPr>
            <w:tcW w:w="1300" w:type="dxa"/>
            <w:shd w:val="clear" w:color="auto" w:fill="auto"/>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3</w:t>
            </w:r>
          </w:p>
        </w:tc>
        <w:tc>
          <w:tcPr>
            <w:tcW w:w="1363" w:type="dxa"/>
            <w:shd w:val="clear" w:color="auto" w:fill="auto"/>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auto"/>
            <w:vAlign w:val="center"/>
          </w:tcPr>
          <w:p>
            <w:pPr>
              <w:widowControl/>
              <w:spacing w:line="0" w:lineRule="atLeast"/>
              <w:jc w:val="center"/>
              <w:rPr>
                <w:color w:val="auto"/>
                <w:kern w:val="0"/>
                <w:sz w:val="22"/>
                <w:szCs w:val="22"/>
                <w:highlight w:val="none"/>
              </w:rPr>
            </w:pPr>
          </w:p>
        </w:tc>
        <w:tc>
          <w:tcPr>
            <w:tcW w:w="764" w:type="dxa"/>
            <w:vMerge w:val="continue"/>
            <w:shd w:val="clear" w:color="auto" w:fill="auto"/>
            <w:vAlign w:val="center"/>
          </w:tcPr>
          <w:p>
            <w:pPr>
              <w:widowControl/>
              <w:spacing w:line="0" w:lineRule="atLeast"/>
              <w:jc w:val="center"/>
              <w:rPr>
                <w:color w:val="auto"/>
                <w:kern w:val="0"/>
                <w:sz w:val="22"/>
                <w:szCs w:val="22"/>
                <w:highlight w:val="none"/>
              </w:rPr>
            </w:pPr>
          </w:p>
        </w:tc>
        <w:tc>
          <w:tcPr>
            <w:tcW w:w="873" w:type="dxa"/>
            <w:shd w:val="clear" w:color="auto" w:fill="auto"/>
            <w:vAlign w:val="center"/>
          </w:tcPr>
          <w:p>
            <w:pPr>
              <w:widowControl/>
              <w:spacing w:line="0" w:lineRule="atLeast"/>
              <w:jc w:val="center"/>
              <w:rPr>
                <w:color w:val="auto"/>
                <w:kern w:val="0"/>
                <w:sz w:val="22"/>
                <w:szCs w:val="22"/>
                <w:highlight w:val="none"/>
              </w:rPr>
            </w:pPr>
            <w:r>
              <w:rPr>
                <w:color w:val="auto"/>
                <w:kern w:val="0"/>
                <w:sz w:val="22"/>
                <w:szCs w:val="22"/>
                <w:highlight w:val="none"/>
              </w:rPr>
              <w:t>绩效指标</w:t>
            </w:r>
          </w:p>
          <w:p>
            <w:pPr>
              <w:widowControl/>
              <w:spacing w:line="0" w:lineRule="atLeast"/>
              <w:jc w:val="center"/>
              <w:rPr>
                <w:color w:val="auto"/>
                <w:kern w:val="0"/>
                <w:sz w:val="22"/>
                <w:szCs w:val="22"/>
                <w:highlight w:val="none"/>
              </w:rPr>
            </w:pPr>
            <w:r>
              <w:rPr>
                <w:color w:val="auto"/>
                <w:kern w:val="0"/>
                <w:sz w:val="22"/>
                <w:szCs w:val="22"/>
                <w:highlight w:val="none"/>
              </w:rPr>
              <w:t>明确性</w:t>
            </w:r>
          </w:p>
        </w:tc>
        <w:tc>
          <w:tcPr>
            <w:tcW w:w="2353" w:type="dxa"/>
            <w:shd w:val="clear" w:color="auto" w:fill="auto"/>
            <w:vAlign w:val="center"/>
          </w:tcPr>
          <w:p>
            <w:pPr>
              <w:widowControl/>
              <w:spacing w:line="0" w:lineRule="atLeast"/>
              <w:rPr>
                <w:color w:val="auto"/>
                <w:kern w:val="0"/>
                <w:sz w:val="22"/>
                <w:szCs w:val="22"/>
                <w:highlight w:val="none"/>
              </w:rPr>
            </w:pPr>
            <w:r>
              <w:rPr>
                <w:color w:val="auto"/>
                <w:kern w:val="0"/>
                <w:sz w:val="22"/>
                <w:szCs w:val="22"/>
                <w:highlight w:val="none"/>
              </w:rPr>
              <w:t>依据绩效目标设定的绩效指标是否清晰、细化、可衡量等，用以反映和考核项目绩效目标的明细化情况。</w:t>
            </w:r>
          </w:p>
        </w:tc>
        <w:tc>
          <w:tcPr>
            <w:tcW w:w="5198" w:type="dxa"/>
            <w:shd w:val="clear" w:color="auto" w:fill="auto"/>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①是否将项目绩效目标细化分解为具体的绩效指标；</w:t>
            </w:r>
            <w:r>
              <w:rPr>
                <w:color w:val="auto"/>
                <w:kern w:val="0"/>
                <w:sz w:val="22"/>
                <w:szCs w:val="22"/>
                <w:highlight w:val="none"/>
              </w:rPr>
              <w:br w:type="textWrapping"/>
            </w:r>
            <w:r>
              <w:rPr>
                <w:color w:val="auto"/>
                <w:kern w:val="0"/>
                <w:sz w:val="22"/>
                <w:szCs w:val="22"/>
                <w:highlight w:val="none"/>
              </w:rPr>
              <w:t>②是否通过清晰、可衡量的指标值予以体现；</w:t>
            </w:r>
            <w:r>
              <w:rPr>
                <w:color w:val="auto"/>
                <w:kern w:val="0"/>
                <w:sz w:val="22"/>
                <w:szCs w:val="22"/>
                <w:highlight w:val="none"/>
              </w:rPr>
              <w:br w:type="textWrapping"/>
            </w:r>
            <w:r>
              <w:rPr>
                <w:color w:val="auto"/>
                <w:kern w:val="0"/>
                <w:sz w:val="22"/>
                <w:szCs w:val="22"/>
                <w:highlight w:val="none"/>
              </w:rPr>
              <w:t>③是否与项目目标任务数或计划数相对应。</w:t>
            </w:r>
            <w:r>
              <w:rPr>
                <w:color w:val="auto"/>
                <w:kern w:val="0"/>
                <w:sz w:val="22"/>
                <w:szCs w:val="22"/>
                <w:highlight w:val="none"/>
              </w:rPr>
              <w:br w:type="textWrapping"/>
            </w:r>
          </w:p>
        </w:tc>
        <w:tc>
          <w:tcPr>
            <w:tcW w:w="1300" w:type="dxa"/>
            <w:shd w:val="clear" w:color="auto" w:fill="auto"/>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3</w:t>
            </w:r>
          </w:p>
        </w:tc>
        <w:tc>
          <w:tcPr>
            <w:tcW w:w="1363" w:type="dxa"/>
            <w:shd w:val="clear" w:color="auto" w:fill="auto"/>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auto"/>
            <w:vAlign w:val="center"/>
          </w:tcPr>
          <w:p>
            <w:pPr>
              <w:spacing w:line="0" w:lineRule="atLeast"/>
              <w:jc w:val="center"/>
              <w:rPr>
                <w:color w:val="auto"/>
                <w:kern w:val="0"/>
                <w:sz w:val="22"/>
                <w:szCs w:val="22"/>
                <w:highlight w:val="none"/>
              </w:rPr>
            </w:pPr>
          </w:p>
        </w:tc>
        <w:tc>
          <w:tcPr>
            <w:tcW w:w="764" w:type="dxa"/>
            <w:vMerge w:val="restart"/>
            <w:shd w:val="clear" w:color="auto" w:fill="auto"/>
            <w:vAlign w:val="center"/>
          </w:tcPr>
          <w:p>
            <w:pPr>
              <w:widowControl/>
              <w:spacing w:line="0" w:lineRule="atLeast"/>
              <w:jc w:val="center"/>
              <w:rPr>
                <w:color w:val="auto"/>
                <w:kern w:val="0"/>
                <w:sz w:val="22"/>
                <w:szCs w:val="22"/>
                <w:highlight w:val="none"/>
              </w:rPr>
            </w:pPr>
            <w:r>
              <w:rPr>
                <w:color w:val="auto"/>
                <w:kern w:val="0"/>
                <w:sz w:val="22"/>
                <w:szCs w:val="22"/>
                <w:highlight w:val="none"/>
              </w:rPr>
              <w:t>资金投入</w:t>
            </w:r>
          </w:p>
          <w:p>
            <w:pPr>
              <w:spacing w:line="0" w:lineRule="atLeast"/>
              <w:jc w:val="center"/>
              <w:rPr>
                <w:color w:val="auto"/>
                <w:kern w:val="0"/>
                <w:sz w:val="22"/>
                <w:szCs w:val="22"/>
                <w:highlight w:val="none"/>
              </w:rPr>
            </w:pPr>
            <w:r>
              <w:rPr>
                <w:color w:val="auto"/>
                <w:kern w:val="0"/>
                <w:sz w:val="22"/>
                <w:szCs w:val="22"/>
                <w:highlight w:val="none"/>
              </w:rPr>
              <w:t>　</w:t>
            </w:r>
          </w:p>
        </w:tc>
        <w:tc>
          <w:tcPr>
            <w:tcW w:w="873" w:type="dxa"/>
            <w:shd w:val="clear" w:color="auto" w:fill="auto"/>
            <w:vAlign w:val="center"/>
          </w:tcPr>
          <w:p>
            <w:pPr>
              <w:widowControl/>
              <w:spacing w:line="0" w:lineRule="atLeast"/>
              <w:jc w:val="center"/>
              <w:rPr>
                <w:color w:val="auto"/>
                <w:kern w:val="0"/>
                <w:sz w:val="22"/>
                <w:szCs w:val="22"/>
                <w:highlight w:val="none"/>
              </w:rPr>
            </w:pPr>
            <w:r>
              <w:rPr>
                <w:color w:val="auto"/>
                <w:kern w:val="0"/>
                <w:sz w:val="22"/>
                <w:szCs w:val="22"/>
                <w:highlight w:val="none"/>
              </w:rPr>
              <w:t>预算编制</w:t>
            </w:r>
          </w:p>
          <w:p>
            <w:pPr>
              <w:widowControl/>
              <w:spacing w:line="0" w:lineRule="atLeast"/>
              <w:jc w:val="center"/>
              <w:rPr>
                <w:color w:val="auto"/>
                <w:kern w:val="0"/>
                <w:sz w:val="22"/>
                <w:szCs w:val="22"/>
                <w:highlight w:val="none"/>
              </w:rPr>
            </w:pPr>
            <w:r>
              <w:rPr>
                <w:color w:val="auto"/>
                <w:kern w:val="0"/>
                <w:sz w:val="22"/>
                <w:szCs w:val="22"/>
                <w:highlight w:val="none"/>
              </w:rPr>
              <w:t>科学性</w:t>
            </w:r>
          </w:p>
        </w:tc>
        <w:tc>
          <w:tcPr>
            <w:tcW w:w="2353" w:type="dxa"/>
            <w:shd w:val="clear" w:color="auto" w:fill="auto"/>
            <w:vAlign w:val="center"/>
          </w:tcPr>
          <w:p>
            <w:pPr>
              <w:widowControl/>
              <w:spacing w:line="0" w:lineRule="atLeast"/>
              <w:rPr>
                <w:color w:val="auto"/>
                <w:kern w:val="0"/>
                <w:sz w:val="22"/>
                <w:szCs w:val="22"/>
                <w:highlight w:val="none"/>
              </w:rPr>
            </w:pPr>
            <w:r>
              <w:rPr>
                <w:color w:val="auto"/>
                <w:kern w:val="0"/>
                <w:sz w:val="22"/>
                <w:szCs w:val="22"/>
                <w:highlight w:val="none"/>
              </w:rPr>
              <w:t>项目预算编制是否经过科学论证、有明确标准，资金额度与年度目标是否相适应，用以反映和考核项目预算编制的科学性、合理性情况。</w:t>
            </w:r>
          </w:p>
        </w:tc>
        <w:tc>
          <w:tcPr>
            <w:tcW w:w="5198" w:type="dxa"/>
            <w:shd w:val="clear" w:color="auto" w:fill="auto"/>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①预算编制是否经过科学论证；</w:t>
            </w:r>
            <w:r>
              <w:rPr>
                <w:color w:val="auto"/>
                <w:kern w:val="0"/>
                <w:sz w:val="22"/>
                <w:szCs w:val="22"/>
                <w:highlight w:val="none"/>
              </w:rPr>
              <w:br w:type="textWrapping"/>
            </w:r>
            <w:r>
              <w:rPr>
                <w:color w:val="auto"/>
                <w:kern w:val="0"/>
                <w:sz w:val="22"/>
                <w:szCs w:val="22"/>
                <w:highlight w:val="none"/>
              </w:rPr>
              <w:t>②预算内容与项目内容是否匹配；</w:t>
            </w:r>
            <w:r>
              <w:rPr>
                <w:color w:val="auto"/>
                <w:kern w:val="0"/>
                <w:sz w:val="22"/>
                <w:szCs w:val="22"/>
                <w:highlight w:val="none"/>
              </w:rPr>
              <w:br w:type="textWrapping"/>
            </w:r>
            <w:r>
              <w:rPr>
                <w:color w:val="auto"/>
                <w:kern w:val="0"/>
                <w:sz w:val="22"/>
                <w:szCs w:val="22"/>
                <w:highlight w:val="none"/>
              </w:rPr>
              <w:t>③预算额度测算依据是否充分，是否按照标准编制；</w:t>
            </w:r>
            <w:r>
              <w:rPr>
                <w:color w:val="auto"/>
                <w:kern w:val="0"/>
                <w:sz w:val="22"/>
                <w:szCs w:val="22"/>
                <w:highlight w:val="none"/>
              </w:rPr>
              <w:br w:type="textWrapping"/>
            </w:r>
            <w:r>
              <w:rPr>
                <w:color w:val="auto"/>
                <w:kern w:val="0"/>
                <w:sz w:val="22"/>
                <w:szCs w:val="22"/>
                <w:highlight w:val="none"/>
              </w:rPr>
              <w:t>④预算确定的项目投资额或资金量是否与工作任务相匹配。</w:t>
            </w:r>
          </w:p>
        </w:tc>
        <w:tc>
          <w:tcPr>
            <w:tcW w:w="1300" w:type="dxa"/>
            <w:shd w:val="clear" w:color="auto" w:fill="auto"/>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1363" w:type="dxa"/>
            <w:shd w:val="clear" w:color="auto" w:fill="auto"/>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auto"/>
            <w:vAlign w:val="center"/>
          </w:tcPr>
          <w:p>
            <w:pPr>
              <w:widowControl/>
              <w:spacing w:line="0" w:lineRule="atLeast"/>
              <w:jc w:val="center"/>
              <w:rPr>
                <w:color w:val="auto"/>
                <w:kern w:val="0"/>
                <w:sz w:val="22"/>
                <w:szCs w:val="22"/>
                <w:highlight w:val="none"/>
              </w:rPr>
            </w:pPr>
          </w:p>
        </w:tc>
        <w:tc>
          <w:tcPr>
            <w:tcW w:w="764" w:type="dxa"/>
            <w:vMerge w:val="continue"/>
            <w:shd w:val="clear" w:color="auto" w:fill="auto"/>
            <w:vAlign w:val="center"/>
          </w:tcPr>
          <w:p>
            <w:pPr>
              <w:widowControl/>
              <w:spacing w:line="0" w:lineRule="atLeast"/>
              <w:jc w:val="center"/>
              <w:rPr>
                <w:color w:val="auto"/>
                <w:kern w:val="0"/>
                <w:sz w:val="22"/>
                <w:szCs w:val="22"/>
                <w:highlight w:val="none"/>
              </w:rPr>
            </w:pPr>
          </w:p>
        </w:tc>
        <w:tc>
          <w:tcPr>
            <w:tcW w:w="873" w:type="dxa"/>
            <w:shd w:val="clear" w:color="auto" w:fill="auto"/>
            <w:vAlign w:val="center"/>
          </w:tcPr>
          <w:p>
            <w:pPr>
              <w:widowControl/>
              <w:spacing w:line="0" w:lineRule="atLeast"/>
              <w:jc w:val="center"/>
              <w:rPr>
                <w:color w:val="auto"/>
                <w:kern w:val="0"/>
                <w:sz w:val="22"/>
                <w:szCs w:val="22"/>
                <w:highlight w:val="none"/>
              </w:rPr>
            </w:pPr>
            <w:r>
              <w:rPr>
                <w:color w:val="auto"/>
                <w:kern w:val="0"/>
                <w:sz w:val="22"/>
                <w:szCs w:val="22"/>
                <w:highlight w:val="none"/>
              </w:rPr>
              <w:t>资金分配</w:t>
            </w:r>
          </w:p>
          <w:p>
            <w:pPr>
              <w:widowControl/>
              <w:spacing w:line="0" w:lineRule="atLeast"/>
              <w:jc w:val="center"/>
              <w:rPr>
                <w:color w:val="auto"/>
                <w:kern w:val="0"/>
                <w:sz w:val="22"/>
                <w:szCs w:val="22"/>
                <w:highlight w:val="none"/>
              </w:rPr>
            </w:pPr>
            <w:r>
              <w:rPr>
                <w:color w:val="auto"/>
                <w:kern w:val="0"/>
                <w:sz w:val="22"/>
                <w:szCs w:val="22"/>
                <w:highlight w:val="none"/>
              </w:rPr>
              <w:t>合理性</w:t>
            </w:r>
          </w:p>
        </w:tc>
        <w:tc>
          <w:tcPr>
            <w:tcW w:w="2353" w:type="dxa"/>
            <w:shd w:val="clear" w:color="auto" w:fill="auto"/>
            <w:vAlign w:val="center"/>
          </w:tcPr>
          <w:p>
            <w:pPr>
              <w:widowControl/>
              <w:spacing w:line="0" w:lineRule="atLeast"/>
              <w:rPr>
                <w:color w:val="auto"/>
                <w:kern w:val="0"/>
                <w:sz w:val="22"/>
                <w:szCs w:val="22"/>
                <w:highlight w:val="none"/>
              </w:rPr>
            </w:pPr>
            <w:r>
              <w:rPr>
                <w:color w:val="auto"/>
                <w:kern w:val="0"/>
                <w:sz w:val="22"/>
                <w:szCs w:val="22"/>
                <w:highlight w:val="none"/>
              </w:rPr>
              <w:t>项目预算资金分配是否有测算依据，与补助单位或地方实际是否相适应，用以反映和考核项目预算资金分配的科学性、合理性情况。</w:t>
            </w:r>
          </w:p>
        </w:tc>
        <w:tc>
          <w:tcPr>
            <w:tcW w:w="5198" w:type="dxa"/>
            <w:shd w:val="clear" w:color="auto" w:fill="auto"/>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①预算资金分配依据是否充分；</w:t>
            </w:r>
            <w:r>
              <w:rPr>
                <w:color w:val="auto"/>
                <w:kern w:val="0"/>
                <w:sz w:val="22"/>
                <w:szCs w:val="22"/>
                <w:highlight w:val="none"/>
              </w:rPr>
              <w:br w:type="textWrapping"/>
            </w:r>
            <w:r>
              <w:rPr>
                <w:color w:val="auto"/>
                <w:kern w:val="0"/>
                <w:sz w:val="22"/>
                <w:szCs w:val="22"/>
                <w:highlight w:val="none"/>
              </w:rPr>
              <w:t>②资金分配额度是否合理，与项目单位或地方实际是否相适应。</w:t>
            </w:r>
          </w:p>
        </w:tc>
        <w:tc>
          <w:tcPr>
            <w:tcW w:w="1300" w:type="dxa"/>
            <w:shd w:val="clear" w:color="auto" w:fill="auto"/>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1363" w:type="dxa"/>
            <w:shd w:val="clear" w:color="auto" w:fill="auto"/>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Ex>
        <w:trPr>
          <w:trHeight w:val="1415" w:hRule="atLeast"/>
          <w:jc w:val="center"/>
        </w:trPr>
        <w:tc>
          <w:tcPr>
            <w:tcW w:w="832" w:type="dxa"/>
            <w:vMerge w:val="restart"/>
            <w:shd w:val="clear" w:color="auto" w:fill="auto"/>
            <w:vAlign w:val="center"/>
          </w:tcPr>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p>
          <w:p>
            <w:pPr>
              <w:spacing w:line="0" w:lineRule="atLeast"/>
              <w:jc w:val="center"/>
              <w:rPr>
                <w:color w:val="auto"/>
                <w:kern w:val="0"/>
                <w:sz w:val="22"/>
                <w:szCs w:val="22"/>
                <w:highlight w:val="none"/>
              </w:rPr>
            </w:pPr>
            <w:r>
              <w:rPr>
                <w:color w:val="auto"/>
                <w:kern w:val="0"/>
                <w:sz w:val="22"/>
                <w:szCs w:val="22"/>
                <w:highlight w:val="none"/>
              </w:rPr>
              <w:t>过程</w:t>
            </w:r>
          </w:p>
          <w:p>
            <w:pPr>
              <w:widowControl/>
              <w:spacing w:line="0" w:lineRule="atLeast"/>
              <w:jc w:val="center"/>
              <w:rPr>
                <w:color w:val="auto"/>
                <w:kern w:val="0"/>
                <w:sz w:val="22"/>
                <w:szCs w:val="22"/>
                <w:highlight w:val="none"/>
              </w:rPr>
            </w:pPr>
            <w:r>
              <w:rPr>
                <w:color w:val="auto"/>
                <w:kern w:val="0"/>
                <w:sz w:val="22"/>
                <w:szCs w:val="22"/>
                <w:highlight w:val="none"/>
              </w:rPr>
              <w:t>　　</w:t>
            </w:r>
          </w:p>
        </w:tc>
        <w:tc>
          <w:tcPr>
            <w:tcW w:w="764" w:type="dxa"/>
            <w:vMerge w:val="restart"/>
            <w:shd w:val="clear" w:color="auto" w:fill="auto"/>
            <w:vAlign w:val="center"/>
          </w:tcPr>
          <w:p>
            <w:pPr>
              <w:widowControl/>
              <w:spacing w:line="0" w:lineRule="atLeast"/>
              <w:jc w:val="center"/>
              <w:rPr>
                <w:color w:val="auto"/>
                <w:kern w:val="0"/>
                <w:sz w:val="22"/>
                <w:szCs w:val="22"/>
                <w:highlight w:val="none"/>
              </w:rPr>
            </w:pPr>
            <w:r>
              <w:rPr>
                <w:color w:val="auto"/>
                <w:kern w:val="0"/>
                <w:sz w:val="22"/>
                <w:szCs w:val="22"/>
                <w:highlight w:val="none"/>
              </w:rPr>
              <w:t>资金管理</w:t>
            </w:r>
          </w:p>
        </w:tc>
        <w:tc>
          <w:tcPr>
            <w:tcW w:w="873" w:type="dxa"/>
            <w:shd w:val="clear" w:color="auto" w:fill="auto"/>
            <w:vAlign w:val="center"/>
          </w:tcPr>
          <w:p>
            <w:pPr>
              <w:widowControl/>
              <w:spacing w:line="0" w:lineRule="atLeast"/>
              <w:jc w:val="center"/>
              <w:rPr>
                <w:color w:val="auto"/>
                <w:kern w:val="0"/>
                <w:sz w:val="22"/>
                <w:szCs w:val="22"/>
                <w:highlight w:val="none"/>
              </w:rPr>
            </w:pPr>
            <w:r>
              <w:rPr>
                <w:color w:val="auto"/>
                <w:kern w:val="0"/>
                <w:sz w:val="22"/>
                <w:szCs w:val="22"/>
                <w:highlight w:val="none"/>
              </w:rPr>
              <w:t>资金到位率</w:t>
            </w:r>
          </w:p>
        </w:tc>
        <w:tc>
          <w:tcPr>
            <w:tcW w:w="2353" w:type="dxa"/>
            <w:shd w:val="clear" w:color="auto" w:fill="auto"/>
            <w:vAlign w:val="center"/>
          </w:tcPr>
          <w:p>
            <w:pPr>
              <w:widowControl/>
              <w:spacing w:line="0" w:lineRule="atLeast"/>
              <w:rPr>
                <w:color w:val="auto"/>
                <w:kern w:val="0"/>
                <w:sz w:val="22"/>
                <w:szCs w:val="22"/>
                <w:highlight w:val="none"/>
              </w:rPr>
            </w:pPr>
            <w:r>
              <w:rPr>
                <w:color w:val="auto"/>
                <w:kern w:val="0"/>
                <w:sz w:val="22"/>
                <w:szCs w:val="22"/>
                <w:highlight w:val="none"/>
              </w:rPr>
              <w:t>实际到位资金与预算资金的比率，用以反映和考核资金落实情况对项目实施的总体保障程度。</w:t>
            </w:r>
          </w:p>
        </w:tc>
        <w:tc>
          <w:tcPr>
            <w:tcW w:w="5198" w:type="dxa"/>
            <w:shd w:val="clear" w:color="auto" w:fill="auto"/>
            <w:vAlign w:val="center"/>
          </w:tcPr>
          <w:p>
            <w:pPr>
              <w:widowControl/>
              <w:spacing w:line="0" w:lineRule="atLeast"/>
              <w:rPr>
                <w:color w:val="auto"/>
                <w:kern w:val="0"/>
                <w:sz w:val="22"/>
                <w:szCs w:val="22"/>
                <w:highlight w:val="none"/>
              </w:rPr>
            </w:pPr>
            <w:r>
              <w:rPr>
                <w:color w:val="auto"/>
                <w:kern w:val="0"/>
                <w:sz w:val="22"/>
                <w:szCs w:val="22"/>
                <w:highlight w:val="none"/>
              </w:rPr>
              <w:t>资金到位率=（实际到位资金/预算资金）×100%。</w:t>
            </w:r>
          </w:p>
          <w:p>
            <w:pPr>
              <w:widowControl/>
              <w:spacing w:line="0" w:lineRule="atLeast"/>
              <w:rPr>
                <w:color w:val="auto"/>
                <w:kern w:val="0"/>
                <w:sz w:val="22"/>
                <w:szCs w:val="22"/>
                <w:highlight w:val="none"/>
              </w:rPr>
            </w:pPr>
            <w:r>
              <w:rPr>
                <w:color w:val="auto"/>
                <w:kern w:val="0"/>
                <w:sz w:val="22"/>
                <w:szCs w:val="22"/>
                <w:highlight w:val="none"/>
              </w:rPr>
              <w:t>实际到位资金：一定时期（本年度或项目期）内落实到具体项目的资金。</w:t>
            </w:r>
          </w:p>
          <w:p>
            <w:pPr>
              <w:widowControl/>
              <w:spacing w:line="0" w:lineRule="atLeast"/>
              <w:rPr>
                <w:color w:val="auto"/>
                <w:kern w:val="0"/>
                <w:sz w:val="22"/>
                <w:szCs w:val="22"/>
                <w:highlight w:val="none"/>
              </w:rPr>
            </w:pPr>
            <w:r>
              <w:rPr>
                <w:color w:val="auto"/>
                <w:kern w:val="0"/>
                <w:sz w:val="22"/>
                <w:szCs w:val="22"/>
                <w:highlight w:val="none"/>
              </w:rPr>
              <w:t>预算资金：一定时期（本年度或项目期）内预算安排到具体项目的资金。</w:t>
            </w:r>
          </w:p>
        </w:tc>
        <w:tc>
          <w:tcPr>
            <w:tcW w:w="1300" w:type="dxa"/>
            <w:shd w:val="clear" w:color="auto" w:fill="auto"/>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1363" w:type="dxa"/>
            <w:shd w:val="clear" w:color="auto" w:fill="auto"/>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auto"/>
            <w:vAlign w:val="center"/>
          </w:tcPr>
          <w:p>
            <w:pPr>
              <w:spacing w:line="0" w:lineRule="atLeast"/>
              <w:jc w:val="center"/>
              <w:rPr>
                <w:color w:val="auto"/>
                <w:kern w:val="0"/>
                <w:sz w:val="22"/>
                <w:szCs w:val="22"/>
                <w:highlight w:val="none"/>
              </w:rPr>
            </w:pPr>
          </w:p>
        </w:tc>
        <w:tc>
          <w:tcPr>
            <w:tcW w:w="764" w:type="dxa"/>
            <w:vMerge w:val="continue"/>
            <w:shd w:val="clear" w:color="auto" w:fill="auto"/>
            <w:vAlign w:val="center"/>
          </w:tcPr>
          <w:p>
            <w:pPr>
              <w:spacing w:line="0" w:lineRule="atLeast"/>
              <w:jc w:val="center"/>
              <w:rPr>
                <w:color w:val="auto"/>
                <w:kern w:val="0"/>
                <w:sz w:val="22"/>
                <w:szCs w:val="22"/>
                <w:highlight w:val="none"/>
              </w:rPr>
            </w:pPr>
          </w:p>
        </w:tc>
        <w:tc>
          <w:tcPr>
            <w:tcW w:w="873" w:type="dxa"/>
            <w:shd w:val="clear" w:color="auto" w:fill="auto"/>
            <w:vAlign w:val="center"/>
          </w:tcPr>
          <w:p>
            <w:pPr>
              <w:widowControl/>
              <w:spacing w:line="0" w:lineRule="atLeast"/>
              <w:jc w:val="center"/>
              <w:rPr>
                <w:color w:val="auto"/>
                <w:kern w:val="0"/>
                <w:sz w:val="22"/>
                <w:szCs w:val="22"/>
                <w:highlight w:val="none"/>
              </w:rPr>
            </w:pPr>
            <w:r>
              <w:rPr>
                <w:color w:val="auto"/>
                <w:kern w:val="0"/>
                <w:sz w:val="22"/>
                <w:szCs w:val="22"/>
                <w:highlight w:val="none"/>
              </w:rPr>
              <w:t>预算执行率</w:t>
            </w:r>
          </w:p>
        </w:tc>
        <w:tc>
          <w:tcPr>
            <w:tcW w:w="2353" w:type="dxa"/>
            <w:shd w:val="clear" w:color="auto" w:fill="auto"/>
            <w:vAlign w:val="center"/>
          </w:tcPr>
          <w:p>
            <w:pPr>
              <w:widowControl/>
              <w:spacing w:line="0" w:lineRule="atLeast"/>
              <w:rPr>
                <w:color w:val="auto"/>
                <w:kern w:val="0"/>
                <w:sz w:val="22"/>
                <w:szCs w:val="22"/>
                <w:highlight w:val="none"/>
              </w:rPr>
            </w:pPr>
            <w:r>
              <w:rPr>
                <w:color w:val="auto"/>
                <w:kern w:val="0"/>
                <w:sz w:val="22"/>
                <w:szCs w:val="22"/>
                <w:highlight w:val="none"/>
              </w:rPr>
              <w:t>项目预算资金是否按照计划执行，用以反映或考核项目预算执行情况。</w:t>
            </w:r>
          </w:p>
        </w:tc>
        <w:tc>
          <w:tcPr>
            <w:tcW w:w="5198" w:type="dxa"/>
            <w:shd w:val="clear" w:color="auto" w:fill="auto"/>
            <w:vAlign w:val="center"/>
          </w:tcPr>
          <w:p>
            <w:pPr>
              <w:widowControl/>
              <w:spacing w:line="0" w:lineRule="atLeast"/>
              <w:rPr>
                <w:color w:val="auto"/>
                <w:kern w:val="0"/>
                <w:sz w:val="22"/>
                <w:szCs w:val="22"/>
                <w:highlight w:val="none"/>
              </w:rPr>
            </w:pPr>
            <w:r>
              <w:rPr>
                <w:color w:val="auto"/>
                <w:kern w:val="0"/>
                <w:sz w:val="22"/>
                <w:szCs w:val="22"/>
                <w:highlight w:val="none"/>
              </w:rPr>
              <w:t>预算执行率=（实际支出资金/实际到位资金）×100%。</w:t>
            </w:r>
            <w:r>
              <w:rPr>
                <w:color w:val="auto"/>
                <w:kern w:val="0"/>
                <w:sz w:val="22"/>
                <w:szCs w:val="22"/>
                <w:highlight w:val="none"/>
              </w:rPr>
              <w:br w:type="textWrapping"/>
            </w:r>
            <w:r>
              <w:rPr>
                <w:color w:val="auto"/>
                <w:kern w:val="0"/>
                <w:sz w:val="22"/>
                <w:szCs w:val="22"/>
                <w:highlight w:val="none"/>
              </w:rPr>
              <w:t>实际支出资金：一定时期（本年度或项目期）内项目实际拨付的资金。</w:t>
            </w:r>
          </w:p>
        </w:tc>
        <w:tc>
          <w:tcPr>
            <w:tcW w:w="1300" w:type="dxa"/>
            <w:shd w:val="clear" w:color="auto" w:fill="auto"/>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1363" w:type="dxa"/>
            <w:shd w:val="clear" w:color="auto" w:fill="auto"/>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auto"/>
            <w:vAlign w:val="center"/>
          </w:tcPr>
          <w:p>
            <w:pPr>
              <w:spacing w:line="0" w:lineRule="atLeast"/>
              <w:jc w:val="center"/>
              <w:rPr>
                <w:color w:val="auto"/>
                <w:kern w:val="0"/>
                <w:sz w:val="22"/>
                <w:szCs w:val="22"/>
                <w:highlight w:val="none"/>
              </w:rPr>
            </w:pPr>
          </w:p>
        </w:tc>
        <w:tc>
          <w:tcPr>
            <w:tcW w:w="764" w:type="dxa"/>
            <w:shd w:val="clear" w:color="auto" w:fill="auto"/>
            <w:vAlign w:val="center"/>
          </w:tcPr>
          <w:p>
            <w:pPr>
              <w:widowControl/>
              <w:spacing w:line="0" w:lineRule="atLeast"/>
              <w:jc w:val="center"/>
              <w:rPr>
                <w:color w:val="auto"/>
                <w:kern w:val="0"/>
                <w:sz w:val="22"/>
                <w:szCs w:val="22"/>
                <w:highlight w:val="none"/>
              </w:rPr>
            </w:pPr>
            <w:r>
              <w:rPr>
                <w:color w:val="auto"/>
                <w:kern w:val="0"/>
                <w:sz w:val="22"/>
                <w:szCs w:val="22"/>
                <w:highlight w:val="none"/>
              </w:rPr>
              <w:t>资金管理</w:t>
            </w:r>
          </w:p>
        </w:tc>
        <w:tc>
          <w:tcPr>
            <w:tcW w:w="873" w:type="dxa"/>
            <w:shd w:val="clear" w:color="auto" w:fill="auto"/>
            <w:vAlign w:val="center"/>
          </w:tcPr>
          <w:p>
            <w:pPr>
              <w:widowControl/>
              <w:spacing w:line="0" w:lineRule="atLeast"/>
              <w:jc w:val="center"/>
              <w:rPr>
                <w:color w:val="auto"/>
                <w:kern w:val="0"/>
                <w:sz w:val="22"/>
                <w:szCs w:val="22"/>
                <w:highlight w:val="none"/>
              </w:rPr>
            </w:pPr>
            <w:r>
              <w:rPr>
                <w:color w:val="auto"/>
                <w:kern w:val="0"/>
                <w:sz w:val="22"/>
                <w:szCs w:val="22"/>
                <w:highlight w:val="none"/>
              </w:rPr>
              <w:t>资金使用</w:t>
            </w:r>
          </w:p>
          <w:p>
            <w:pPr>
              <w:widowControl/>
              <w:spacing w:line="0" w:lineRule="atLeast"/>
              <w:jc w:val="center"/>
              <w:rPr>
                <w:color w:val="auto"/>
                <w:kern w:val="0"/>
                <w:sz w:val="22"/>
                <w:szCs w:val="22"/>
                <w:highlight w:val="none"/>
              </w:rPr>
            </w:pPr>
            <w:r>
              <w:rPr>
                <w:color w:val="auto"/>
                <w:kern w:val="0"/>
                <w:sz w:val="22"/>
                <w:szCs w:val="22"/>
                <w:highlight w:val="none"/>
              </w:rPr>
              <w:t>合规性</w:t>
            </w:r>
          </w:p>
        </w:tc>
        <w:tc>
          <w:tcPr>
            <w:tcW w:w="2353" w:type="dxa"/>
            <w:shd w:val="clear" w:color="auto" w:fill="auto"/>
            <w:vAlign w:val="center"/>
          </w:tcPr>
          <w:p>
            <w:pPr>
              <w:widowControl/>
              <w:spacing w:line="0" w:lineRule="atLeast"/>
              <w:rPr>
                <w:color w:val="auto"/>
                <w:kern w:val="0"/>
                <w:sz w:val="22"/>
                <w:szCs w:val="22"/>
                <w:highlight w:val="none"/>
              </w:rPr>
            </w:pPr>
            <w:r>
              <w:rPr>
                <w:color w:val="auto"/>
                <w:kern w:val="0"/>
                <w:sz w:val="22"/>
                <w:szCs w:val="22"/>
                <w:highlight w:val="none"/>
              </w:rPr>
              <w:t>项目资金使用是否符合相关的财务管理制度规定，用以反映和考核项目资金的规范运行情况。</w:t>
            </w:r>
          </w:p>
        </w:tc>
        <w:tc>
          <w:tcPr>
            <w:tcW w:w="5198" w:type="dxa"/>
            <w:shd w:val="clear" w:color="auto" w:fill="auto"/>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①是否符合国家财经法规和财务管理制度以及有关专项资金管理办法的规定；</w:t>
            </w:r>
            <w:r>
              <w:rPr>
                <w:color w:val="auto"/>
                <w:kern w:val="0"/>
                <w:sz w:val="22"/>
                <w:szCs w:val="22"/>
                <w:highlight w:val="none"/>
              </w:rPr>
              <w:br w:type="textWrapping"/>
            </w:r>
            <w:r>
              <w:rPr>
                <w:color w:val="auto"/>
                <w:kern w:val="0"/>
                <w:sz w:val="22"/>
                <w:szCs w:val="22"/>
                <w:highlight w:val="none"/>
              </w:rPr>
              <w:t>②资金的拨付是否有完整的审批程序和手续；</w:t>
            </w:r>
            <w:r>
              <w:rPr>
                <w:color w:val="auto"/>
                <w:kern w:val="0"/>
                <w:sz w:val="22"/>
                <w:szCs w:val="22"/>
                <w:highlight w:val="none"/>
              </w:rPr>
              <w:br w:type="textWrapping"/>
            </w:r>
            <w:r>
              <w:rPr>
                <w:color w:val="auto"/>
                <w:kern w:val="0"/>
                <w:sz w:val="22"/>
                <w:szCs w:val="22"/>
                <w:highlight w:val="none"/>
              </w:rPr>
              <w:t>③是否符合项目预算批复或合同规定的用途；</w:t>
            </w:r>
            <w:r>
              <w:rPr>
                <w:color w:val="auto"/>
                <w:kern w:val="0"/>
                <w:sz w:val="22"/>
                <w:szCs w:val="22"/>
                <w:highlight w:val="none"/>
              </w:rPr>
              <w:br w:type="textWrapping"/>
            </w:r>
            <w:r>
              <w:rPr>
                <w:color w:val="auto"/>
                <w:kern w:val="0"/>
                <w:sz w:val="22"/>
                <w:szCs w:val="22"/>
                <w:highlight w:val="none"/>
              </w:rPr>
              <w:t>④是否存在截留、挤占、挪用、虚列支出等情况。</w:t>
            </w:r>
          </w:p>
        </w:tc>
        <w:tc>
          <w:tcPr>
            <w:tcW w:w="1300" w:type="dxa"/>
            <w:shd w:val="clear" w:color="auto" w:fill="auto"/>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1363" w:type="dxa"/>
            <w:shd w:val="clear" w:color="auto" w:fill="auto"/>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auto"/>
            <w:vAlign w:val="center"/>
          </w:tcPr>
          <w:p>
            <w:pPr>
              <w:spacing w:line="0" w:lineRule="atLeast"/>
              <w:jc w:val="center"/>
              <w:rPr>
                <w:color w:val="auto"/>
                <w:kern w:val="0"/>
                <w:sz w:val="22"/>
                <w:szCs w:val="22"/>
                <w:highlight w:val="none"/>
              </w:rPr>
            </w:pPr>
          </w:p>
        </w:tc>
        <w:tc>
          <w:tcPr>
            <w:tcW w:w="764" w:type="dxa"/>
            <w:vMerge w:val="restart"/>
            <w:shd w:val="clear" w:color="auto" w:fill="auto"/>
            <w:vAlign w:val="center"/>
          </w:tcPr>
          <w:p>
            <w:pPr>
              <w:widowControl/>
              <w:spacing w:line="0" w:lineRule="atLeast"/>
              <w:jc w:val="center"/>
              <w:rPr>
                <w:color w:val="auto"/>
                <w:kern w:val="0"/>
                <w:sz w:val="22"/>
                <w:szCs w:val="22"/>
                <w:highlight w:val="none"/>
              </w:rPr>
            </w:pPr>
            <w:r>
              <w:rPr>
                <w:color w:val="auto"/>
                <w:kern w:val="0"/>
                <w:sz w:val="22"/>
                <w:szCs w:val="22"/>
                <w:highlight w:val="none"/>
              </w:rPr>
              <w:t>组织实施</w:t>
            </w:r>
          </w:p>
          <w:p>
            <w:pPr>
              <w:spacing w:line="0" w:lineRule="atLeast"/>
              <w:jc w:val="center"/>
              <w:rPr>
                <w:color w:val="auto"/>
                <w:kern w:val="0"/>
                <w:sz w:val="22"/>
                <w:szCs w:val="22"/>
                <w:highlight w:val="none"/>
              </w:rPr>
            </w:pPr>
            <w:r>
              <w:rPr>
                <w:color w:val="auto"/>
                <w:kern w:val="0"/>
                <w:sz w:val="22"/>
                <w:szCs w:val="22"/>
                <w:highlight w:val="none"/>
              </w:rPr>
              <w:t>　</w:t>
            </w:r>
          </w:p>
        </w:tc>
        <w:tc>
          <w:tcPr>
            <w:tcW w:w="873" w:type="dxa"/>
            <w:shd w:val="clear" w:color="auto" w:fill="auto"/>
            <w:vAlign w:val="center"/>
          </w:tcPr>
          <w:p>
            <w:pPr>
              <w:widowControl/>
              <w:spacing w:line="0" w:lineRule="atLeast"/>
              <w:jc w:val="center"/>
              <w:rPr>
                <w:color w:val="auto"/>
                <w:kern w:val="0"/>
                <w:sz w:val="22"/>
                <w:szCs w:val="22"/>
                <w:highlight w:val="none"/>
              </w:rPr>
            </w:pPr>
            <w:r>
              <w:rPr>
                <w:color w:val="auto"/>
                <w:kern w:val="0"/>
                <w:sz w:val="22"/>
                <w:szCs w:val="22"/>
                <w:highlight w:val="none"/>
              </w:rPr>
              <w:t>管理制度</w:t>
            </w:r>
          </w:p>
          <w:p>
            <w:pPr>
              <w:widowControl/>
              <w:spacing w:line="0" w:lineRule="atLeast"/>
              <w:jc w:val="center"/>
              <w:rPr>
                <w:color w:val="auto"/>
                <w:kern w:val="0"/>
                <w:sz w:val="22"/>
                <w:szCs w:val="22"/>
                <w:highlight w:val="none"/>
              </w:rPr>
            </w:pPr>
            <w:r>
              <w:rPr>
                <w:color w:val="auto"/>
                <w:kern w:val="0"/>
                <w:sz w:val="22"/>
                <w:szCs w:val="22"/>
                <w:highlight w:val="none"/>
              </w:rPr>
              <w:t>健全性</w:t>
            </w:r>
          </w:p>
        </w:tc>
        <w:tc>
          <w:tcPr>
            <w:tcW w:w="2353" w:type="dxa"/>
            <w:shd w:val="clear" w:color="auto" w:fill="auto"/>
            <w:vAlign w:val="center"/>
          </w:tcPr>
          <w:p>
            <w:pPr>
              <w:widowControl/>
              <w:spacing w:line="0" w:lineRule="atLeast"/>
              <w:rPr>
                <w:color w:val="auto"/>
                <w:kern w:val="0"/>
                <w:sz w:val="22"/>
                <w:szCs w:val="22"/>
                <w:highlight w:val="none"/>
              </w:rPr>
            </w:pPr>
            <w:r>
              <w:rPr>
                <w:color w:val="auto"/>
                <w:kern w:val="0"/>
                <w:sz w:val="22"/>
                <w:szCs w:val="22"/>
                <w:highlight w:val="none"/>
              </w:rPr>
              <w:t>项目实施单位的财务和业务管理制度是否健全，用以反映和考核财务和业务管理制度对项目顺利实施的保障情况。</w:t>
            </w:r>
          </w:p>
        </w:tc>
        <w:tc>
          <w:tcPr>
            <w:tcW w:w="5198" w:type="dxa"/>
            <w:shd w:val="clear" w:color="auto" w:fill="auto"/>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①是否已制定或具有相应的财务和业务管理制度；</w:t>
            </w:r>
            <w:r>
              <w:rPr>
                <w:color w:val="auto"/>
                <w:kern w:val="0"/>
                <w:sz w:val="22"/>
                <w:szCs w:val="22"/>
                <w:highlight w:val="none"/>
              </w:rPr>
              <w:br w:type="textWrapping"/>
            </w:r>
            <w:r>
              <w:rPr>
                <w:color w:val="auto"/>
                <w:kern w:val="0"/>
                <w:sz w:val="22"/>
                <w:szCs w:val="22"/>
                <w:highlight w:val="none"/>
              </w:rPr>
              <w:t>②财务和业务管理制度是否合法、合规、完整。</w:t>
            </w:r>
          </w:p>
        </w:tc>
        <w:tc>
          <w:tcPr>
            <w:tcW w:w="1300" w:type="dxa"/>
            <w:shd w:val="clear" w:color="auto" w:fill="auto"/>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1363" w:type="dxa"/>
            <w:shd w:val="clear" w:color="auto" w:fill="auto"/>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3.5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auto"/>
            <w:vAlign w:val="center"/>
          </w:tcPr>
          <w:p>
            <w:pPr>
              <w:widowControl/>
              <w:spacing w:line="0" w:lineRule="atLeast"/>
              <w:jc w:val="center"/>
              <w:rPr>
                <w:color w:val="auto"/>
                <w:kern w:val="0"/>
                <w:sz w:val="22"/>
                <w:szCs w:val="22"/>
                <w:highlight w:val="none"/>
              </w:rPr>
            </w:pPr>
          </w:p>
        </w:tc>
        <w:tc>
          <w:tcPr>
            <w:tcW w:w="764" w:type="dxa"/>
            <w:vMerge w:val="continue"/>
            <w:shd w:val="clear" w:color="auto" w:fill="auto"/>
            <w:vAlign w:val="center"/>
          </w:tcPr>
          <w:p>
            <w:pPr>
              <w:widowControl/>
              <w:spacing w:line="0" w:lineRule="atLeast"/>
              <w:jc w:val="center"/>
              <w:rPr>
                <w:color w:val="auto"/>
                <w:kern w:val="0"/>
                <w:sz w:val="22"/>
                <w:szCs w:val="22"/>
                <w:highlight w:val="none"/>
              </w:rPr>
            </w:pPr>
          </w:p>
        </w:tc>
        <w:tc>
          <w:tcPr>
            <w:tcW w:w="873" w:type="dxa"/>
            <w:shd w:val="clear" w:color="auto" w:fill="auto"/>
            <w:vAlign w:val="center"/>
          </w:tcPr>
          <w:p>
            <w:pPr>
              <w:widowControl/>
              <w:spacing w:line="0" w:lineRule="atLeast"/>
              <w:jc w:val="center"/>
              <w:rPr>
                <w:color w:val="auto"/>
                <w:kern w:val="0"/>
                <w:sz w:val="22"/>
                <w:szCs w:val="22"/>
                <w:highlight w:val="none"/>
              </w:rPr>
            </w:pPr>
            <w:r>
              <w:rPr>
                <w:color w:val="auto"/>
                <w:kern w:val="0"/>
                <w:sz w:val="22"/>
                <w:szCs w:val="22"/>
                <w:highlight w:val="none"/>
              </w:rPr>
              <w:t>制度执行</w:t>
            </w:r>
          </w:p>
          <w:p>
            <w:pPr>
              <w:widowControl/>
              <w:spacing w:line="0" w:lineRule="atLeast"/>
              <w:jc w:val="center"/>
              <w:rPr>
                <w:color w:val="auto"/>
                <w:kern w:val="0"/>
                <w:sz w:val="22"/>
                <w:szCs w:val="22"/>
                <w:highlight w:val="none"/>
              </w:rPr>
            </w:pPr>
            <w:r>
              <w:rPr>
                <w:color w:val="auto"/>
                <w:kern w:val="0"/>
                <w:sz w:val="22"/>
                <w:szCs w:val="22"/>
                <w:highlight w:val="none"/>
              </w:rPr>
              <w:t>有效性</w:t>
            </w:r>
          </w:p>
        </w:tc>
        <w:tc>
          <w:tcPr>
            <w:tcW w:w="2353" w:type="dxa"/>
            <w:shd w:val="clear" w:color="auto" w:fill="auto"/>
            <w:vAlign w:val="center"/>
          </w:tcPr>
          <w:p>
            <w:pPr>
              <w:widowControl/>
              <w:spacing w:line="0" w:lineRule="atLeast"/>
              <w:rPr>
                <w:color w:val="auto"/>
                <w:kern w:val="0"/>
                <w:sz w:val="22"/>
                <w:szCs w:val="22"/>
                <w:highlight w:val="none"/>
              </w:rPr>
            </w:pPr>
            <w:r>
              <w:rPr>
                <w:color w:val="auto"/>
                <w:kern w:val="0"/>
                <w:sz w:val="22"/>
                <w:szCs w:val="22"/>
                <w:highlight w:val="none"/>
              </w:rPr>
              <w:t>项目实施是否符合相关管理规定，用以反映和考核相关管理制度的有效执行情况。</w:t>
            </w:r>
          </w:p>
        </w:tc>
        <w:tc>
          <w:tcPr>
            <w:tcW w:w="5198" w:type="dxa"/>
            <w:shd w:val="clear" w:color="auto" w:fill="auto"/>
            <w:vAlign w:val="center"/>
          </w:tcPr>
          <w:p>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①是否遵守相关法律法规和相关管理规定；</w:t>
            </w:r>
            <w:r>
              <w:rPr>
                <w:color w:val="auto"/>
                <w:kern w:val="0"/>
                <w:sz w:val="22"/>
                <w:szCs w:val="22"/>
                <w:highlight w:val="none"/>
              </w:rPr>
              <w:br w:type="textWrapping"/>
            </w:r>
            <w:r>
              <w:rPr>
                <w:color w:val="auto"/>
                <w:kern w:val="0"/>
                <w:sz w:val="22"/>
                <w:szCs w:val="22"/>
                <w:highlight w:val="none"/>
              </w:rPr>
              <w:t>②项目调整及支出调整手续是否完备；</w:t>
            </w:r>
            <w:r>
              <w:rPr>
                <w:color w:val="auto"/>
                <w:kern w:val="0"/>
                <w:sz w:val="22"/>
                <w:szCs w:val="22"/>
                <w:highlight w:val="none"/>
              </w:rPr>
              <w:br w:type="textWrapping"/>
            </w:r>
            <w:r>
              <w:rPr>
                <w:color w:val="auto"/>
                <w:kern w:val="0"/>
                <w:sz w:val="22"/>
                <w:szCs w:val="22"/>
                <w:highlight w:val="none"/>
              </w:rPr>
              <w:t>③项目合同书、验收报告、技术鉴定等资料是否齐全并及时归档；</w:t>
            </w:r>
            <w:r>
              <w:rPr>
                <w:color w:val="auto"/>
                <w:kern w:val="0"/>
                <w:sz w:val="22"/>
                <w:szCs w:val="22"/>
                <w:highlight w:val="none"/>
              </w:rPr>
              <w:br w:type="textWrapping"/>
            </w:r>
            <w:r>
              <w:rPr>
                <w:color w:val="auto"/>
                <w:kern w:val="0"/>
                <w:sz w:val="22"/>
                <w:szCs w:val="22"/>
                <w:highlight w:val="none"/>
              </w:rPr>
              <w:t>④项目实施的人员条件、场地设备、信息支撑等是否落实到位。</w:t>
            </w:r>
          </w:p>
        </w:tc>
        <w:tc>
          <w:tcPr>
            <w:tcW w:w="1300" w:type="dxa"/>
            <w:shd w:val="clear" w:color="auto" w:fill="auto"/>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1363" w:type="dxa"/>
            <w:shd w:val="clear" w:color="auto" w:fill="auto"/>
            <w:vAlign w:val="center"/>
          </w:tcPr>
          <w:p>
            <w:pPr>
              <w:widowControl/>
              <w:spacing w:line="0" w:lineRule="atLeast"/>
              <w:jc w:val="center"/>
              <w:rPr>
                <w:rFonts w:hint="eastAsia" w:eastAsia="仿宋_GB2312"/>
                <w:b/>
                <w:bCs/>
                <w:color w:val="auto"/>
                <w:kern w:val="0"/>
                <w:sz w:val="22"/>
                <w:szCs w:val="22"/>
                <w:highlight w:val="none"/>
                <w:lang w:eastAsia="zh-CN"/>
              </w:rPr>
            </w:pPr>
            <w:r>
              <w:rPr>
                <w:rFonts w:hint="eastAsia"/>
                <w:b/>
                <w:bCs/>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Ex>
        <w:trPr>
          <w:trHeight w:val="1917" w:hRule="atLeast"/>
          <w:jc w:val="center"/>
        </w:trPr>
        <w:tc>
          <w:tcPr>
            <w:tcW w:w="832" w:type="dxa"/>
            <w:vMerge w:val="restart"/>
            <w:shd w:val="clear" w:color="auto" w:fill="auto"/>
            <w:vAlign w:val="center"/>
          </w:tcPr>
          <w:p>
            <w:pPr>
              <w:widowControl/>
              <w:spacing w:line="0" w:lineRule="atLeast"/>
              <w:jc w:val="center"/>
              <w:rPr>
                <w:color w:val="auto"/>
                <w:kern w:val="0"/>
                <w:sz w:val="22"/>
                <w:szCs w:val="22"/>
                <w:highlight w:val="none"/>
              </w:rPr>
            </w:pPr>
            <w:r>
              <w:rPr>
                <w:color w:val="auto"/>
                <w:kern w:val="0"/>
                <w:sz w:val="22"/>
                <w:szCs w:val="22"/>
                <w:highlight w:val="none"/>
              </w:rPr>
              <w:t>产出</w:t>
            </w:r>
          </w:p>
        </w:tc>
        <w:tc>
          <w:tcPr>
            <w:tcW w:w="764" w:type="dxa"/>
            <w:shd w:val="clear" w:color="auto" w:fill="auto"/>
            <w:vAlign w:val="center"/>
          </w:tcPr>
          <w:p>
            <w:pPr>
              <w:widowControl/>
              <w:spacing w:line="0" w:lineRule="atLeast"/>
              <w:jc w:val="center"/>
              <w:rPr>
                <w:color w:val="auto"/>
                <w:kern w:val="0"/>
                <w:sz w:val="22"/>
                <w:szCs w:val="22"/>
                <w:highlight w:val="none"/>
              </w:rPr>
            </w:pPr>
            <w:r>
              <w:rPr>
                <w:color w:val="auto"/>
                <w:kern w:val="0"/>
                <w:sz w:val="22"/>
                <w:szCs w:val="22"/>
                <w:highlight w:val="none"/>
              </w:rPr>
              <w:t>产出数量</w:t>
            </w:r>
          </w:p>
        </w:tc>
        <w:tc>
          <w:tcPr>
            <w:tcW w:w="873" w:type="dxa"/>
            <w:shd w:val="clear" w:color="auto" w:fill="auto"/>
            <w:vAlign w:val="center"/>
          </w:tcPr>
          <w:p>
            <w:pPr>
              <w:widowControl/>
              <w:spacing w:line="0" w:lineRule="atLeast"/>
              <w:jc w:val="center"/>
              <w:rPr>
                <w:color w:val="auto"/>
                <w:kern w:val="0"/>
                <w:sz w:val="22"/>
                <w:szCs w:val="22"/>
                <w:highlight w:val="none"/>
              </w:rPr>
            </w:pPr>
            <w:r>
              <w:rPr>
                <w:color w:val="auto"/>
                <w:kern w:val="0"/>
                <w:sz w:val="22"/>
                <w:szCs w:val="22"/>
                <w:highlight w:val="none"/>
              </w:rPr>
              <w:t>实际完成率</w:t>
            </w:r>
          </w:p>
        </w:tc>
        <w:tc>
          <w:tcPr>
            <w:tcW w:w="2353" w:type="dxa"/>
            <w:shd w:val="clear" w:color="auto" w:fill="auto"/>
            <w:vAlign w:val="center"/>
          </w:tcPr>
          <w:p>
            <w:pPr>
              <w:widowControl/>
              <w:spacing w:line="0" w:lineRule="atLeast"/>
              <w:rPr>
                <w:color w:val="auto"/>
                <w:kern w:val="0"/>
                <w:sz w:val="22"/>
                <w:szCs w:val="22"/>
                <w:highlight w:val="none"/>
              </w:rPr>
            </w:pPr>
            <w:r>
              <w:rPr>
                <w:color w:val="auto"/>
                <w:kern w:val="0"/>
                <w:sz w:val="22"/>
                <w:szCs w:val="22"/>
                <w:highlight w:val="none"/>
              </w:rPr>
              <w:t>项目实施的实际产出数与计划产出数的比率，用以反映和考核项目产出数量目标的实现程度。</w:t>
            </w:r>
          </w:p>
        </w:tc>
        <w:tc>
          <w:tcPr>
            <w:tcW w:w="5198" w:type="dxa"/>
            <w:shd w:val="clear" w:color="auto" w:fill="auto"/>
            <w:vAlign w:val="center"/>
          </w:tcPr>
          <w:p>
            <w:pPr>
              <w:widowControl/>
              <w:spacing w:line="0" w:lineRule="atLeast"/>
              <w:rPr>
                <w:color w:val="auto"/>
                <w:kern w:val="0"/>
                <w:sz w:val="22"/>
                <w:szCs w:val="22"/>
                <w:highlight w:val="none"/>
              </w:rPr>
            </w:pPr>
            <w:r>
              <w:rPr>
                <w:color w:val="auto"/>
                <w:kern w:val="0"/>
                <w:sz w:val="22"/>
                <w:szCs w:val="22"/>
                <w:highlight w:val="none"/>
              </w:rPr>
              <w:t>实际完成率=（实际产出数/计划产出数）×100%。</w:t>
            </w:r>
            <w:r>
              <w:rPr>
                <w:color w:val="auto"/>
                <w:kern w:val="0"/>
                <w:sz w:val="22"/>
                <w:szCs w:val="22"/>
                <w:highlight w:val="none"/>
              </w:rPr>
              <w:br w:type="textWrapping"/>
            </w:r>
            <w:r>
              <w:rPr>
                <w:color w:val="auto"/>
                <w:kern w:val="0"/>
                <w:sz w:val="22"/>
                <w:szCs w:val="22"/>
                <w:highlight w:val="none"/>
              </w:rPr>
              <w:t>实际产出数：一定时期（本年度或项目期）内项目实际产出的产品或提供的服务数量。</w:t>
            </w:r>
            <w:r>
              <w:rPr>
                <w:color w:val="auto"/>
                <w:kern w:val="0"/>
                <w:sz w:val="22"/>
                <w:szCs w:val="22"/>
                <w:highlight w:val="none"/>
              </w:rPr>
              <w:br w:type="textWrapping"/>
            </w:r>
            <w:r>
              <w:rPr>
                <w:color w:val="auto"/>
                <w:kern w:val="0"/>
                <w:sz w:val="22"/>
                <w:szCs w:val="22"/>
                <w:highlight w:val="none"/>
              </w:rPr>
              <w:t>计划产出数：项目绩效目标确定的在一定时期（本年度或项目期）内计划产出的产品或提供的服务数量。</w:t>
            </w:r>
          </w:p>
        </w:tc>
        <w:tc>
          <w:tcPr>
            <w:tcW w:w="1300" w:type="dxa"/>
            <w:shd w:val="clear" w:color="auto" w:fill="auto"/>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1363" w:type="dxa"/>
            <w:shd w:val="clear" w:color="auto" w:fill="auto"/>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auto"/>
            <w:vAlign w:val="center"/>
          </w:tcPr>
          <w:p>
            <w:pPr>
              <w:widowControl/>
              <w:spacing w:line="0" w:lineRule="atLeast"/>
              <w:jc w:val="center"/>
              <w:rPr>
                <w:color w:val="auto"/>
                <w:kern w:val="0"/>
                <w:sz w:val="22"/>
                <w:szCs w:val="22"/>
                <w:highlight w:val="none"/>
              </w:rPr>
            </w:pPr>
          </w:p>
        </w:tc>
        <w:tc>
          <w:tcPr>
            <w:tcW w:w="764" w:type="dxa"/>
            <w:shd w:val="clear" w:color="auto" w:fill="auto"/>
            <w:vAlign w:val="center"/>
          </w:tcPr>
          <w:p>
            <w:pPr>
              <w:widowControl/>
              <w:spacing w:line="0" w:lineRule="atLeast"/>
              <w:jc w:val="center"/>
              <w:rPr>
                <w:color w:val="auto"/>
                <w:kern w:val="0"/>
                <w:sz w:val="22"/>
                <w:szCs w:val="22"/>
                <w:highlight w:val="none"/>
              </w:rPr>
            </w:pPr>
            <w:r>
              <w:rPr>
                <w:color w:val="auto"/>
                <w:kern w:val="0"/>
                <w:sz w:val="22"/>
                <w:szCs w:val="22"/>
                <w:highlight w:val="none"/>
              </w:rPr>
              <w:t>产出质量</w:t>
            </w:r>
          </w:p>
        </w:tc>
        <w:tc>
          <w:tcPr>
            <w:tcW w:w="873" w:type="dxa"/>
            <w:shd w:val="clear" w:color="auto" w:fill="auto"/>
            <w:vAlign w:val="center"/>
          </w:tcPr>
          <w:p>
            <w:pPr>
              <w:widowControl/>
              <w:spacing w:line="0" w:lineRule="atLeast"/>
              <w:jc w:val="center"/>
              <w:rPr>
                <w:color w:val="auto"/>
                <w:kern w:val="0"/>
                <w:sz w:val="22"/>
                <w:szCs w:val="22"/>
                <w:highlight w:val="none"/>
              </w:rPr>
            </w:pPr>
            <w:r>
              <w:rPr>
                <w:color w:val="auto"/>
                <w:kern w:val="0"/>
                <w:sz w:val="22"/>
                <w:szCs w:val="22"/>
                <w:highlight w:val="none"/>
              </w:rPr>
              <w:t>质量达标率</w:t>
            </w:r>
          </w:p>
        </w:tc>
        <w:tc>
          <w:tcPr>
            <w:tcW w:w="2353" w:type="dxa"/>
            <w:shd w:val="clear" w:color="auto" w:fill="auto"/>
            <w:vAlign w:val="center"/>
          </w:tcPr>
          <w:p>
            <w:pPr>
              <w:widowControl/>
              <w:spacing w:line="0" w:lineRule="atLeast"/>
              <w:rPr>
                <w:color w:val="auto"/>
                <w:kern w:val="0"/>
                <w:sz w:val="22"/>
                <w:szCs w:val="22"/>
                <w:highlight w:val="none"/>
              </w:rPr>
            </w:pPr>
            <w:r>
              <w:rPr>
                <w:color w:val="auto"/>
                <w:kern w:val="0"/>
                <w:sz w:val="22"/>
                <w:szCs w:val="22"/>
                <w:highlight w:val="none"/>
              </w:rPr>
              <w:t>项目完成的质量达标产出数与实际产出数的比率，用以反映和考核项目产出质量目标的实现程度。</w:t>
            </w:r>
          </w:p>
        </w:tc>
        <w:tc>
          <w:tcPr>
            <w:tcW w:w="5198" w:type="dxa"/>
            <w:shd w:val="clear" w:color="auto" w:fill="auto"/>
            <w:vAlign w:val="center"/>
          </w:tcPr>
          <w:p>
            <w:pPr>
              <w:widowControl/>
              <w:spacing w:line="0" w:lineRule="atLeast"/>
              <w:rPr>
                <w:color w:val="auto"/>
                <w:kern w:val="0"/>
                <w:sz w:val="22"/>
                <w:szCs w:val="22"/>
                <w:highlight w:val="none"/>
              </w:rPr>
            </w:pPr>
            <w:r>
              <w:rPr>
                <w:color w:val="auto"/>
                <w:kern w:val="0"/>
                <w:sz w:val="22"/>
                <w:szCs w:val="22"/>
                <w:highlight w:val="none"/>
              </w:rPr>
              <w:t>质量达标率=（质量达标产出数/实际产出数）×100%。</w:t>
            </w:r>
          </w:p>
          <w:p>
            <w:pPr>
              <w:widowControl/>
              <w:spacing w:line="0" w:lineRule="atLeast"/>
              <w:rPr>
                <w:color w:val="auto"/>
                <w:kern w:val="0"/>
                <w:sz w:val="22"/>
                <w:szCs w:val="22"/>
                <w:highlight w:val="none"/>
              </w:rPr>
            </w:pPr>
            <w:r>
              <w:rPr>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auto" w:fill="auto"/>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1363" w:type="dxa"/>
            <w:shd w:val="clear" w:color="auto" w:fill="auto"/>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auto"/>
            <w:vAlign w:val="center"/>
          </w:tcPr>
          <w:p>
            <w:pPr>
              <w:spacing w:line="0" w:lineRule="atLeast"/>
              <w:jc w:val="center"/>
              <w:rPr>
                <w:color w:val="auto"/>
                <w:kern w:val="0"/>
                <w:sz w:val="22"/>
                <w:szCs w:val="22"/>
                <w:highlight w:val="none"/>
              </w:rPr>
            </w:pPr>
          </w:p>
        </w:tc>
        <w:tc>
          <w:tcPr>
            <w:tcW w:w="764" w:type="dxa"/>
            <w:shd w:val="clear" w:color="auto" w:fill="auto"/>
            <w:vAlign w:val="center"/>
          </w:tcPr>
          <w:p>
            <w:pPr>
              <w:spacing w:line="0" w:lineRule="atLeast"/>
              <w:jc w:val="center"/>
              <w:rPr>
                <w:color w:val="auto"/>
                <w:kern w:val="0"/>
                <w:sz w:val="22"/>
                <w:szCs w:val="22"/>
                <w:highlight w:val="none"/>
              </w:rPr>
            </w:pPr>
            <w:r>
              <w:rPr>
                <w:color w:val="auto"/>
                <w:kern w:val="0"/>
                <w:sz w:val="22"/>
                <w:szCs w:val="22"/>
                <w:highlight w:val="none"/>
              </w:rPr>
              <w:t>产出时效</w:t>
            </w:r>
          </w:p>
        </w:tc>
        <w:tc>
          <w:tcPr>
            <w:tcW w:w="873" w:type="dxa"/>
            <w:shd w:val="clear" w:color="auto" w:fill="auto"/>
            <w:vAlign w:val="center"/>
          </w:tcPr>
          <w:p>
            <w:pPr>
              <w:widowControl/>
              <w:spacing w:line="0" w:lineRule="atLeast"/>
              <w:jc w:val="center"/>
              <w:rPr>
                <w:color w:val="auto"/>
                <w:kern w:val="0"/>
                <w:sz w:val="22"/>
                <w:szCs w:val="22"/>
                <w:highlight w:val="none"/>
              </w:rPr>
            </w:pPr>
            <w:r>
              <w:rPr>
                <w:color w:val="auto"/>
                <w:kern w:val="0"/>
                <w:sz w:val="22"/>
                <w:szCs w:val="22"/>
                <w:highlight w:val="none"/>
              </w:rPr>
              <w:t>完成及时性</w:t>
            </w:r>
          </w:p>
        </w:tc>
        <w:tc>
          <w:tcPr>
            <w:tcW w:w="2353" w:type="dxa"/>
            <w:shd w:val="clear" w:color="auto" w:fill="auto"/>
            <w:vAlign w:val="center"/>
          </w:tcPr>
          <w:p>
            <w:pPr>
              <w:widowControl/>
              <w:spacing w:line="0" w:lineRule="atLeast"/>
              <w:rPr>
                <w:color w:val="auto"/>
                <w:kern w:val="0"/>
                <w:sz w:val="22"/>
                <w:szCs w:val="22"/>
                <w:highlight w:val="none"/>
              </w:rPr>
            </w:pPr>
            <w:r>
              <w:rPr>
                <w:color w:val="auto"/>
                <w:kern w:val="0"/>
                <w:sz w:val="22"/>
                <w:szCs w:val="22"/>
                <w:highlight w:val="none"/>
              </w:rPr>
              <w:t>项目实际完成时间与计划完成时间的比较，用以反映和考核项目产出时效目标的实现程度。</w:t>
            </w:r>
          </w:p>
        </w:tc>
        <w:tc>
          <w:tcPr>
            <w:tcW w:w="5198" w:type="dxa"/>
            <w:shd w:val="clear" w:color="auto" w:fill="auto"/>
            <w:vAlign w:val="center"/>
          </w:tcPr>
          <w:p>
            <w:pPr>
              <w:widowControl/>
              <w:spacing w:line="0" w:lineRule="atLeast"/>
              <w:rPr>
                <w:color w:val="auto"/>
                <w:kern w:val="0"/>
                <w:sz w:val="22"/>
                <w:szCs w:val="22"/>
                <w:highlight w:val="none"/>
              </w:rPr>
            </w:pPr>
            <w:r>
              <w:rPr>
                <w:color w:val="auto"/>
                <w:kern w:val="0"/>
                <w:sz w:val="22"/>
                <w:szCs w:val="22"/>
                <w:highlight w:val="none"/>
              </w:rPr>
              <w:t>实际完成时间：项目实施单位完成该项目实际所耗用的时间。</w:t>
            </w:r>
            <w:r>
              <w:rPr>
                <w:color w:val="auto"/>
                <w:kern w:val="0"/>
                <w:sz w:val="22"/>
                <w:szCs w:val="22"/>
                <w:highlight w:val="none"/>
              </w:rPr>
              <w:br w:type="textWrapping"/>
            </w:r>
            <w:r>
              <w:rPr>
                <w:color w:val="auto"/>
                <w:kern w:val="0"/>
                <w:sz w:val="22"/>
                <w:szCs w:val="22"/>
                <w:highlight w:val="none"/>
              </w:rPr>
              <w:t>计划完成时间：按照项目实施计划或相关规定完成该项目所需的时间。</w:t>
            </w:r>
          </w:p>
        </w:tc>
        <w:tc>
          <w:tcPr>
            <w:tcW w:w="1300" w:type="dxa"/>
            <w:shd w:val="clear" w:color="auto" w:fill="auto"/>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1363" w:type="dxa"/>
            <w:shd w:val="clear" w:color="auto" w:fill="auto"/>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auto"/>
            <w:vAlign w:val="center"/>
          </w:tcPr>
          <w:p>
            <w:pPr>
              <w:widowControl/>
              <w:spacing w:line="0" w:lineRule="atLeast"/>
              <w:jc w:val="center"/>
              <w:rPr>
                <w:color w:val="auto"/>
                <w:kern w:val="0"/>
                <w:sz w:val="22"/>
                <w:szCs w:val="22"/>
                <w:highlight w:val="none"/>
              </w:rPr>
            </w:pPr>
          </w:p>
        </w:tc>
        <w:tc>
          <w:tcPr>
            <w:tcW w:w="764" w:type="dxa"/>
            <w:shd w:val="clear" w:color="auto" w:fill="auto"/>
            <w:vAlign w:val="center"/>
          </w:tcPr>
          <w:p>
            <w:pPr>
              <w:widowControl/>
              <w:spacing w:line="0" w:lineRule="atLeast"/>
              <w:jc w:val="center"/>
              <w:rPr>
                <w:color w:val="auto"/>
                <w:kern w:val="0"/>
                <w:sz w:val="22"/>
                <w:szCs w:val="22"/>
                <w:highlight w:val="none"/>
              </w:rPr>
            </w:pPr>
            <w:r>
              <w:rPr>
                <w:color w:val="auto"/>
                <w:kern w:val="0"/>
                <w:sz w:val="22"/>
                <w:szCs w:val="22"/>
                <w:highlight w:val="none"/>
              </w:rPr>
              <w:t>产出成本</w:t>
            </w:r>
          </w:p>
        </w:tc>
        <w:tc>
          <w:tcPr>
            <w:tcW w:w="873" w:type="dxa"/>
            <w:shd w:val="clear" w:color="auto" w:fill="auto"/>
            <w:vAlign w:val="center"/>
          </w:tcPr>
          <w:p>
            <w:pPr>
              <w:widowControl/>
              <w:spacing w:line="0" w:lineRule="atLeast"/>
              <w:jc w:val="center"/>
              <w:rPr>
                <w:color w:val="auto"/>
                <w:kern w:val="0"/>
                <w:sz w:val="22"/>
                <w:szCs w:val="22"/>
                <w:highlight w:val="none"/>
              </w:rPr>
            </w:pPr>
            <w:r>
              <w:rPr>
                <w:color w:val="auto"/>
                <w:kern w:val="0"/>
                <w:sz w:val="22"/>
                <w:szCs w:val="22"/>
                <w:highlight w:val="none"/>
              </w:rPr>
              <w:t>成本节约率</w:t>
            </w:r>
          </w:p>
        </w:tc>
        <w:tc>
          <w:tcPr>
            <w:tcW w:w="2353" w:type="dxa"/>
            <w:shd w:val="clear" w:color="auto" w:fill="auto"/>
            <w:vAlign w:val="center"/>
          </w:tcPr>
          <w:p>
            <w:pPr>
              <w:widowControl/>
              <w:spacing w:line="0" w:lineRule="atLeast"/>
              <w:rPr>
                <w:color w:val="auto"/>
                <w:kern w:val="0"/>
                <w:sz w:val="22"/>
                <w:szCs w:val="22"/>
                <w:highlight w:val="none"/>
              </w:rPr>
            </w:pPr>
            <w:r>
              <w:rPr>
                <w:color w:val="auto"/>
                <w:kern w:val="0"/>
                <w:sz w:val="22"/>
                <w:szCs w:val="22"/>
                <w:highlight w:val="none"/>
              </w:rPr>
              <w:t>完成项目计划工作目标的实际节约成本与计划成本的比率，用以反映和考核项目的成本节约程度。</w:t>
            </w:r>
          </w:p>
        </w:tc>
        <w:tc>
          <w:tcPr>
            <w:tcW w:w="5198" w:type="dxa"/>
            <w:shd w:val="clear" w:color="auto" w:fill="auto"/>
            <w:vAlign w:val="center"/>
          </w:tcPr>
          <w:p>
            <w:pPr>
              <w:widowControl/>
              <w:spacing w:line="0" w:lineRule="atLeast"/>
              <w:rPr>
                <w:color w:val="auto"/>
                <w:kern w:val="0"/>
                <w:sz w:val="22"/>
                <w:szCs w:val="22"/>
                <w:highlight w:val="none"/>
              </w:rPr>
            </w:pPr>
            <w:r>
              <w:rPr>
                <w:color w:val="auto"/>
                <w:kern w:val="0"/>
                <w:sz w:val="22"/>
                <w:szCs w:val="22"/>
                <w:highlight w:val="none"/>
              </w:rPr>
              <w:br w:type="textWrapping"/>
            </w:r>
            <w:r>
              <w:rPr>
                <w:color w:val="auto"/>
                <w:kern w:val="0"/>
                <w:sz w:val="22"/>
                <w:szCs w:val="22"/>
                <w:highlight w:val="none"/>
              </w:rPr>
              <w:t>成本节约率=[（计划成本-实际成本）/计划成本]×100%。</w:t>
            </w:r>
            <w:r>
              <w:rPr>
                <w:color w:val="auto"/>
                <w:kern w:val="0"/>
                <w:sz w:val="22"/>
                <w:szCs w:val="22"/>
                <w:highlight w:val="none"/>
              </w:rPr>
              <w:br w:type="textWrapping"/>
            </w:r>
            <w:r>
              <w:rPr>
                <w:color w:val="auto"/>
                <w:kern w:val="0"/>
                <w:sz w:val="22"/>
                <w:szCs w:val="22"/>
                <w:highlight w:val="none"/>
              </w:rPr>
              <w:t>实际成本：项目实施单位如期、保质、保量完成既定工作目标实际所耗费的支出。</w:t>
            </w:r>
            <w:r>
              <w:rPr>
                <w:color w:val="auto"/>
                <w:kern w:val="0"/>
                <w:sz w:val="22"/>
                <w:szCs w:val="22"/>
                <w:highlight w:val="none"/>
              </w:rPr>
              <w:br w:type="textWrapping"/>
            </w:r>
            <w:r>
              <w:rPr>
                <w:color w:val="auto"/>
                <w:kern w:val="0"/>
                <w:sz w:val="22"/>
                <w:szCs w:val="22"/>
                <w:highlight w:val="none"/>
              </w:rPr>
              <w:t>计划成本：项目实施单位为完成工作目标计划安排的支出，一般以项目预算为参考。</w:t>
            </w:r>
          </w:p>
        </w:tc>
        <w:tc>
          <w:tcPr>
            <w:tcW w:w="1300" w:type="dxa"/>
            <w:shd w:val="clear" w:color="auto" w:fill="auto"/>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1363" w:type="dxa"/>
            <w:shd w:val="clear" w:color="auto" w:fill="auto"/>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Ex>
        <w:trPr>
          <w:trHeight w:val="889" w:hRule="atLeast"/>
          <w:jc w:val="center"/>
        </w:trPr>
        <w:tc>
          <w:tcPr>
            <w:tcW w:w="832" w:type="dxa"/>
            <w:vMerge w:val="restart"/>
            <w:shd w:val="clear" w:color="auto" w:fill="auto"/>
            <w:vAlign w:val="center"/>
          </w:tcPr>
          <w:p>
            <w:pPr>
              <w:widowControl/>
              <w:spacing w:line="0" w:lineRule="atLeast"/>
              <w:jc w:val="center"/>
              <w:rPr>
                <w:color w:val="auto"/>
                <w:kern w:val="0"/>
                <w:sz w:val="22"/>
                <w:szCs w:val="22"/>
                <w:highlight w:val="none"/>
              </w:rPr>
            </w:pPr>
            <w:r>
              <w:rPr>
                <w:color w:val="auto"/>
                <w:kern w:val="0"/>
                <w:sz w:val="22"/>
                <w:szCs w:val="22"/>
                <w:highlight w:val="none"/>
              </w:rPr>
              <w:t>效益　</w:t>
            </w:r>
          </w:p>
        </w:tc>
        <w:tc>
          <w:tcPr>
            <w:tcW w:w="764" w:type="dxa"/>
            <w:vMerge w:val="restart"/>
            <w:shd w:val="clear" w:color="auto" w:fill="auto"/>
            <w:vAlign w:val="center"/>
          </w:tcPr>
          <w:p>
            <w:pPr>
              <w:widowControl/>
              <w:spacing w:line="0" w:lineRule="atLeast"/>
              <w:jc w:val="center"/>
              <w:rPr>
                <w:color w:val="auto"/>
                <w:kern w:val="0"/>
                <w:sz w:val="22"/>
                <w:szCs w:val="22"/>
                <w:highlight w:val="none"/>
              </w:rPr>
            </w:pPr>
            <w:r>
              <w:rPr>
                <w:color w:val="auto"/>
                <w:kern w:val="0"/>
                <w:sz w:val="22"/>
                <w:szCs w:val="22"/>
                <w:highlight w:val="none"/>
              </w:rPr>
              <w:t>项目效益　</w:t>
            </w:r>
          </w:p>
        </w:tc>
        <w:tc>
          <w:tcPr>
            <w:tcW w:w="873" w:type="dxa"/>
            <w:shd w:val="clear" w:color="auto" w:fill="auto"/>
            <w:vAlign w:val="center"/>
          </w:tcPr>
          <w:p>
            <w:pPr>
              <w:widowControl/>
              <w:spacing w:line="0" w:lineRule="atLeast"/>
              <w:jc w:val="center"/>
              <w:rPr>
                <w:color w:val="auto"/>
                <w:kern w:val="0"/>
                <w:sz w:val="22"/>
                <w:szCs w:val="22"/>
                <w:highlight w:val="none"/>
              </w:rPr>
            </w:pPr>
            <w:r>
              <w:rPr>
                <w:color w:val="auto"/>
                <w:kern w:val="0"/>
                <w:sz w:val="22"/>
                <w:szCs w:val="22"/>
                <w:highlight w:val="none"/>
              </w:rPr>
              <w:t>实施效益</w:t>
            </w:r>
          </w:p>
        </w:tc>
        <w:tc>
          <w:tcPr>
            <w:tcW w:w="2353" w:type="dxa"/>
            <w:shd w:val="clear" w:color="auto" w:fill="auto"/>
            <w:vAlign w:val="center"/>
          </w:tcPr>
          <w:p>
            <w:pPr>
              <w:widowControl/>
              <w:spacing w:line="0" w:lineRule="atLeast"/>
              <w:jc w:val="left"/>
              <w:rPr>
                <w:color w:val="auto"/>
                <w:kern w:val="0"/>
                <w:sz w:val="22"/>
                <w:szCs w:val="22"/>
                <w:highlight w:val="none"/>
              </w:rPr>
            </w:pPr>
            <w:r>
              <w:rPr>
                <w:color w:val="auto"/>
                <w:kern w:val="0"/>
                <w:sz w:val="22"/>
                <w:szCs w:val="22"/>
                <w:highlight w:val="none"/>
              </w:rPr>
              <w:t>项目实施所产生的效益。</w:t>
            </w:r>
          </w:p>
        </w:tc>
        <w:tc>
          <w:tcPr>
            <w:tcW w:w="5198" w:type="dxa"/>
            <w:shd w:val="clear" w:color="auto" w:fill="auto"/>
            <w:vAlign w:val="center"/>
          </w:tcPr>
          <w:p>
            <w:pPr>
              <w:widowControl/>
              <w:spacing w:line="0" w:lineRule="atLeast"/>
              <w:rPr>
                <w:color w:val="auto"/>
                <w:kern w:val="0"/>
                <w:sz w:val="22"/>
                <w:szCs w:val="22"/>
                <w:highlight w:val="none"/>
              </w:rPr>
            </w:pPr>
            <w:r>
              <w:rPr>
                <w:color w:val="auto"/>
                <w:kern w:val="0"/>
                <w:sz w:val="22"/>
                <w:szCs w:val="22"/>
                <w:highlight w:val="none"/>
              </w:rPr>
              <w:t>项目实施所产生的社会效益、经济效益、生态效益、可持续影响等。可根据项目实际情况有选择地设置和细化。</w:t>
            </w:r>
          </w:p>
        </w:tc>
        <w:tc>
          <w:tcPr>
            <w:tcW w:w="1300" w:type="dxa"/>
            <w:shd w:val="clear" w:color="auto" w:fill="auto"/>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1363" w:type="dxa"/>
            <w:shd w:val="clear" w:color="auto" w:fill="auto"/>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auto"/>
            <w:vAlign w:val="center"/>
          </w:tcPr>
          <w:p>
            <w:pPr>
              <w:widowControl/>
              <w:spacing w:line="0" w:lineRule="atLeast"/>
              <w:jc w:val="center"/>
              <w:rPr>
                <w:color w:val="auto"/>
                <w:kern w:val="0"/>
                <w:sz w:val="22"/>
                <w:szCs w:val="22"/>
                <w:highlight w:val="none"/>
              </w:rPr>
            </w:pPr>
          </w:p>
        </w:tc>
        <w:tc>
          <w:tcPr>
            <w:tcW w:w="764" w:type="dxa"/>
            <w:vMerge w:val="continue"/>
            <w:shd w:val="clear" w:color="auto" w:fill="auto"/>
            <w:vAlign w:val="center"/>
          </w:tcPr>
          <w:p>
            <w:pPr>
              <w:widowControl/>
              <w:spacing w:line="0" w:lineRule="atLeast"/>
              <w:jc w:val="center"/>
              <w:rPr>
                <w:color w:val="auto"/>
                <w:kern w:val="0"/>
                <w:sz w:val="22"/>
                <w:szCs w:val="22"/>
                <w:highlight w:val="none"/>
              </w:rPr>
            </w:pPr>
          </w:p>
        </w:tc>
        <w:tc>
          <w:tcPr>
            <w:tcW w:w="873" w:type="dxa"/>
            <w:shd w:val="clear" w:color="auto" w:fill="auto"/>
            <w:vAlign w:val="center"/>
          </w:tcPr>
          <w:p>
            <w:pPr>
              <w:widowControl/>
              <w:spacing w:line="0" w:lineRule="atLeast"/>
              <w:jc w:val="center"/>
              <w:rPr>
                <w:color w:val="auto"/>
                <w:kern w:val="0"/>
                <w:sz w:val="22"/>
                <w:szCs w:val="22"/>
                <w:highlight w:val="none"/>
              </w:rPr>
            </w:pPr>
            <w:r>
              <w:rPr>
                <w:color w:val="auto"/>
                <w:kern w:val="0"/>
                <w:sz w:val="22"/>
                <w:szCs w:val="22"/>
                <w:highlight w:val="none"/>
              </w:rPr>
              <w:t>满意度</w:t>
            </w:r>
          </w:p>
        </w:tc>
        <w:tc>
          <w:tcPr>
            <w:tcW w:w="2353" w:type="dxa"/>
            <w:shd w:val="clear" w:color="auto" w:fill="auto"/>
            <w:vAlign w:val="center"/>
          </w:tcPr>
          <w:p>
            <w:pPr>
              <w:widowControl/>
              <w:spacing w:line="0" w:lineRule="atLeast"/>
              <w:rPr>
                <w:color w:val="auto"/>
                <w:kern w:val="0"/>
                <w:sz w:val="22"/>
                <w:szCs w:val="22"/>
                <w:highlight w:val="none"/>
              </w:rPr>
            </w:pPr>
            <w:r>
              <w:rPr>
                <w:color w:val="auto"/>
                <w:kern w:val="0"/>
                <w:sz w:val="22"/>
                <w:szCs w:val="22"/>
                <w:highlight w:val="none"/>
              </w:rPr>
              <w:t>社会公众或服务对象对项目实施效果的满意程度。</w:t>
            </w:r>
          </w:p>
        </w:tc>
        <w:tc>
          <w:tcPr>
            <w:tcW w:w="5198" w:type="dxa"/>
            <w:shd w:val="clear" w:color="auto" w:fill="auto"/>
            <w:vAlign w:val="center"/>
          </w:tcPr>
          <w:p>
            <w:pPr>
              <w:widowControl/>
              <w:spacing w:line="0" w:lineRule="atLeast"/>
              <w:rPr>
                <w:color w:val="auto"/>
                <w:kern w:val="0"/>
                <w:sz w:val="22"/>
                <w:szCs w:val="22"/>
                <w:highlight w:val="none"/>
              </w:rPr>
            </w:pPr>
            <w:r>
              <w:rPr>
                <w:color w:val="auto"/>
                <w:kern w:val="0"/>
                <w:sz w:val="22"/>
                <w:szCs w:val="22"/>
                <w:highlight w:val="none"/>
              </w:rPr>
              <w:t>社会公众或服务对象是指因该项目实施而受到影响的部门（单位）、群体或个人。一般采取社会调查的方式。</w:t>
            </w:r>
          </w:p>
        </w:tc>
        <w:tc>
          <w:tcPr>
            <w:tcW w:w="1300" w:type="dxa"/>
            <w:shd w:val="clear" w:color="auto" w:fill="auto"/>
            <w:vAlign w:val="center"/>
          </w:tcPr>
          <w:p>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1363" w:type="dxa"/>
            <w:shd w:val="clear" w:color="auto" w:fill="auto"/>
            <w:vAlign w:val="center"/>
          </w:tcPr>
          <w:p>
            <w:pPr>
              <w:widowControl/>
              <w:spacing w:line="0" w:lineRule="atLeast"/>
              <w:jc w:val="center"/>
              <w:rPr>
                <w:rFonts w:hint="default" w:eastAsia="仿宋_GB2312"/>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bl>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_GBK">
    <w:altName w:val="微软雅黑"/>
    <w:panose1 w:val="03000509000000000000"/>
    <w:charset w:val="86"/>
    <w:family w:val="script"/>
    <w:pitch w:val="default"/>
    <w:sig w:usb0="00000000" w:usb1="00000000" w:usb2="00000000" w:usb3="00000000" w:csb0="00000000"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F42441AD"/>
    <w:multiLevelType w:val="singleLevel"/>
    <w:tmpl w:val="F42441AD"/>
    <w:lvl w:ilvl="0" w:tentative="0">
      <w:start w:val="2"/>
      <w:numFmt w:val="chineseCounting"/>
      <w:suff w:val="nothing"/>
      <w:lvlText w:val="（%1）"/>
      <w:lvlJc w:val="left"/>
      <w:rPr>
        <w:rFonts w:hint="eastAsia"/>
      </w:rPr>
    </w:lvl>
  </w:abstractNum>
  <w:abstractNum w:abstractNumId="2">
    <w:nsid w:val="42717433"/>
    <w:multiLevelType w:val="singleLevel"/>
    <w:tmpl w:val="42717433"/>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wNWM2OWI1ZWI0MDQzZjY5YzE4ZTJiNjRmZjMxZmIifQ=="/>
  </w:docVars>
  <w:rsids>
    <w:rsidRoot w:val="007D49C5"/>
    <w:rsid w:val="000D63FA"/>
    <w:rsid w:val="005B64E8"/>
    <w:rsid w:val="00614288"/>
    <w:rsid w:val="00670592"/>
    <w:rsid w:val="00792CFE"/>
    <w:rsid w:val="007D49C5"/>
    <w:rsid w:val="008175E0"/>
    <w:rsid w:val="008C631D"/>
    <w:rsid w:val="00A114ED"/>
    <w:rsid w:val="00B24331"/>
    <w:rsid w:val="01583141"/>
    <w:rsid w:val="05253FFE"/>
    <w:rsid w:val="0579445F"/>
    <w:rsid w:val="0F2A6BF7"/>
    <w:rsid w:val="0FB83EAA"/>
    <w:rsid w:val="109627EE"/>
    <w:rsid w:val="145F4CB7"/>
    <w:rsid w:val="17136327"/>
    <w:rsid w:val="181871E2"/>
    <w:rsid w:val="19166846"/>
    <w:rsid w:val="1D586EBA"/>
    <w:rsid w:val="20E92B23"/>
    <w:rsid w:val="22AC2218"/>
    <w:rsid w:val="2729052F"/>
    <w:rsid w:val="28C14634"/>
    <w:rsid w:val="2EC724D4"/>
    <w:rsid w:val="2EE30257"/>
    <w:rsid w:val="34DA27CE"/>
    <w:rsid w:val="3510383B"/>
    <w:rsid w:val="35D255D7"/>
    <w:rsid w:val="36411DC5"/>
    <w:rsid w:val="36B72533"/>
    <w:rsid w:val="4057649F"/>
    <w:rsid w:val="450B6AE4"/>
    <w:rsid w:val="4B1A3C71"/>
    <w:rsid w:val="4FD32B4D"/>
    <w:rsid w:val="54873A1A"/>
    <w:rsid w:val="56796849"/>
    <w:rsid w:val="568F383B"/>
    <w:rsid w:val="5B537793"/>
    <w:rsid w:val="5D555EEF"/>
    <w:rsid w:val="5DA95371"/>
    <w:rsid w:val="686F7714"/>
    <w:rsid w:val="6A862BA8"/>
    <w:rsid w:val="6DFC1C65"/>
    <w:rsid w:val="75FA041F"/>
    <w:rsid w:val="760F49BD"/>
    <w:rsid w:val="76E870A0"/>
    <w:rsid w:val="79221377"/>
    <w:rsid w:val="7AE40DD7"/>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link w:val="19"/>
    <w:semiHidden/>
    <w:unhideWhenUsed/>
    <w:qFormat/>
    <w:uiPriority w:val="99"/>
    <w:pPr>
      <w:tabs>
        <w:tab w:val="center" w:pos="4153"/>
        <w:tab w:val="right" w:pos="8306"/>
      </w:tabs>
      <w:snapToGrid w:val="0"/>
      <w:jc w:val="left"/>
    </w:pPr>
    <w:rPr>
      <w:sz w:val="18"/>
      <w:szCs w:val="18"/>
    </w:rPr>
  </w:style>
  <w:style w:type="paragraph" w:styleId="8">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3">
    <w:name w:val="Strong"/>
    <w:qFormat/>
    <w:uiPriority w:val="0"/>
    <w:rPr>
      <w:b/>
      <w:bCs/>
    </w:rPr>
  </w:style>
  <w:style w:type="character" w:styleId="14">
    <w:name w:val="Hyperlink"/>
    <w:basedOn w:val="12"/>
    <w:unhideWhenUsed/>
    <w:qFormat/>
    <w:uiPriority w:val="99"/>
    <w:rPr>
      <w:color w:val="0563C1" w:themeColor="hyperlink"/>
      <w:u w:val="single"/>
      <w14:textFill>
        <w14:solidFill>
          <w14:schemeClr w14:val="hlink"/>
        </w14:solidFill>
      </w14:textFill>
    </w:rPr>
  </w:style>
  <w:style w:type="character" w:customStyle="1" w:styleId="15">
    <w:name w:val="标题 1 Char"/>
    <w:basedOn w:val="12"/>
    <w:link w:val="3"/>
    <w:qFormat/>
    <w:uiPriority w:val="9"/>
    <w:rPr>
      <w:rFonts w:ascii="Times New Roman" w:hAnsi="Times New Roman" w:eastAsia="仿宋_GB2312" w:cs="Times New Roman"/>
      <w:b/>
      <w:bCs/>
      <w:kern w:val="44"/>
      <w:sz w:val="44"/>
      <w:szCs w:val="44"/>
    </w:rPr>
  </w:style>
  <w:style w:type="character" w:customStyle="1" w:styleId="16">
    <w:name w:val="标题 2 Char"/>
    <w:basedOn w:val="12"/>
    <w:link w:val="4"/>
    <w:qFormat/>
    <w:uiPriority w:val="9"/>
    <w:rPr>
      <w:rFonts w:asciiTheme="majorHAnsi" w:hAnsiTheme="majorHAnsi" w:eastAsiaTheme="majorEastAsia" w:cstheme="majorBidi"/>
      <w:b/>
      <w:bCs/>
      <w:sz w:val="32"/>
      <w:szCs w:val="32"/>
    </w:rPr>
  </w:style>
  <w:style w:type="paragraph" w:customStyle="1" w:styleId="17">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8">
    <w:name w:val="页眉 Char"/>
    <w:basedOn w:val="12"/>
    <w:link w:val="8"/>
    <w:semiHidden/>
    <w:qFormat/>
    <w:uiPriority w:val="99"/>
    <w:rPr>
      <w:rFonts w:ascii="Times New Roman" w:hAnsi="Times New Roman" w:eastAsia="仿宋_GB2312" w:cs="Times New Roman"/>
      <w:sz w:val="18"/>
      <w:szCs w:val="18"/>
    </w:rPr>
  </w:style>
  <w:style w:type="character" w:customStyle="1" w:styleId="19">
    <w:name w:val="页脚 Char"/>
    <w:basedOn w:val="12"/>
    <w:link w:val="7"/>
    <w:semiHidden/>
    <w:qFormat/>
    <w:uiPriority w:val="99"/>
    <w:rPr>
      <w:rFonts w:ascii="Times New Roman" w:hAnsi="Times New Roman" w:eastAsia="仿宋_GB2312" w:cs="Times New Roman"/>
      <w:sz w:val="18"/>
      <w:szCs w:val="18"/>
    </w:rPr>
  </w:style>
  <w:style w:type="paragraph" w:customStyle="1" w:styleId="20">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5042</Words>
  <Characters>5242</Characters>
  <Lines>37</Lines>
  <Paragraphs>10</Paragraphs>
  <TotalTime>14</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2024-06-12T12:06:21Z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474120B5BAEA43AFB94531B1C8881849</vt:lpwstr>
  </property>
</Properties>
</file>