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eastAsia="zh-CN"/>
        </w:rPr>
        <w:t>“</w:t>
      </w:r>
      <w:r>
        <w:rPr>
          <w:rFonts w:hint="eastAsia" w:eastAsia="方正小标宋_GBK"/>
          <w:kern w:val="0"/>
          <w:sz w:val="48"/>
          <w:szCs w:val="48"/>
          <w:lang w:val="en-US" w:eastAsia="zh-CN"/>
        </w:rPr>
        <w:t>雨露计划”</w:t>
      </w:r>
      <w:r>
        <w:rPr>
          <w:rFonts w:eastAsia="方正小标宋_GBK"/>
          <w:kern w:val="0"/>
          <w:sz w:val="48"/>
          <w:szCs w:val="48"/>
        </w:rPr>
        <w:t>资金项目支出绩效评价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w:t>
      </w:r>
      <w:r>
        <w:rPr>
          <w:rFonts w:hint="eastAsia" w:ascii="宋体" w:hAnsi="宋体" w:eastAsia="宋体" w:cs="仿宋_GB2312"/>
          <w:b/>
          <w:bCs/>
          <w:color w:val="000000"/>
          <w:kern w:val="0"/>
          <w:sz w:val="32"/>
          <w:szCs w:val="32"/>
          <w:lang w:val="en-US" w:eastAsia="zh-CN"/>
        </w:rPr>
        <w:t>雨露计划”项目</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霍尔果斯市乡村振兴局</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霍尔果斯市乡村振兴局</w:t>
      </w:r>
    </w:p>
    <w:p>
      <w:pPr>
        <w:spacing w:line="560" w:lineRule="exact"/>
        <w:ind w:firstLine="321" w:firstLineChars="1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杨海东</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15</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本项目依据自治区《关于深入落实雨露计划有关政策的通知》（新扶贫〔2019〕29号）、《关于进一步完善防止返贫动态监测和帮扶机制实施方案》（新乡振领发〔2021〕1号）文件。党的十八大以来，习近平总书记亲自谋划设计、亲自部署推动精准扶贫精准脱贫工作，作出一系列重要指示、充分体现了习近卫总书记对特殊困难群众的关心关爱。雨露计划作为专项扶贫工作的重型内罗，与早和多抽为村分因家新成长劳动力接受职业教直，是培养技能加人才，但类稳定象业、实现脱贫致富的冶才之举，是提高</w:t>
      </w:r>
      <w:r>
        <w:rPr>
          <w:rFonts w:hint="eastAsia" w:cs="Times New Roman"/>
          <w:b w:val="0"/>
          <w:bCs w:val="0"/>
          <w:sz w:val="32"/>
          <w:szCs w:val="32"/>
          <w:lang w:val="en-US" w:eastAsia="zh-CN"/>
        </w:rPr>
        <w:t>贫困人口</w:t>
      </w:r>
      <w:r>
        <w:rPr>
          <w:rFonts w:hint="eastAsia" w:ascii="Times New Roman" w:hAnsi="Times New Roman" w:eastAsia="仿宋_GB2312" w:cs="Times New Roman"/>
          <w:b w:val="0"/>
          <w:bCs w:val="0"/>
          <w:sz w:val="32"/>
          <w:szCs w:val="32"/>
          <w:lang w:val="en-US" w:eastAsia="zh-CN"/>
        </w:rPr>
        <w:t>素质，贫困地区经济发展的重要措施。自治区对罗施需露计为高度重视，《自治区党委，自治以人民政府关于贯彻落字&lt;中中央、国务院关于打赢脱贫攻学战的少定&gt;的意》(号当发【2016J2号)作出安排，实施“南露计动”，对多受中高等职业教育的建档立十贫因尸子女子以不助。《自治区梦贫开发领导小组办公室关干下达2017年全区扶贫培训工作任务的通知》(新扶领字(201716号)整求，名地(州。市)、各部门主动加强与教育部门的联系协，全面加强发村贫困家庭新成长劳动力的职业教育力度，广泛功员社会力量参与，促进社会扶贫和教育扶贫相结台，合力推动农村务困家庭新成长劳动力职业教育工作，国务院扶贫开发领子小组办公室在前不久召开的全国贫因劳动力稳定就业电观电话会议上又要求各地把“两后生”的就业问题纳人工作重点提前安排，提前部署，精准对接，保证</w:t>
      </w:r>
      <w:r>
        <w:rPr>
          <w:rFonts w:hint="eastAsia" w:cs="Times New Roman"/>
          <w:b w:val="0"/>
          <w:bCs w:val="0"/>
          <w:sz w:val="32"/>
          <w:szCs w:val="32"/>
          <w:lang w:val="en-US" w:eastAsia="zh-CN"/>
        </w:rPr>
        <w:t>贫困</w:t>
      </w:r>
      <w:bookmarkStart w:id="22" w:name="_GoBack"/>
      <w:bookmarkEnd w:id="22"/>
      <w:r>
        <w:rPr>
          <w:rFonts w:hint="eastAsia" w:ascii="Times New Roman" w:hAnsi="Times New Roman" w:eastAsia="仿宋_GB2312" w:cs="Times New Roman"/>
          <w:b w:val="0"/>
          <w:bCs w:val="0"/>
          <w:sz w:val="32"/>
          <w:szCs w:val="32"/>
          <w:lang w:val="en-US" w:eastAsia="zh-CN"/>
        </w:rPr>
        <w:t>家庭学生实现高质量的就业，但是从全区近年实施情况和国务院扶贫开发领导小组组织实施的扶贫开发成效省际交又考核情况来看，部分地(州、市)、县(市、区)没有把雨露计划相关政策落实到位。各地名部门要引起高度重视，坚持问题导向，举一反三，加大对农村贫困家庭新成长劳动力接受职业教育政策支持力度，抓好雨露计划政策落地，工作措施落实，坚决杜绝棚架，确保扶持政策惠及贫困群众。</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2.主要内容及实施情况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主要内容：为引导和鼓励脱贫户、监测户子女在完成九年义务教育和普通高中教育后，继续接受和完成职业教育，从整体上提高贫困学生的综合素质和就业能力，实现稳定脱贫。按照文件要求，对辖区内的脱贫户、监测户家庭子女，且属全日制中等、高等职业学校在读学生发放“雨露计划”补助项目。补助标准为3000元/生/学年。</w:t>
      </w:r>
    </w:p>
    <w:p>
      <w:pPr>
        <w:pStyle w:val="2"/>
        <w:numPr>
          <w:ilvl w:val="0"/>
          <w:numId w:val="0"/>
        </w:numPr>
        <w:ind w:firstLine="640" w:firstLineChars="200"/>
        <w:rPr>
          <w:rFonts w:hint="default" w:ascii="仿宋" w:hAnsi="仿宋" w:eastAsia="仿宋" w:cs="仿宋"/>
          <w:kern w:val="0"/>
          <w:sz w:val="32"/>
          <w:szCs w:val="32"/>
          <w:shd w:val="clear" w:color="auto" w:fill="FFFFFF"/>
          <w:lang w:val="en-US" w:eastAsia="zh-CN" w:bidi="ar-SA"/>
        </w:rPr>
      </w:pPr>
      <w:r>
        <w:rPr>
          <w:rFonts w:hint="eastAsia" w:ascii="仿宋_GB2312"/>
          <w:sz w:val="32"/>
          <w:szCs w:val="32"/>
        </w:rPr>
        <w:t>实施情况：</w:t>
      </w:r>
      <w:r>
        <w:rPr>
          <w:rFonts w:hint="eastAsia" w:ascii="仿宋" w:hAnsi="仿宋" w:eastAsia="仿宋" w:cs="仿宋"/>
          <w:kern w:val="0"/>
          <w:sz w:val="32"/>
          <w:szCs w:val="32"/>
          <w:shd w:val="clear" w:color="auto" w:fill="FFFFFF"/>
          <w:lang w:val="en-US" w:eastAsia="zh-CN" w:bidi="ar-SA"/>
        </w:rPr>
        <w:t>2023年，</w:t>
      </w:r>
      <w:r>
        <w:rPr>
          <w:rFonts w:hint="eastAsia" w:ascii="仿宋" w:hAnsi="仿宋" w:eastAsia="仿宋" w:cs="仿宋"/>
          <w:kern w:val="0"/>
          <w:sz w:val="32"/>
          <w:szCs w:val="32"/>
          <w:shd w:val="clear" w:color="auto" w:fill="FFFFFF"/>
          <w:lang w:eastAsia="zh-CN"/>
        </w:rPr>
        <w:t>我市</w:t>
      </w:r>
      <w:r>
        <w:rPr>
          <w:rFonts w:hint="default" w:ascii="仿宋" w:hAnsi="仿宋" w:eastAsia="仿宋" w:cs="仿宋"/>
          <w:kern w:val="0"/>
          <w:sz w:val="32"/>
          <w:szCs w:val="32"/>
          <w:shd w:val="clear" w:color="auto" w:fill="FFFFFF"/>
        </w:rPr>
        <w:t>对202</w:t>
      </w:r>
      <w:r>
        <w:rPr>
          <w:rFonts w:hint="eastAsia" w:ascii="仿宋" w:hAnsi="仿宋" w:eastAsia="仿宋" w:cs="仿宋"/>
          <w:kern w:val="0"/>
          <w:sz w:val="32"/>
          <w:szCs w:val="32"/>
          <w:shd w:val="clear" w:color="auto" w:fill="FFFFFF"/>
          <w:lang w:val="en-US" w:eastAsia="zh-CN"/>
        </w:rPr>
        <w:t>2年秋季至</w:t>
      </w:r>
      <w:r>
        <w:rPr>
          <w:rFonts w:hint="default" w:ascii="仿宋" w:hAnsi="仿宋" w:eastAsia="仿宋" w:cs="仿宋"/>
          <w:kern w:val="0"/>
          <w:sz w:val="32"/>
          <w:szCs w:val="32"/>
          <w:shd w:val="clear" w:color="auto" w:fill="FFFFFF"/>
        </w:rPr>
        <w:t>202</w:t>
      </w:r>
      <w:r>
        <w:rPr>
          <w:rFonts w:hint="eastAsia" w:ascii="仿宋" w:hAnsi="仿宋" w:eastAsia="仿宋" w:cs="仿宋"/>
          <w:kern w:val="0"/>
          <w:sz w:val="32"/>
          <w:szCs w:val="32"/>
          <w:shd w:val="clear" w:color="auto" w:fill="FFFFFF"/>
          <w:lang w:val="en-US" w:eastAsia="zh-CN"/>
        </w:rPr>
        <w:t>3年春季学期脱贫户</w:t>
      </w:r>
      <w:r>
        <w:rPr>
          <w:rFonts w:hint="eastAsia" w:ascii="仿宋" w:hAnsi="仿宋" w:eastAsia="仿宋" w:cs="仿宋"/>
          <w:kern w:val="0"/>
          <w:sz w:val="32"/>
          <w:szCs w:val="32"/>
          <w:shd w:val="clear" w:color="auto" w:fill="FFFFFF"/>
        </w:rPr>
        <w:t>、</w:t>
      </w:r>
      <w:r>
        <w:rPr>
          <w:rFonts w:hint="eastAsia" w:ascii="仿宋" w:hAnsi="仿宋" w:eastAsia="仿宋" w:cs="仿宋"/>
          <w:kern w:val="0"/>
          <w:sz w:val="32"/>
          <w:szCs w:val="32"/>
          <w:shd w:val="clear" w:color="auto" w:fill="FFFFFF"/>
          <w:lang w:val="en-US" w:eastAsia="zh-CN"/>
        </w:rPr>
        <w:t>监测户</w:t>
      </w:r>
      <w:r>
        <w:rPr>
          <w:rFonts w:hint="eastAsia" w:ascii="仿宋" w:hAnsi="仿宋" w:eastAsia="仿宋" w:cs="仿宋"/>
          <w:kern w:val="0"/>
          <w:sz w:val="32"/>
          <w:szCs w:val="32"/>
          <w:shd w:val="clear" w:color="auto" w:fill="FFFFFF"/>
          <w:lang w:eastAsia="zh-CN"/>
        </w:rPr>
        <w:t>家庭</w:t>
      </w:r>
      <w:r>
        <w:rPr>
          <w:rFonts w:hint="eastAsia" w:ascii="仿宋" w:hAnsi="仿宋" w:eastAsia="仿宋" w:cs="仿宋"/>
          <w:kern w:val="0"/>
          <w:sz w:val="32"/>
          <w:szCs w:val="32"/>
          <w:shd w:val="clear" w:color="auto" w:fill="FFFFFF"/>
          <w:lang w:val="en-US" w:eastAsia="zh-CN"/>
        </w:rPr>
        <w:t>在校</w:t>
      </w:r>
      <w:r>
        <w:rPr>
          <w:rFonts w:hint="eastAsia" w:ascii="仿宋" w:hAnsi="仿宋" w:eastAsia="仿宋" w:cs="仿宋"/>
          <w:kern w:val="0"/>
          <w:sz w:val="32"/>
          <w:szCs w:val="32"/>
          <w:shd w:val="clear" w:color="auto" w:fill="FFFFFF"/>
          <w:lang w:eastAsia="zh-CN"/>
        </w:rPr>
        <w:t>学生进行了认真摸排和筛选，核实出</w:t>
      </w:r>
      <w:r>
        <w:rPr>
          <w:rFonts w:hint="eastAsia" w:ascii="仿宋" w:hAnsi="仿宋" w:eastAsia="仿宋" w:cs="仿宋"/>
          <w:kern w:val="0"/>
          <w:sz w:val="32"/>
          <w:szCs w:val="32"/>
          <w:shd w:val="clear" w:color="auto" w:fill="FFFFFF"/>
          <w:lang w:val="en-US" w:eastAsia="zh-CN"/>
        </w:rPr>
        <w:t>107</w:t>
      </w:r>
      <w:r>
        <w:rPr>
          <w:rFonts w:hint="default" w:ascii="仿宋" w:hAnsi="仿宋" w:eastAsia="仿宋" w:cs="仿宋"/>
          <w:kern w:val="0"/>
          <w:sz w:val="32"/>
          <w:szCs w:val="32"/>
          <w:shd w:val="clear" w:color="auto" w:fill="FFFFFF"/>
        </w:rPr>
        <w:t>名</w:t>
      </w:r>
      <w:r>
        <w:rPr>
          <w:rFonts w:hint="eastAsia" w:ascii="仿宋" w:hAnsi="仿宋" w:eastAsia="仿宋" w:cs="仿宋"/>
          <w:kern w:val="0"/>
          <w:sz w:val="32"/>
          <w:szCs w:val="32"/>
          <w:shd w:val="clear" w:color="auto" w:fill="FFFFFF"/>
          <w:lang w:val="en-US" w:eastAsia="zh-CN"/>
        </w:rPr>
        <w:t>脱贫</w:t>
      </w:r>
      <w:r>
        <w:rPr>
          <w:rFonts w:hint="default" w:ascii="仿宋" w:hAnsi="仿宋" w:eastAsia="仿宋" w:cs="仿宋"/>
          <w:kern w:val="0"/>
          <w:sz w:val="32"/>
          <w:szCs w:val="32"/>
          <w:shd w:val="clear" w:color="auto" w:fill="FFFFFF"/>
        </w:rPr>
        <w:t>家庭学生</w:t>
      </w:r>
      <w:r>
        <w:rPr>
          <w:rFonts w:hint="eastAsia" w:ascii="仿宋" w:hAnsi="仿宋" w:eastAsia="仿宋" w:cs="仿宋"/>
          <w:kern w:val="0"/>
          <w:sz w:val="32"/>
          <w:szCs w:val="32"/>
          <w:shd w:val="clear" w:color="auto" w:fill="FFFFFF"/>
          <w:lang w:eastAsia="zh-CN"/>
        </w:rPr>
        <w:t>符合要求，按照每生每学年</w:t>
      </w:r>
      <w:r>
        <w:rPr>
          <w:rFonts w:hint="eastAsia" w:ascii="仿宋" w:hAnsi="仿宋" w:eastAsia="仿宋" w:cs="仿宋"/>
          <w:kern w:val="0"/>
          <w:sz w:val="32"/>
          <w:szCs w:val="32"/>
          <w:shd w:val="clear" w:color="auto" w:fill="FFFFFF"/>
          <w:lang w:val="en-US" w:eastAsia="zh-CN"/>
        </w:rPr>
        <w:t>3000元的补助标准，发放</w:t>
      </w:r>
      <w:r>
        <w:rPr>
          <w:rFonts w:hint="default" w:ascii="仿宋" w:hAnsi="仿宋" w:eastAsia="仿宋" w:cs="仿宋"/>
          <w:kern w:val="0"/>
          <w:sz w:val="32"/>
          <w:szCs w:val="32"/>
          <w:shd w:val="clear" w:color="auto" w:fill="FFFFFF"/>
        </w:rPr>
        <w:t>补助资金</w:t>
      </w:r>
      <w:r>
        <w:rPr>
          <w:rFonts w:hint="eastAsia" w:ascii="仿宋" w:hAnsi="仿宋" w:eastAsia="仿宋" w:cs="仿宋"/>
          <w:kern w:val="0"/>
          <w:sz w:val="32"/>
          <w:szCs w:val="32"/>
          <w:shd w:val="clear" w:color="auto" w:fill="FFFFFF"/>
          <w:lang w:val="en-US" w:eastAsia="zh-CN"/>
        </w:rPr>
        <w:t>32.1</w:t>
      </w:r>
      <w:r>
        <w:rPr>
          <w:rFonts w:hint="default" w:ascii="仿宋" w:hAnsi="仿宋" w:eastAsia="仿宋" w:cs="仿宋"/>
          <w:kern w:val="0"/>
          <w:sz w:val="32"/>
          <w:szCs w:val="32"/>
          <w:shd w:val="clear" w:color="auto" w:fill="FFFFFF"/>
        </w:rPr>
        <w:t>万元</w:t>
      </w:r>
      <w:r>
        <w:rPr>
          <w:rFonts w:hint="eastAsia" w:ascii="仿宋" w:hAnsi="仿宋" w:eastAsia="仿宋" w:cs="仿宋"/>
          <w:kern w:val="0"/>
          <w:sz w:val="32"/>
          <w:szCs w:val="32"/>
          <w:shd w:val="clear" w:color="auto" w:fill="FFFFFF"/>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35</w:t>
      </w:r>
      <w:r>
        <w:rPr>
          <w:rFonts w:hint="eastAsia"/>
          <w:color w:val="auto"/>
          <w:sz w:val="32"/>
          <w:szCs w:val="32"/>
        </w:rPr>
        <w:t>万元，全年预算数</w:t>
      </w:r>
      <w:r>
        <w:rPr>
          <w:rFonts w:hint="eastAsia"/>
          <w:color w:val="auto"/>
          <w:sz w:val="32"/>
          <w:szCs w:val="32"/>
          <w:lang w:val="en-US" w:eastAsia="zh-CN"/>
        </w:rPr>
        <w:t>35</w:t>
      </w:r>
      <w:r>
        <w:rPr>
          <w:rFonts w:hint="eastAsia"/>
          <w:color w:val="auto"/>
          <w:sz w:val="32"/>
          <w:szCs w:val="32"/>
        </w:rPr>
        <w:t>万元</w:t>
      </w:r>
      <w:r>
        <w:rPr>
          <w:rFonts w:hint="eastAsia" w:ascii="Times New Roman" w:hAnsi="Times New Roman" w:cs="Times New Roman"/>
          <w:sz w:val="32"/>
          <w:szCs w:val="32"/>
        </w:rPr>
        <w:t>，实</w:t>
      </w:r>
      <w:r>
        <w:rPr>
          <w:rFonts w:hint="eastAsia"/>
          <w:color w:val="auto"/>
          <w:sz w:val="32"/>
          <w:szCs w:val="32"/>
        </w:rPr>
        <w:t>际总投入</w:t>
      </w:r>
      <w:r>
        <w:rPr>
          <w:rFonts w:hint="eastAsia"/>
          <w:color w:val="auto"/>
          <w:sz w:val="32"/>
          <w:szCs w:val="32"/>
          <w:lang w:val="en-US" w:eastAsia="zh-CN"/>
        </w:rPr>
        <w:t>32.1</w:t>
      </w:r>
      <w:r>
        <w:rPr>
          <w:rFonts w:hint="eastAsia"/>
          <w:color w:val="auto"/>
          <w:sz w:val="32"/>
          <w:szCs w:val="32"/>
        </w:rPr>
        <w:t>万元，该项目资金已全部落实到位，资金来源为</w:t>
      </w:r>
      <w:r>
        <w:rPr>
          <w:rFonts w:hint="eastAsia"/>
          <w:color w:val="auto"/>
          <w:sz w:val="32"/>
          <w:szCs w:val="32"/>
          <w:lang w:val="en-US" w:eastAsia="zh-CN"/>
        </w:rPr>
        <w:t>市本级资金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资金使用情况：</w:t>
      </w:r>
      <w:r>
        <w:rPr>
          <w:rFonts w:hint="eastAsia"/>
          <w:color w:val="auto"/>
          <w:sz w:val="32"/>
          <w:szCs w:val="32"/>
        </w:rPr>
        <w:t>该项目年初预算数</w:t>
      </w:r>
      <w:r>
        <w:rPr>
          <w:rFonts w:hint="eastAsia"/>
          <w:color w:val="auto"/>
          <w:sz w:val="32"/>
          <w:szCs w:val="32"/>
          <w:lang w:val="en-US" w:eastAsia="zh-CN"/>
        </w:rPr>
        <w:t>35</w:t>
      </w:r>
      <w:r>
        <w:rPr>
          <w:rFonts w:hint="eastAsia"/>
          <w:color w:val="auto"/>
          <w:sz w:val="32"/>
          <w:szCs w:val="32"/>
        </w:rPr>
        <w:t>万元，全年预算数</w:t>
      </w:r>
      <w:r>
        <w:rPr>
          <w:rFonts w:hint="eastAsia"/>
          <w:color w:val="auto"/>
          <w:sz w:val="32"/>
          <w:szCs w:val="32"/>
          <w:lang w:val="en-US" w:eastAsia="zh-CN"/>
        </w:rPr>
        <w:t>35</w:t>
      </w:r>
      <w:r>
        <w:rPr>
          <w:rFonts w:hint="eastAsia"/>
          <w:color w:val="auto"/>
          <w:sz w:val="32"/>
          <w:szCs w:val="32"/>
        </w:rPr>
        <w:t>万元</w:t>
      </w:r>
      <w:r>
        <w:rPr>
          <w:rFonts w:hint="eastAsia"/>
          <w:sz w:val="32"/>
          <w:szCs w:val="32"/>
        </w:rPr>
        <w:t>），全年执行数</w:t>
      </w:r>
      <w:r>
        <w:rPr>
          <w:rFonts w:hint="eastAsia"/>
          <w:sz w:val="32"/>
          <w:szCs w:val="32"/>
          <w:lang w:val="en-US" w:eastAsia="zh-CN"/>
        </w:rPr>
        <w:t>32.1</w:t>
      </w:r>
      <w:r>
        <w:rPr>
          <w:rFonts w:hint="eastAsia"/>
          <w:sz w:val="32"/>
          <w:szCs w:val="32"/>
        </w:rPr>
        <w:t>万元，预算执行率为</w:t>
      </w:r>
      <w:r>
        <w:rPr>
          <w:rFonts w:hint="eastAsia"/>
          <w:sz w:val="32"/>
          <w:szCs w:val="32"/>
          <w:lang w:val="en-US" w:eastAsia="zh-CN"/>
        </w:rPr>
        <w:t>91.7</w:t>
      </w:r>
      <w:r>
        <w:rPr>
          <w:rFonts w:hint="eastAsia"/>
          <w:sz w:val="32"/>
          <w:szCs w:val="32"/>
        </w:rPr>
        <w:t>%，</w:t>
      </w:r>
      <w:r>
        <w:rPr>
          <w:rFonts w:hint="eastAsia"/>
          <w:sz w:val="32"/>
          <w:szCs w:val="32"/>
          <w:lang w:eastAsia="zh-CN"/>
        </w:rPr>
        <w:t>主要</w:t>
      </w:r>
      <w:r>
        <w:rPr>
          <w:rFonts w:hint="eastAsia"/>
          <w:sz w:val="32"/>
          <w:szCs w:val="32"/>
        </w:rPr>
        <w:t>用于：</w:t>
      </w:r>
      <w:r>
        <w:rPr>
          <w:rFonts w:hint="eastAsia"/>
          <w:sz w:val="32"/>
          <w:szCs w:val="32"/>
          <w:lang w:val="en-US" w:eastAsia="zh-CN"/>
        </w:rPr>
        <w:t>发放2023年秋季至2024年春季学期“雨露计划”补助107人32.1</w:t>
      </w:r>
      <w:r>
        <w:rPr>
          <w:rFonts w:hint="eastAsia"/>
          <w:sz w:val="32"/>
          <w:szCs w:val="32"/>
        </w:rPr>
        <w:t>万元。</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1.总体目标：</w:t>
      </w:r>
      <w:r>
        <w:rPr>
          <w:rFonts w:hint="eastAsia"/>
          <w:color w:val="auto"/>
          <w:sz w:val="32"/>
          <w:szCs w:val="32"/>
        </w:rPr>
        <w:t>依据《关于深入落实雨露计划有关政策的通知》（</w:t>
      </w:r>
      <w:r>
        <w:rPr>
          <w:rFonts w:hint="eastAsia"/>
          <w:color w:val="auto"/>
          <w:sz w:val="32"/>
          <w:szCs w:val="32"/>
          <w:lang w:eastAsia="zh-CN"/>
        </w:rPr>
        <w:t>新扶贫</w:t>
      </w:r>
      <w:r>
        <w:rPr>
          <w:rFonts w:hint="eastAsia"/>
          <w:color w:val="auto"/>
          <w:sz w:val="32"/>
          <w:szCs w:val="32"/>
        </w:rPr>
        <w:t>〔</w:t>
      </w:r>
      <w:r>
        <w:rPr>
          <w:rFonts w:hint="eastAsia"/>
          <w:color w:val="auto"/>
          <w:sz w:val="32"/>
          <w:szCs w:val="32"/>
          <w:lang w:eastAsia="zh-CN"/>
        </w:rPr>
        <w:t>2019</w:t>
      </w:r>
      <w:r>
        <w:rPr>
          <w:rFonts w:hint="eastAsia"/>
          <w:color w:val="auto"/>
          <w:sz w:val="32"/>
          <w:szCs w:val="32"/>
        </w:rPr>
        <w:t>〕</w:t>
      </w:r>
      <w:r>
        <w:rPr>
          <w:rFonts w:hint="eastAsia"/>
          <w:color w:val="auto"/>
          <w:sz w:val="32"/>
          <w:szCs w:val="32"/>
          <w:lang w:eastAsia="zh-CN"/>
        </w:rPr>
        <w:t>29号</w:t>
      </w:r>
      <w:r>
        <w:rPr>
          <w:rFonts w:hint="eastAsia"/>
          <w:color w:val="auto"/>
          <w:sz w:val="32"/>
          <w:szCs w:val="32"/>
        </w:rPr>
        <w:t>）文件要求，雨露计划作为专项扶贫计划的重要内容，引导和支持农村贫困家庭新成长劳动力接受职业教育是培养技能型人才，促进稳定就业，提高贫困人口素质，促进贫困地区经济发展的重要措施。目标1：对</w:t>
      </w:r>
      <w:r>
        <w:rPr>
          <w:rFonts w:hint="eastAsia"/>
          <w:color w:val="auto"/>
          <w:sz w:val="32"/>
          <w:szCs w:val="32"/>
          <w:lang w:val="en-US" w:eastAsia="zh-CN"/>
        </w:rPr>
        <w:t>我市</w:t>
      </w:r>
      <w:r>
        <w:rPr>
          <w:rFonts w:hint="eastAsia"/>
          <w:color w:val="auto"/>
          <w:sz w:val="32"/>
          <w:szCs w:val="32"/>
        </w:rPr>
        <w:t>脱贫户和监测户家庭</w:t>
      </w:r>
      <w:r>
        <w:rPr>
          <w:rFonts w:hint="eastAsia"/>
          <w:color w:val="auto"/>
          <w:sz w:val="32"/>
          <w:szCs w:val="32"/>
          <w:lang w:val="en-US" w:eastAsia="zh-CN"/>
        </w:rPr>
        <w:t>中</w:t>
      </w:r>
      <w:r>
        <w:rPr>
          <w:rFonts w:hint="eastAsia"/>
          <w:color w:val="auto"/>
          <w:sz w:val="32"/>
          <w:szCs w:val="32"/>
        </w:rPr>
        <w:t>子女就读中、高职在校学生每人每年补助3000元；目标2：保障享受雨露计划家庭子女全面接受中、高职教育，提高就读学生职业技能水平，为稳定就业打下坚实的基础。</w:t>
      </w:r>
    </w:p>
    <w:p>
      <w:pPr>
        <w:numPr>
          <w:ilvl w:val="0"/>
          <w:numId w:val="2"/>
        </w:numPr>
        <w:spacing w:line="560" w:lineRule="exact"/>
        <w:ind w:left="320" w:leftChars="0" w:firstLine="0" w:firstLineChars="0"/>
        <w:rPr>
          <w:rFonts w:hint="eastAsia"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阶段性目标：</w:t>
      </w:r>
      <w:bookmarkStart w:id="3" w:name="_Toc68703830"/>
      <w:r>
        <w:rPr>
          <w:rFonts w:hint="eastAsia" w:cs="Times New Roman"/>
          <w:b w:val="0"/>
          <w:bCs w:val="0"/>
          <w:sz w:val="32"/>
          <w:szCs w:val="32"/>
          <w:lang w:val="en-US" w:eastAsia="zh-CN"/>
        </w:rPr>
        <w:t>2023年9月新学期开学时开展摸排梳理工作，2023年12月底之前落实完成此项目。</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3"/>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“雨露计划”项目</w:t>
      </w:r>
      <w:r>
        <w:rPr>
          <w:rFonts w:hint="eastAsia" w:cs="Times New Roman"/>
          <w:kern w:val="0"/>
          <w:sz w:val="32"/>
          <w:szCs w:val="32"/>
          <w:lang w:val="en-US" w:eastAsia="zh-CN" w:bidi="ar-SA"/>
        </w:rPr>
        <w:t>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本次评价从项目管理（包括项目资金、项目实施）、项目产出（包括项目产出数量、产出质量、产出时效和产出成本）项目效益四个维度进</w:t>
      </w:r>
      <w:r>
        <w:rPr>
          <w:rFonts w:hint="eastAsia" w:ascii="Times New Roman" w:hAnsi="Times New Roman" w:eastAsia="仿宋_GB2312" w:cs="Times New Roman"/>
          <w:b w:val="0"/>
          <w:bCs w:val="0"/>
          <w:sz w:val="32"/>
          <w:szCs w:val="32"/>
          <w:lang w:val="en-US" w:eastAsia="zh-CN"/>
        </w:rPr>
        <w:t>行“雨露计划”补助项目评</w:t>
      </w:r>
      <w:r>
        <w:rPr>
          <w:rFonts w:hint="eastAsia"/>
          <w:color w:val="auto"/>
          <w:sz w:val="32"/>
          <w:szCs w:val="32"/>
        </w:rPr>
        <w:t>价，评价核心为资金的支出完成情况和效果。</w:t>
      </w:r>
    </w:p>
    <w:p>
      <w:pPr>
        <w:pStyle w:val="5"/>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3"/>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sz w:val="32"/>
          <w:szCs w:val="32"/>
        </w:rPr>
      </w:pPr>
      <w:r>
        <w:rPr>
          <w:rFonts w:hint="eastAsia"/>
        </w:rPr>
        <w:t>2、</w:t>
      </w:r>
      <w:r>
        <w:rPr>
          <w:rFonts w:hint="eastAsia"/>
          <w:sz w:val="32"/>
          <w:szCs w:val="32"/>
        </w:rPr>
        <w:t>评价指标体系</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color w:val="000000"/>
          <w:spacing w:val="17"/>
          <w:sz w:val="32"/>
          <w:szCs w:val="32"/>
          <w:lang w:val="en-US" w:eastAsia="zh-CN"/>
        </w:rPr>
        <w:t>2</w:t>
      </w:r>
      <w:r>
        <w:rPr>
          <w:rFonts w:eastAsia="仿宋_GB2312"/>
          <w:color w:val="000000"/>
          <w:spacing w:val="17"/>
          <w:sz w:val="32"/>
          <w:szCs w:val="32"/>
        </w:rPr>
        <w:t>0分，项目过程权重为20分，项目产出权重为40分，项目效益权重为</w:t>
      </w:r>
      <w:r>
        <w:rPr>
          <w:rFonts w:hint="eastAsia"/>
          <w:color w:val="000000"/>
          <w:spacing w:val="17"/>
          <w:sz w:val="32"/>
          <w:szCs w:val="32"/>
          <w:lang w:val="en-US" w:eastAsia="zh-CN"/>
        </w:rPr>
        <w:t>2</w:t>
      </w:r>
      <w:r>
        <w:rPr>
          <w:rFonts w:eastAsia="仿宋_GB2312"/>
          <w:color w:val="000000"/>
          <w:spacing w:val="17"/>
          <w:sz w:val="32"/>
          <w:szCs w:val="32"/>
        </w:rPr>
        <w:t>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3"/>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w:t>
      </w:r>
      <w:r>
        <w:rPr>
          <w:rFonts w:hint="eastAsia" w:ascii="Times New Roman" w:hAnsi="Times New Roman" w:eastAsia="仿宋_GB2312"/>
          <w:b w:val="0"/>
          <w:bCs w:val="0"/>
          <w:color w:val="000000"/>
          <w:spacing w:val="17"/>
          <w:kern w:val="2"/>
          <w:lang w:val="en-US" w:eastAsia="zh-CN"/>
        </w:rPr>
        <w:t xml:space="preserve"> </w:t>
      </w:r>
      <w:r>
        <w:rPr>
          <w:rFonts w:ascii="Times New Roman" w:hAnsi="Times New Roman" w:eastAsia="仿宋_GB2312"/>
          <w:b w:val="0"/>
          <w:bCs w:val="0"/>
          <w:color w:val="000000"/>
          <w:spacing w:val="17"/>
          <w:kern w:val="2"/>
        </w:rPr>
        <w:t>结果级别为优，80-90分（含80分）对应的评分结果级别为良，60-80分（含60分）对应的评分结果级别为中，60分以下对应的评分结果级别为差。</w:t>
      </w:r>
    </w:p>
    <w:p>
      <w:pPr>
        <w:pStyle w:val="13"/>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7"/>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w:t>
      </w:r>
      <w:r>
        <w:rPr>
          <w:rFonts w:hint="eastAsia"/>
          <w:color w:val="000000" w:themeColor="text1"/>
          <w:spacing w:val="17"/>
          <w:sz w:val="32"/>
          <w:szCs w:val="32"/>
          <w:lang w:val="en-US" w:eastAsia="zh-CN"/>
          <w14:textFill>
            <w14:solidFill>
              <w14:schemeClr w14:val="tx1"/>
            </w14:solidFill>
          </w14:textFill>
        </w:rPr>
        <w:t xml:space="preserve"> </w:t>
      </w:r>
      <w:r>
        <w:rPr>
          <w:rFonts w:eastAsia="仿宋_GB2312"/>
          <w:color w:val="000000" w:themeColor="text1"/>
          <w:spacing w:val="17"/>
          <w:sz w:val="32"/>
          <w:szCs w:val="32"/>
          <w14:textFill>
            <w14:solidFill>
              <w14:schemeClr w14:val="tx1"/>
            </w14:solidFill>
          </w14:textFill>
        </w:rPr>
        <w:t>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highlight w:val="none"/>
          <w:lang w:val="en-US" w:eastAsia="zh-CN"/>
          <w14:textFill>
            <w14:solidFill>
              <w14:schemeClr w14:val="tx1"/>
            </w14:solidFill>
          </w14:textFill>
        </w:rPr>
        <w:t>历史</w:t>
      </w:r>
      <w:r>
        <w:rPr>
          <w:rFonts w:hint="eastAsia"/>
          <w:bCs/>
          <w:color w:val="000000" w:themeColor="text1"/>
          <w:sz w:val="32"/>
          <w:szCs w:val="32"/>
          <w:highlight w:val="none"/>
          <w14:textFill>
            <w14:solidFill>
              <w14:schemeClr w14:val="tx1"/>
            </w14:solidFill>
          </w14:textFill>
        </w:rPr>
        <w:t>标</w:t>
      </w:r>
      <w:r>
        <w:rPr>
          <w:rFonts w:hint="eastAsia"/>
          <w:bCs/>
          <w:color w:val="000000" w:themeColor="text1"/>
          <w:sz w:val="32"/>
          <w:szCs w:val="32"/>
          <w14:textFill>
            <w14:solidFill>
              <w14:schemeClr w14:val="tx1"/>
            </w14:solidFill>
          </w14:textFill>
        </w:rPr>
        <w:t>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rPr>
      </w:pPr>
      <w:r>
        <w:rPr>
          <w:rFonts w:hint="eastAsia"/>
          <w:bCs/>
          <w:color w:val="auto"/>
          <w:sz w:val="32"/>
          <w:szCs w:val="32"/>
        </w:rPr>
        <w:t>历史标准。指参照历史数据制定的评价标准，为体现绩效改进的原则，在可实现的条件下应当确定相对较高的评价标准。</w:t>
      </w:r>
      <w:bookmarkStart w:id="6" w:name="_Toc68703833"/>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13"/>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cs="Times New Roman"/>
          <w:b w:val="0"/>
          <w:bCs w:val="0"/>
        </w:rPr>
        <w:t>总得分为</w:t>
      </w:r>
      <w:r>
        <w:rPr>
          <w:rFonts w:hint="eastAsia" w:ascii="Times New Roman" w:hAnsi="Times New Roman" w:eastAsia="仿宋_GB2312" w:cs="Times New Roman"/>
          <w:b w:val="0"/>
          <w:bCs w:val="0"/>
          <w:lang w:val="en-US" w:eastAsia="zh-CN"/>
        </w:rPr>
        <w:t>99.58</w:t>
      </w:r>
      <w:r>
        <w:rPr>
          <w:rFonts w:hint="eastAsia" w:ascii="Times New Roman" w:hAnsi="Times New Roman" w:eastAsia="仿宋_GB2312" w:cs="Times New Roman"/>
          <w:b w:val="0"/>
          <w:bCs w:val="0"/>
        </w:rPr>
        <w:t>分，属于“优”。其中，项目</w:t>
      </w:r>
      <w:r>
        <w:rPr>
          <w:rFonts w:hint="eastAsia" w:ascii="Times New Roman" w:hAnsi="Times New Roman" w:eastAsia="仿宋_GB2312" w:cs="Times New Roman"/>
          <w:b w:val="0"/>
          <w:bCs w:val="0"/>
          <w:lang w:val="en-US" w:eastAsia="zh-CN"/>
        </w:rPr>
        <w:t>决策</w:t>
      </w:r>
      <w:r>
        <w:rPr>
          <w:rFonts w:hint="eastAsia" w:ascii="Times New Roman" w:hAnsi="Times New Roman" w:eastAsia="仿宋_GB2312" w:cs="Times New Roman"/>
          <w:b w:val="0"/>
          <w:bCs w:val="0"/>
        </w:rPr>
        <w:t>类指标权重为20分，得分为</w:t>
      </w:r>
      <w:r>
        <w:rPr>
          <w:rFonts w:hint="eastAsia" w:ascii="Times New Roman" w:hAnsi="Times New Roman" w:eastAsia="仿宋_GB2312" w:cs="Times New Roman"/>
          <w:b w:val="0"/>
          <w:bCs w:val="0"/>
          <w:lang w:val="en-US" w:eastAsia="zh-CN"/>
        </w:rPr>
        <w:t>20</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19.83</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99.15</w:t>
      </w:r>
      <w:r>
        <w:rPr>
          <w:rFonts w:hint="eastAsia"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39.75</w:t>
      </w:r>
      <w:r>
        <w:rPr>
          <w:rFonts w:hint="eastAsia"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99.37</w:t>
      </w:r>
      <w:r>
        <w:rPr>
          <w:rFonts w:hint="eastAsia" w:ascii="Times New Roman" w:hAnsi="Times New Roman" w:eastAsia="仿宋_GB2312" w:cs="Times New Roman"/>
          <w:b w:val="0"/>
          <w:bCs w:val="0"/>
        </w:rPr>
        <w:t>%。项目效益类指标权重为</w:t>
      </w:r>
      <w:r>
        <w:rPr>
          <w:rFonts w:hint="eastAsia" w:ascii="Times New Roman" w:hAnsi="Times New Roman" w:eastAsia="仿宋_GB2312" w:cs="Times New Roman"/>
          <w:b w:val="0"/>
          <w:bCs w:val="0"/>
          <w:lang w:val="en-US" w:eastAsia="zh-CN"/>
        </w:rPr>
        <w:t>20</w:t>
      </w:r>
      <w:r>
        <w:rPr>
          <w:rFonts w:hint="eastAsia" w:ascii="Times New Roman" w:hAnsi="Times New Roman" w:eastAsia="仿宋_GB2312" w:cs="Times New Roman"/>
          <w:b w:val="0"/>
          <w:bCs w:val="0"/>
        </w:rPr>
        <w:t>分，得分为</w:t>
      </w:r>
      <w:r>
        <w:rPr>
          <w:rFonts w:hint="eastAsia" w:ascii="Times New Roman" w:hAnsi="Times New Roman" w:eastAsia="仿宋_GB2312" w:cs="Times New Roman"/>
          <w:b w:val="0"/>
          <w:bCs w:val="0"/>
          <w:lang w:val="en-US" w:eastAsia="zh-CN"/>
        </w:rPr>
        <w:t>20</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98</w:t>
      </w:r>
      <w:r>
        <w:rPr>
          <w:rFonts w:hint="eastAsia" w:ascii="Times New Roman" w:hAnsi="Times New Roman" w:eastAsia="仿宋_GB2312" w:cs="Times New Roman"/>
          <w:b w:val="0"/>
          <w:bCs w:val="0"/>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4"/>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ascii="Times New Roman" w:hAnsi="Times New Roman" w:cs="Times New Roman"/>
                <w:color w:val="000000"/>
                <w:sz w:val="22"/>
                <w:lang w:val="en-US" w:eastAsia="zh-CN"/>
              </w:rPr>
              <w:t>19.</w:t>
            </w:r>
            <w:r>
              <w:rPr>
                <w:rFonts w:hint="eastAsia" w:cs="Times New Roman"/>
                <w:color w:val="000000"/>
                <w:sz w:val="22"/>
                <w:lang w:val="en-US" w:eastAsia="zh-CN"/>
              </w:rPr>
              <w:t>83</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39.75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 xml:space="preserve">20 </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99.58</w:t>
            </w:r>
          </w:p>
        </w:tc>
      </w:tr>
    </w:tbl>
    <w:p>
      <w:pPr>
        <w:spacing w:line="560" w:lineRule="exact"/>
        <w:rPr>
          <w:rFonts w:hint="eastAsia" w:ascii="仿宋_GB2312" w:hAnsi="仿宋_GB2312" w:eastAsia="仿宋_GB2312" w:cs="仿宋_GB2312"/>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r>
        <w:rPr>
          <w:rFonts w:hint="eastAsia"/>
          <w:b w:val="0"/>
          <w:bCs w:val="0"/>
          <w:sz w:val="32"/>
          <w:szCs w:val="32"/>
          <w:lang w:val="en-US" w:eastAsia="zh-CN"/>
        </w:rPr>
        <w:t>　　</w:t>
      </w:r>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项目决策类指标包括项目立项、绩效目标和资金投入三方面的内容，由6个三级指标构成，权重分值为20分，实际得分20分，得分率为100%。</w:t>
      </w:r>
    </w:p>
    <w:p>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3"/>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w:t>
      </w:r>
      <w:r>
        <w:rPr>
          <w:rFonts w:hint="eastAsia" w:ascii="楷体" w:hAnsi="楷体" w:eastAsia="楷体" w:cs="楷体"/>
          <w:lang w:val="en-US" w:eastAsia="zh-CN"/>
        </w:rPr>
        <w:t>二</w:t>
      </w:r>
      <w:r>
        <w:rPr>
          <w:rFonts w:hint="eastAsia" w:ascii="楷体" w:hAnsi="楷体" w:eastAsia="楷体" w:cs="楷体"/>
          <w:lang w:eastAsia="zh-CN"/>
        </w:rPr>
        <w:t>）</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三级指标构成，权重分值为20分，实际得分19.</w:t>
      </w:r>
      <w:r>
        <w:rPr>
          <w:rFonts w:hint="eastAsia" w:ascii="仿宋_GB2312" w:hAnsi="仿宋_GB2312" w:cs="仿宋_GB2312"/>
          <w:sz w:val="32"/>
          <w:szCs w:val="32"/>
          <w:lang w:val="en-US" w:eastAsia="zh-CN"/>
        </w:rPr>
        <w:t>83</w:t>
      </w:r>
      <w:r>
        <w:rPr>
          <w:rFonts w:hint="eastAsia" w:ascii="仿宋_GB2312" w:hAnsi="仿宋_GB2312" w:eastAsia="仿宋_GB2312" w:cs="仿宋_GB2312"/>
          <w:sz w:val="32"/>
          <w:szCs w:val="32"/>
          <w:lang w:val="en-US" w:eastAsia="zh-CN"/>
        </w:rPr>
        <w:t>分，得分率为9</w:t>
      </w:r>
      <w:r>
        <w:rPr>
          <w:rFonts w:hint="eastAsia" w:ascii="仿宋_GB2312" w:hAnsi="仿宋_GB2312" w:cs="仿宋_GB2312"/>
          <w:sz w:val="32"/>
          <w:szCs w:val="32"/>
          <w:lang w:val="en-US" w:eastAsia="zh-CN"/>
        </w:rPr>
        <w:t>9.15</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本项目总投资35万元，</w:t>
      </w:r>
      <w:r>
        <w:rPr>
          <w:rFonts w:hint="eastAsia" w:ascii="仿宋_GB2312" w:hAnsi="仿宋_GB2312" w:cs="仿宋_GB2312"/>
          <w:sz w:val="32"/>
          <w:szCs w:val="32"/>
          <w:lang w:val="en-US" w:eastAsia="zh-CN"/>
        </w:rPr>
        <w:t>实际到位32.1万元</w:t>
      </w:r>
      <w:r>
        <w:rPr>
          <w:rFonts w:hint="eastAsia" w:ascii="仿宋_GB2312" w:hAnsi="仿宋_GB2312" w:eastAsia="仿宋_GB2312" w:cs="仿宋_GB2312"/>
          <w:sz w:val="32"/>
          <w:szCs w:val="32"/>
          <w:lang w:val="en-US" w:eastAsia="zh-CN"/>
        </w:rPr>
        <w:t>，到位率</w:t>
      </w:r>
      <w:r>
        <w:rPr>
          <w:rFonts w:hint="eastAsia" w:ascii="仿宋_GB2312" w:hAnsi="仿宋_GB2312" w:cs="仿宋_GB2312"/>
          <w:sz w:val="32"/>
          <w:szCs w:val="32"/>
          <w:lang w:val="en-US" w:eastAsia="zh-CN"/>
        </w:rPr>
        <w:t>91.7</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预算编制较为详细，项目资金支出总体能够按照预算执行，预算资金支出32.1万元，预算执行率为91.7%。</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numPr>
          <w:ilvl w:val="0"/>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项目产出类指标包括产出数量、产出质量、产出时效三方面的内容，由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个三级指标构成，权重分为40分，实际得分39.</w:t>
      </w:r>
      <w:r>
        <w:rPr>
          <w:rFonts w:hint="eastAsia" w:ascii="仿宋_GB2312" w:hAnsi="仿宋_GB2312" w:cs="仿宋_GB2312"/>
          <w:sz w:val="32"/>
          <w:szCs w:val="32"/>
          <w:lang w:val="en-US" w:eastAsia="zh-CN"/>
        </w:rPr>
        <w:t>75</w:t>
      </w:r>
      <w:r>
        <w:rPr>
          <w:rFonts w:hint="eastAsia" w:ascii="仿宋_GB2312" w:hAnsi="仿宋_GB2312" w:eastAsia="仿宋_GB2312" w:cs="仿宋_GB2312"/>
          <w:sz w:val="32"/>
          <w:szCs w:val="32"/>
          <w:lang w:val="en-US" w:eastAsia="zh-CN"/>
        </w:rPr>
        <w:t>分，得分率为99</w:t>
      </w:r>
      <w:r>
        <w:rPr>
          <w:rFonts w:hint="eastAsia" w:ascii="仿宋_GB2312" w:hAnsi="仿宋_GB2312" w:cs="仿宋_GB2312"/>
          <w:sz w:val="32"/>
          <w:szCs w:val="32"/>
          <w:lang w:val="en-US" w:eastAsia="zh-CN"/>
        </w:rPr>
        <w:t>.75</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rPr>
        <w:t>指标1：资助脱贫户和监测户子女人数</w:t>
      </w:r>
      <w:r>
        <w:rPr>
          <w:rFonts w:hint="eastAsia"/>
          <w:color w:val="auto"/>
          <w:sz w:val="32"/>
          <w:szCs w:val="32"/>
          <w:lang w:val="en-US" w:eastAsia="zh-CN"/>
        </w:rPr>
        <w:t xml:space="preserve"> </w:t>
      </w:r>
      <w:r>
        <w:rPr>
          <w:rFonts w:hint="eastAsia"/>
          <w:color w:val="auto"/>
          <w:sz w:val="32"/>
          <w:szCs w:val="32"/>
        </w:rPr>
        <w:t>，指标值：</w:t>
      </w:r>
      <w:r>
        <w:rPr>
          <w:rFonts w:hint="eastAsia"/>
          <w:color w:val="auto"/>
          <w:sz w:val="32"/>
          <w:szCs w:val="32"/>
          <w:lang w:val="en-US" w:eastAsia="zh-CN"/>
        </w:rPr>
        <w:t>=</w:t>
      </w:r>
      <w:r>
        <w:rPr>
          <w:rFonts w:hint="eastAsia"/>
          <w:color w:val="auto"/>
          <w:sz w:val="32"/>
          <w:szCs w:val="32"/>
        </w:rPr>
        <w:t>116人，实际完成值</w:t>
      </w:r>
      <w:r>
        <w:rPr>
          <w:rFonts w:hint="eastAsia"/>
          <w:color w:val="auto"/>
          <w:sz w:val="32"/>
          <w:szCs w:val="32"/>
          <w:lang w:eastAsia="zh-CN"/>
        </w:rPr>
        <w:t>：</w:t>
      </w:r>
      <w:r>
        <w:rPr>
          <w:rFonts w:hint="eastAsia"/>
          <w:color w:val="auto"/>
          <w:sz w:val="32"/>
          <w:szCs w:val="32"/>
          <w:lang w:val="en-US" w:eastAsia="zh-CN"/>
        </w:rPr>
        <w:t>107人</w:t>
      </w:r>
      <w:r>
        <w:rPr>
          <w:rFonts w:hint="eastAsia"/>
          <w:color w:val="auto"/>
          <w:sz w:val="32"/>
          <w:szCs w:val="32"/>
        </w:rPr>
        <w:t>，指标完成率</w:t>
      </w:r>
      <w:r>
        <w:rPr>
          <w:rFonts w:hint="eastAsia"/>
          <w:color w:val="auto"/>
          <w:sz w:val="32"/>
          <w:szCs w:val="32"/>
          <w:lang w:val="en-US" w:eastAsia="zh-CN"/>
        </w:rPr>
        <w:t xml:space="preserve"> 92.2</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val="en-US" w:eastAsia="zh-CN"/>
        </w:rPr>
        <w:t>在校学生存在中途退学或开除等现象导致人数偏差。</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指标2：发放扶贫助学补助次数</w:t>
      </w:r>
      <w:r>
        <w:rPr>
          <w:rFonts w:hint="eastAsia"/>
          <w:color w:val="auto"/>
          <w:sz w:val="32"/>
          <w:szCs w:val="32"/>
          <w:lang w:eastAsia="zh-CN"/>
        </w:rPr>
        <w:t>　</w:t>
      </w:r>
      <w:r>
        <w:rPr>
          <w:rFonts w:hint="eastAsia"/>
          <w:color w:val="auto"/>
          <w:sz w:val="32"/>
          <w:szCs w:val="32"/>
        </w:rPr>
        <w:t>，指标值：1次</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　</w:t>
      </w:r>
      <w:r>
        <w:rPr>
          <w:rFonts w:hint="eastAsia"/>
          <w:color w:val="auto"/>
          <w:sz w:val="32"/>
          <w:szCs w:val="32"/>
          <w:lang w:val="en-US" w:eastAsia="zh-CN"/>
        </w:rPr>
        <w:t>1次</w:t>
      </w:r>
      <w:r>
        <w:rPr>
          <w:rFonts w:hint="eastAsia"/>
          <w:color w:val="auto"/>
          <w:sz w:val="32"/>
          <w:szCs w:val="32"/>
          <w:lang w:eastAsia="zh-CN"/>
        </w:rPr>
        <w:t>　</w:t>
      </w:r>
      <w:r>
        <w:rPr>
          <w:rFonts w:hint="eastAsia"/>
          <w:color w:val="auto"/>
          <w:sz w:val="32"/>
          <w:szCs w:val="32"/>
        </w:rPr>
        <w:t>，指标完成率</w:t>
      </w:r>
      <w:r>
        <w:rPr>
          <w:rFonts w:hint="eastAsia"/>
          <w:color w:val="auto"/>
          <w:sz w:val="32"/>
          <w:szCs w:val="32"/>
          <w:lang w:eastAsia="zh-CN"/>
        </w:rPr>
        <w:t>　</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指标1：发放助学补助合规性（%）</w:t>
      </w:r>
      <w:r>
        <w:rPr>
          <w:rFonts w:hint="eastAsia"/>
          <w:color w:val="auto"/>
          <w:sz w:val="32"/>
          <w:szCs w:val="32"/>
          <w:lang w:eastAsia="zh-CN"/>
        </w:rPr>
        <w:t>　</w:t>
      </w:r>
      <w:r>
        <w:rPr>
          <w:rFonts w:hint="eastAsia"/>
          <w:color w:val="auto"/>
          <w:sz w:val="32"/>
          <w:szCs w:val="32"/>
        </w:rPr>
        <w:t>，指标值：100%</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w:t>
      </w:r>
      <w:r>
        <w:rPr>
          <w:rFonts w:hint="eastAsia"/>
          <w:color w:val="auto"/>
          <w:sz w:val="32"/>
          <w:szCs w:val="32"/>
        </w:rPr>
        <w:t>100%</w:t>
      </w:r>
      <w:r>
        <w:rPr>
          <w:rFonts w:hint="eastAsia"/>
          <w:color w:val="auto"/>
          <w:sz w:val="32"/>
          <w:szCs w:val="32"/>
          <w:lang w:val="en-US" w:eastAsia="zh-CN"/>
        </w:rPr>
        <w:t xml:space="preserve"> </w:t>
      </w:r>
      <w:r>
        <w:rPr>
          <w:rFonts w:hint="eastAsia"/>
          <w:color w:val="auto"/>
          <w:sz w:val="32"/>
          <w:szCs w:val="32"/>
        </w:rPr>
        <w:t>，指标完成率</w:t>
      </w:r>
      <w:r>
        <w:rPr>
          <w:rFonts w:hint="eastAsia"/>
          <w:color w:val="auto"/>
          <w:sz w:val="32"/>
          <w:szCs w:val="32"/>
          <w:lang w:eastAsia="zh-CN"/>
        </w:rPr>
        <w:t>　</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lang w:eastAsia="zh-CN"/>
        </w:rPr>
      </w:pPr>
      <w:r>
        <w:rPr>
          <w:rFonts w:hint="eastAsia"/>
          <w:color w:val="auto"/>
          <w:sz w:val="32"/>
          <w:szCs w:val="32"/>
        </w:rPr>
        <w:t>指标2：发放助学补助覆盖率</w:t>
      </w:r>
      <w:r>
        <w:rPr>
          <w:rFonts w:hint="eastAsia"/>
          <w:color w:val="auto"/>
          <w:sz w:val="32"/>
          <w:szCs w:val="32"/>
          <w:lang w:eastAsia="zh-CN"/>
        </w:rPr>
        <w:t>　</w:t>
      </w:r>
      <w:r>
        <w:rPr>
          <w:rFonts w:hint="eastAsia"/>
          <w:color w:val="auto"/>
          <w:sz w:val="32"/>
          <w:szCs w:val="32"/>
        </w:rPr>
        <w:t>，指标值：≥95%</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95</w:t>
      </w:r>
      <w:r>
        <w:rPr>
          <w:rFonts w:hint="eastAsia"/>
          <w:color w:val="auto"/>
          <w:sz w:val="32"/>
          <w:szCs w:val="32"/>
        </w:rPr>
        <w:t>%</w:t>
      </w:r>
      <w:r>
        <w:rPr>
          <w:rFonts w:hint="eastAsia"/>
          <w:color w:val="auto"/>
          <w:sz w:val="32"/>
          <w:szCs w:val="32"/>
          <w:lang w:eastAsia="zh-CN"/>
        </w:rPr>
        <w:t>　</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320" w:firstLineChars="100"/>
        <w:outlineLvl w:val="0"/>
        <w:rPr>
          <w:rFonts w:hint="eastAsia" w:ascii="仿宋_GB2312" w:hAnsi="仿宋_GB2312" w:eastAsia="仿宋_GB2312" w:cs="仿宋_GB2312"/>
          <w:sz w:val="32"/>
          <w:szCs w:val="32"/>
          <w:highlight w:val="none"/>
          <w:lang w:val="en-US" w:eastAsia="zh-CN"/>
        </w:rPr>
      </w:pPr>
      <w:bookmarkStart w:id="14" w:name="_Toc68703841"/>
      <w:r>
        <w:rPr>
          <w:rFonts w:hint="eastAsia" w:ascii="仿宋_GB2312" w:hAnsi="仿宋_GB2312" w:eastAsia="仿宋_GB2312" w:cs="仿宋_GB2312"/>
          <w:sz w:val="32"/>
          <w:szCs w:val="32"/>
          <w:highlight w:val="none"/>
          <w:lang w:val="en-US" w:eastAsia="zh-CN"/>
        </w:rPr>
        <w:t>　</w:t>
      </w:r>
      <w:r>
        <w:rPr>
          <w:rFonts w:hint="eastAsia"/>
          <w:color w:val="auto"/>
          <w:sz w:val="32"/>
          <w:szCs w:val="32"/>
        </w:rPr>
        <w:t>指标1：发放助学补助及时率</w:t>
      </w:r>
      <w:r>
        <w:rPr>
          <w:rFonts w:hint="eastAsia"/>
          <w:color w:val="auto"/>
          <w:sz w:val="32"/>
          <w:szCs w:val="32"/>
          <w:lang w:eastAsia="zh-CN"/>
        </w:rPr>
        <w:t>，</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　</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个三级指标构成，权重分为</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val="en-US" w:eastAsia="zh-CN"/>
        </w:rPr>
        <w:t>分，实际得分19.61分，得分率为98%。具体效益指标及满意度指标完成情况如下：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r>
        <w:rPr>
          <w:rFonts w:hint="eastAsia" w:ascii="仿宋_GB2312" w:hAnsi="仿宋_GB2312" w:cs="仿宋_GB2312"/>
          <w:sz w:val="32"/>
          <w:szCs w:val="32"/>
          <w:highlight w:val="none"/>
          <w:lang w:val="en-US" w:eastAsia="zh-CN"/>
        </w:rPr>
        <w:t xml:space="preserve">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指标1：受益脱贫户人口数</w:t>
      </w:r>
      <w:r>
        <w:rPr>
          <w:rFonts w:hint="eastAsia"/>
          <w:color w:val="auto"/>
          <w:sz w:val="32"/>
          <w:szCs w:val="32"/>
          <w:lang w:val="en-US" w:eastAsia="zh-CN"/>
        </w:rPr>
        <w:t xml:space="preserve"> </w:t>
      </w:r>
      <w:r>
        <w:rPr>
          <w:rFonts w:hint="eastAsia"/>
          <w:color w:val="auto"/>
          <w:sz w:val="32"/>
          <w:szCs w:val="32"/>
        </w:rPr>
        <w:t>，指标值：</w:t>
      </w:r>
      <w:r>
        <w:rPr>
          <w:rFonts w:hint="eastAsia"/>
          <w:color w:val="auto"/>
          <w:sz w:val="32"/>
          <w:szCs w:val="32"/>
          <w:lang w:val="en-US" w:eastAsia="zh-CN"/>
        </w:rPr>
        <w:t>≥116人</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107人</w:t>
      </w:r>
      <w:r>
        <w:rPr>
          <w:rFonts w:hint="eastAsia"/>
          <w:color w:val="auto"/>
          <w:sz w:val="32"/>
          <w:szCs w:val="32"/>
        </w:rPr>
        <w:t>，指标完成率</w:t>
      </w:r>
      <w:r>
        <w:rPr>
          <w:rFonts w:hint="eastAsia"/>
          <w:color w:val="auto"/>
          <w:sz w:val="32"/>
          <w:szCs w:val="32"/>
          <w:lang w:val="en-US" w:eastAsia="zh-CN"/>
        </w:rPr>
        <w:t>92.2</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val="en-US" w:eastAsia="zh-CN"/>
        </w:rPr>
        <w:t>在校学生存在中途退学或开除等现象导致人数偏差。</w:t>
      </w:r>
    </w:p>
    <w:p>
      <w:pPr>
        <w:shd w:val="clear"/>
        <w:spacing w:line="600" w:lineRule="exact"/>
        <w:ind w:firstLine="640" w:firstLineChars="200"/>
        <w:outlineLvl w:val="0"/>
        <w:rPr>
          <w:rFonts w:hint="eastAsia" w:eastAsia="仿宋_GB2312"/>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color w:val="auto"/>
          <w:sz w:val="32"/>
          <w:szCs w:val="32"/>
          <w:lang w:val="en-US" w:eastAsia="zh-CN"/>
        </w:rPr>
        <w:t>提升脱贫家庭新成长劳动力接受职业教育，促进稳定就业。</w:t>
      </w:r>
      <w:r>
        <w:rPr>
          <w:rFonts w:hint="eastAsia"/>
          <w:color w:val="auto"/>
          <w:sz w:val="32"/>
          <w:szCs w:val="32"/>
        </w:rPr>
        <w:t>指标值：</w:t>
      </w:r>
      <w:r>
        <w:rPr>
          <w:rFonts w:hint="eastAsia"/>
          <w:color w:val="auto"/>
          <w:sz w:val="32"/>
          <w:szCs w:val="32"/>
          <w:lang w:val="en-US" w:eastAsia="zh-CN"/>
        </w:rPr>
        <w:t>有效提升，</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有效提升，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320" w:firstLineChars="100"/>
        <w:outlineLvl w:val="0"/>
        <w:rPr>
          <w:rFonts w:hint="eastAsia" w:ascii="仿宋_GB2312" w:hAnsi="仿宋_GB2312" w:eastAsia="仿宋_GB2312" w:cs="仿宋_GB2312"/>
          <w:sz w:val="32"/>
          <w:szCs w:val="32"/>
          <w:highlight w:val="none"/>
          <w:lang w:val="en-US" w:eastAsia="zh-CN"/>
        </w:rPr>
      </w:pPr>
      <w:r>
        <w:rPr>
          <w:rFonts w:hint="eastAsia"/>
          <w:color w:val="auto"/>
          <w:sz w:val="32"/>
          <w:szCs w:val="32"/>
          <w:lang w:eastAsia="zh-CN"/>
        </w:rPr>
        <w:t>　</w:t>
      </w: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320" w:firstLineChars="100"/>
        <w:outlineLvl w:val="0"/>
        <w:rPr>
          <w:rFonts w:hint="eastAsia"/>
          <w:color w:val="auto"/>
          <w:sz w:val="32"/>
          <w:szCs w:val="32"/>
        </w:rPr>
      </w:pPr>
      <w:r>
        <w:rPr>
          <w:rFonts w:hint="eastAsia"/>
          <w:color w:val="auto"/>
          <w:sz w:val="32"/>
          <w:szCs w:val="32"/>
        </w:rPr>
        <w:t>指标1：受助</w:t>
      </w:r>
      <w:r>
        <w:rPr>
          <w:rFonts w:hint="eastAsia"/>
          <w:color w:val="auto"/>
          <w:sz w:val="32"/>
          <w:szCs w:val="32"/>
          <w:lang w:val="en-US" w:eastAsia="zh-CN"/>
        </w:rPr>
        <w:t>家庭</w:t>
      </w:r>
      <w:r>
        <w:rPr>
          <w:rFonts w:hint="eastAsia"/>
          <w:color w:val="auto"/>
          <w:sz w:val="32"/>
          <w:szCs w:val="32"/>
        </w:rPr>
        <w:t>满意度(%）</w:t>
      </w:r>
      <w:r>
        <w:rPr>
          <w:rFonts w:hint="eastAsia"/>
          <w:color w:val="auto"/>
          <w:sz w:val="32"/>
          <w:szCs w:val="32"/>
          <w:lang w:eastAsia="zh-CN"/>
        </w:rPr>
        <w:t>，</w:t>
      </w:r>
      <w:r>
        <w:rPr>
          <w:rFonts w:hint="eastAsia"/>
          <w:color w:val="auto"/>
          <w:sz w:val="32"/>
          <w:szCs w:val="32"/>
        </w:rPr>
        <w:t>指标值：</w:t>
      </w:r>
      <w:r>
        <w:rPr>
          <w:rFonts w:hint="eastAsia"/>
          <w:color w:val="auto"/>
          <w:sz w:val="32"/>
          <w:szCs w:val="32"/>
          <w:lang w:val="en-US" w:eastAsia="zh-CN"/>
        </w:rPr>
        <w:t>≥95</w:t>
      </w:r>
      <w:r>
        <w:rPr>
          <w:rFonts w:hint="eastAsia"/>
          <w:color w:val="auto"/>
          <w:sz w:val="32"/>
          <w:szCs w:val="32"/>
        </w:rPr>
        <w:t>%</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40" w:firstLineChars="200"/>
        <w:jc w:val="both"/>
        <w:textAlignment w:val="auto"/>
      </w:pPr>
      <w:r>
        <w:rPr>
          <w:rFonts w:hint="eastAsia" w:ascii="仿宋_GB2312" w:hAnsi="仿宋_GB2312" w:cs="仿宋_GB2312"/>
          <w:kern w:val="2"/>
          <w:sz w:val="32"/>
          <w:szCs w:val="32"/>
          <w:lang w:val="en-US" w:eastAsia="zh-CN" w:bidi="ar-SA"/>
        </w:rPr>
        <w:t>“雨露计划”</w:t>
      </w:r>
      <w:r>
        <w:rPr>
          <w:rFonts w:hint="eastAsia" w:ascii="仿宋_GB2312" w:hAnsi="仿宋_GB2312" w:eastAsia="仿宋_GB2312" w:cs="仿宋_GB2312"/>
          <w:kern w:val="2"/>
          <w:sz w:val="32"/>
          <w:szCs w:val="32"/>
          <w:lang w:val="en-US" w:eastAsia="zh-CN" w:bidi="ar-SA"/>
        </w:rPr>
        <w:t>项目年初预算</w:t>
      </w:r>
      <w:r>
        <w:rPr>
          <w:rFonts w:hint="eastAsia" w:ascii="仿宋_GB2312" w:hAnsi="仿宋_GB2312" w:cs="仿宋_GB2312"/>
          <w:kern w:val="2"/>
          <w:sz w:val="32"/>
          <w:szCs w:val="32"/>
          <w:lang w:val="en-US" w:eastAsia="zh-CN" w:bidi="ar-SA"/>
        </w:rPr>
        <w:t>35</w:t>
      </w:r>
      <w:r>
        <w:rPr>
          <w:rFonts w:hint="eastAsia" w:ascii="仿宋_GB2312" w:hAnsi="仿宋_GB2312" w:eastAsia="仿宋_GB2312" w:cs="仿宋_GB2312"/>
          <w:kern w:val="2"/>
          <w:sz w:val="32"/>
          <w:szCs w:val="32"/>
          <w:lang w:val="en-US" w:eastAsia="zh-CN" w:bidi="ar-SA"/>
        </w:rPr>
        <w:t>万元，全年预算</w:t>
      </w:r>
      <w:r>
        <w:rPr>
          <w:rFonts w:hint="eastAsia" w:ascii="仿宋_GB2312" w:hAnsi="仿宋_GB2312" w:cs="仿宋_GB2312"/>
          <w:kern w:val="2"/>
          <w:sz w:val="32"/>
          <w:szCs w:val="32"/>
          <w:lang w:val="en-US" w:eastAsia="zh-CN" w:bidi="ar-SA"/>
        </w:rPr>
        <w:t>35</w:t>
      </w:r>
      <w:r>
        <w:rPr>
          <w:rFonts w:hint="eastAsia" w:ascii="仿宋_GB2312" w:hAnsi="仿宋_GB2312" w:eastAsia="仿宋_GB2312" w:cs="仿宋_GB2312"/>
          <w:kern w:val="2"/>
          <w:sz w:val="32"/>
          <w:szCs w:val="32"/>
          <w:lang w:val="en-US" w:eastAsia="zh-CN" w:bidi="ar-SA"/>
        </w:rPr>
        <w:t>万元，实际支出</w:t>
      </w:r>
      <w:r>
        <w:rPr>
          <w:rFonts w:hint="eastAsia" w:ascii="仿宋_GB2312" w:hAnsi="仿宋_GB2312" w:cs="仿宋_GB2312"/>
          <w:kern w:val="2"/>
          <w:sz w:val="32"/>
          <w:szCs w:val="32"/>
          <w:lang w:val="en-US" w:eastAsia="zh-CN" w:bidi="ar-SA"/>
        </w:rPr>
        <w:t>32.1</w:t>
      </w:r>
      <w:r>
        <w:rPr>
          <w:rFonts w:hint="eastAsia" w:ascii="仿宋_GB2312" w:hAnsi="仿宋_GB2312" w:eastAsia="仿宋_GB2312" w:cs="仿宋_GB2312"/>
          <w:kern w:val="2"/>
          <w:sz w:val="32"/>
          <w:szCs w:val="32"/>
          <w:lang w:val="en-US" w:eastAsia="zh-CN" w:bidi="ar-SA"/>
        </w:rPr>
        <w:t>万元，预算执行率为91.7%，项目绩效指标总体完成率为98.3%，</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偏差率为6.6%,</w:t>
      </w:r>
      <w:r>
        <w:rPr>
          <w:rFonts w:hint="eastAsia" w:ascii="仿宋_GB2312" w:hAnsi="仿宋_GB2312" w:eastAsia="仿宋_GB2312" w:cs="仿宋_GB2312"/>
          <w:kern w:val="2"/>
          <w:sz w:val="32"/>
          <w:szCs w:val="32"/>
          <w:lang w:val="en-US" w:eastAsia="zh-Hans" w:bidi="ar-SA"/>
        </w:rPr>
        <w:t>偏差</w:t>
      </w:r>
      <w:r>
        <w:rPr>
          <w:rFonts w:hint="eastAsia" w:ascii="仿宋_GB2312" w:hAnsi="仿宋_GB2312" w:eastAsia="仿宋_GB2312" w:cs="仿宋_GB2312"/>
          <w:kern w:val="2"/>
          <w:sz w:val="32"/>
          <w:szCs w:val="32"/>
          <w:lang w:val="en-US" w:eastAsia="zh-CN" w:bidi="ar-SA"/>
        </w:rPr>
        <w:t>原因</w:t>
      </w:r>
      <w:r>
        <w:rPr>
          <w:rFonts w:hint="eastAsia" w:ascii="仿宋_GB2312" w:hAnsi="仿宋_GB2312" w:cs="仿宋_GB2312"/>
          <w:kern w:val="2"/>
          <w:sz w:val="32"/>
          <w:szCs w:val="32"/>
          <w:lang w:val="en-US" w:eastAsia="zh-CN" w:bidi="ar-SA"/>
        </w:rPr>
        <w:t>：</w:t>
      </w:r>
      <w:r>
        <w:rPr>
          <w:rFonts w:hint="eastAsia"/>
          <w:color w:val="auto"/>
          <w:sz w:val="32"/>
          <w:szCs w:val="32"/>
          <w:lang w:val="en-US" w:eastAsia="zh-CN"/>
        </w:rPr>
        <w:t>在校学生存在中途退学或开除等现象导致人数偏差</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改进</w:t>
      </w:r>
      <w:r>
        <w:rPr>
          <w:rFonts w:hint="eastAsia" w:ascii="仿宋_GB2312" w:hAnsi="仿宋_GB2312" w:eastAsia="仿宋_GB2312" w:cs="仿宋_GB2312"/>
          <w:kern w:val="2"/>
          <w:sz w:val="32"/>
          <w:szCs w:val="32"/>
          <w:lang w:val="en-US" w:eastAsia="zh-CN" w:bidi="ar-SA"/>
        </w:rPr>
        <w:t>措施</w:t>
      </w:r>
      <w:r>
        <w:rPr>
          <w:rFonts w:hint="eastAsia" w:ascii="仿宋_GB2312" w:hAnsi="仿宋_GB2312" w:cs="仿宋_GB2312"/>
          <w:kern w:val="2"/>
          <w:sz w:val="32"/>
          <w:szCs w:val="32"/>
          <w:lang w:val="en-US" w:eastAsia="zh-CN" w:bidi="ar-SA"/>
        </w:rPr>
        <w:t>:</w:t>
      </w:r>
      <w:r>
        <w:rPr>
          <w:rFonts w:hint="eastAsia" w:ascii="仿宋_GB2312" w:hAnsi="Times New Roman" w:eastAsia="仿宋_GB2312" w:cs="仿宋_GB2312"/>
          <w:i w:val="0"/>
          <w:caps w:val="0"/>
          <w:color w:val="333333"/>
          <w:spacing w:val="0"/>
          <w:sz w:val="32"/>
          <w:szCs w:val="32"/>
          <w:shd w:val="clear" w:fill="FFFFFF"/>
          <w:lang w:val="en-US" w:eastAsia="zh-CN"/>
        </w:rPr>
        <w:t>一是</w:t>
      </w:r>
      <w:r>
        <w:rPr>
          <w:rFonts w:hint="default" w:ascii="仿宋_GB2312" w:hAnsi="Times New Roman" w:eastAsia="仿宋_GB2312" w:cs="仿宋_GB2312"/>
          <w:i w:val="0"/>
          <w:caps w:val="0"/>
          <w:color w:val="333333"/>
          <w:spacing w:val="0"/>
          <w:kern w:val="2"/>
          <w:sz w:val="32"/>
          <w:szCs w:val="32"/>
          <w:shd w:val="clear" w:fill="FFFFFF"/>
          <w:lang w:val="en-US" w:eastAsia="zh-CN" w:bidi="ar-SA"/>
        </w:rPr>
        <w:t>做好雨露计划的前期需求摸底工作，加大对</w:t>
      </w:r>
      <w:r>
        <w:rPr>
          <w:rFonts w:hint="eastAsia" w:ascii="仿宋_GB2312" w:hAnsi="Times New Roman" w:eastAsia="仿宋_GB2312" w:cs="仿宋_GB2312"/>
          <w:i w:val="0"/>
          <w:caps w:val="0"/>
          <w:color w:val="333333"/>
          <w:spacing w:val="0"/>
          <w:kern w:val="2"/>
          <w:sz w:val="32"/>
          <w:szCs w:val="32"/>
          <w:shd w:val="clear" w:fill="FFFFFF"/>
          <w:lang w:val="en-US" w:eastAsia="zh-CN" w:bidi="ar-SA"/>
        </w:rPr>
        <w:t>脱贫</w:t>
      </w:r>
      <w:r>
        <w:rPr>
          <w:rFonts w:hint="default" w:ascii="仿宋_GB2312" w:hAnsi="Times New Roman" w:eastAsia="仿宋_GB2312" w:cs="仿宋_GB2312"/>
          <w:i w:val="0"/>
          <w:caps w:val="0"/>
          <w:color w:val="333333"/>
          <w:spacing w:val="0"/>
          <w:kern w:val="2"/>
          <w:sz w:val="32"/>
          <w:szCs w:val="32"/>
          <w:shd w:val="clear" w:fill="FFFFFF"/>
          <w:lang w:val="en-US" w:eastAsia="zh-CN" w:bidi="ar-SA"/>
        </w:rPr>
        <w:t>户</w:t>
      </w:r>
      <w:r>
        <w:rPr>
          <w:rFonts w:hint="eastAsia" w:ascii="仿宋_GB2312" w:hAnsi="Times New Roman" w:eastAsia="仿宋_GB2312" w:cs="仿宋_GB2312"/>
          <w:i w:val="0"/>
          <w:caps w:val="0"/>
          <w:color w:val="333333"/>
          <w:spacing w:val="0"/>
          <w:kern w:val="2"/>
          <w:sz w:val="32"/>
          <w:szCs w:val="32"/>
          <w:shd w:val="clear" w:fill="FFFFFF"/>
          <w:lang w:val="en-US" w:eastAsia="zh-CN" w:bidi="ar-SA"/>
        </w:rPr>
        <w:t>、监测户</w:t>
      </w:r>
      <w:r>
        <w:rPr>
          <w:rFonts w:hint="default" w:ascii="仿宋_GB2312" w:hAnsi="Times New Roman" w:eastAsia="仿宋_GB2312" w:cs="仿宋_GB2312"/>
          <w:i w:val="0"/>
          <w:caps w:val="0"/>
          <w:color w:val="333333"/>
          <w:spacing w:val="0"/>
          <w:kern w:val="2"/>
          <w:sz w:val="32"/>
          <w:szCs w:val="32"/>
          <w:shd w:val="clear" w:fill="FFFFFF"/>
          <w:lang w:val="en-US" w:eastAsia="zh-CN" w:bidi="ar-SA"/>
        </w:rPr>
        <w:t>子女补助需求的摸排力度，对需要补助的人数做好前期预判，及时申请，确保家庭困难的</w:t>
      </w:r>
      <w:r>
        <w:rPr>
          <w:rFonts w:hint="eastAsia" w:ascii="仿宋_GB2312" w:hAnsi="Times New Roman" w:eastAsia="仿宋_GB2312" w:cs="仿宋_GB2312"/>
          <w:i w:val="0"/>
          <w:caps w:val="0"/>
          <w:color w:val="333333"/>
          <w:spacing w:val="0"/>
          <w:kern w:val="2"/>
          <w:sz w:val="32"/>
          <w:szCs w:val="32"/>
          <w:shd w:val="clear" w:fill="FFFFFF"/>
          <w:lang w:val="en-US" w:eastAsia="zh-CN" w:bidi="ar-SA"/>
        </w:rPr>
        <w:t>脱贫</w:t>
      </w:r>
      <w:r>
        <w:rPr>
          <w:rFonts w:hint="default" w:ascii="仿宋_GB2312" w:hAnsi="Times New Roman" w:eastAsia="仿宋_GB2312" w:cs="仿宋_GB2312"/>
          <w:i w:val="0"/>
          <w:caps w:val="0"/>
          <w:color w:val="333333"/>
          <w:spacing w:val="0"/>
          <w:kern w:val="2"/>
          <w:sz w:val="32"/>
          <w:szCs w:val="32"/>
          <w:shd w:val="clear" w:fill="FFFFFF"/>
          <w:lang w:val="en-US" w:eastAsia="zh-CN" w:bidi="ar-SA"/>
        </w:rPr>
        <w:t>户子女能够及时得到雨露计划补助扶持，确实解决贫困户子女上学难问题。</w:t>
      </w:r>
      <w:r>
        <w:rPr>
          <w:rFonts w:hint="eastAsia" w:ascii="仿宋_GB2312" w:hAnsi="Times New Roman" w:eastAsia="仿宋_GB2312" w:cs="仿宋_GB2312"/>
          <w:i w:val="0"/>
          <w:caps w:val="0"/>
          <w:color w:val="333333"/>
          <w:spacing w:val="0"/>
          <w:sz w:val="32"/>
          <w:szCs w:val="32"/>
          <w:shd w:val="clear" w:fill="FFFFFF"/>
          <w:lang w:val="en-US" w:eastAsia="zh-CN"/>
        </w:rPr>
        <w:t>二是加强项目绩效相关制度学习；三是提前规划好2024年项目资金支出进度。</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3"/>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Times New Roman"/>
          <w:b w:val="0"/>
          <w:bCs/>
          <w:kern w:val="2"/>
          <w:sz w:val="32"/>
          <w:szCs w:val="32"/>
          <w:lang w:val="en-US" w:eastAsia="zh-CN" w:bidi="ar-SA"/>
        </w:rPr>
      </w:pPr>
      <w:bookmarkStart w:id="19" w:name="_Toc68703846"/>
      <w:r>
        <w:rPr>
          <w:rFonts w:hint="eastAsia" w:ascii="Times New Roman" w:hAnsi="Times New Roman"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sz w:val="32"/>
          <w:szCs w:val="32"/>
          <w:lang w:eastAsia="zh-CN"/>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Pr>
        <w:pStyle w:val="2"/>
        <w:rPr>
          <w:rFonts w:hint="eastAsia" w:ascii="仿宋_GB2312" w:hAnsi="仿宋_GB2312" w:cs="仿宋_GB2312"/>
          <w:sz w:val="32"/>
          <w:szCs w:val="32"/>
          <w:lang w:eastAsia="zh-CN"/>
        </w:rPr>
      </w:pPr>
    </w:p>
    <w:p>
      <w:pPr>
        <w:pStyle w:val="2"/>
        <w:ind w:left="0" w:leftChars="0" w:firstLine="0" w:firstLineChars="0"/>
        <w:rPr>
          <w:rFonts w:hint="eastAsia" w:ascii="仿宋_GB2312" w:hAnsi="仿宋_GB2312" w:cs="仿宋_GB2312"/>
          <w:sz w:val="32"/>
          <w:szCs w:val="32"/>
          <w:lang w:eastAsia="zh-CN"/>
        </w:rPr>
      </w:pPr>
    </w:p>
    <w:p>
      <w:pPr>
        <w:pStyle w:val="2"/>
        <w:rPr>
          <w:rFonts w:hint="eastAsia" w:ascii="仿宋_GB2312" w:hAnsi="仿宋_GB2312" w:cs="仿宋_GB2312"/>
          <w:sz w:val="32"/>
          <w:szCs w:val="32"/>
          <w:lang w:eastAsia="zh-CN"/>
        </w:rPr>
      </w:pPr>
    </w:p>
    <w:tbl>
      <w:tblPr>
        <w:tblStyle w:val="14"/>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霍尔果斯市“雨露计划”补助项目</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bidi="ar"/>
              </w:rPr>
            </w:pPr>
            <w:r>
              <w:rPr>
                <w:rFonts w:hint="eastAsia" w:eastAsia="宋体" w:cs="Times New Roman"/>
                <w:kern w:val="0"/>
                <w:sz w:val="18"/>
                <w:szCs w:val="18"/>
                <w:lang w:val="en-US" w:eastAsia="zh-CN" w:bidi="ar"/>
              </w:rPr>
              <w:t>霍尔果斯市乡村振兴局</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eastAsia="宋体" w:cs="Times New Roman"/>
                <w:kern w:val="0"/>
                <w:sz w:val="18"/>
                <w:szCs w:val="18"/>
                <w:lang w:val="en-US" w:eastAsia="zh-CN" w:bidi="ar"/>
              </w:rPr>
              <w:t>霍尔果斯市乡村振兴局</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35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35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32.1</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91.71%</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9.17分</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35 </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olor w:val="000000"/>
                <w:kern w:val="0"/>
                <w:sz w:val="20"/>
                <w:szCs w:val="20"/>
                <w:u w:val="none"/>
                <w:lang w:val="en-US" w:eastAsia="zh-CN" w:bidi="ar"/>
              </w:rPr>
              <w:t xml:space="preserve">35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32.1</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依据《关于深入落实雨露计划有关政策的通知》新扶贫2019年29号文件的要求，雨露计划作为专项扶贫计划的重要内容，引导和支持农村贫困家庭新成长劳动力接受职业教育是培养技能型人才，促进稳定就业，提高贫困人口素质，促进贫困地区经济发展的重要措施。目标1：财政补助资金35万元，对脱贫户和监测户家庭子女就读中、高职在校学生每人每年补助3000元，补助中、高职学生116人；</w:t>
            </w:r>
          </w:p>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目标2：为保障享受雨露计划家庭子女全面接受中、高职教育，提高就读学生职业技能水平，为稳定就业打下坚实的基础。</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依据《关于深入落实雨露计划有关政策的通知》新扶贫2019年29号文件的要求，雨露计划作为专项扶贫计划的重要内容，引导和支持农村贫困家庭新成长劳动力接受职业教育是培养技能型人才，促进稳定就业，提高贫困人口素质，促进贫困地区经济发展的重要措施。财政补助资金32.1万元，对脱贫户和监测户家庭子女就读中、高职在校学生每人每年补助3000元，补助中、高职学生107人；保障享受雨露计划家庭子女全面接受中、高职教育，提高就读学生职业技能水平，为稳定就业打下坚实的基础。</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资助脱贫户和监测户子女人数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=116人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107人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9.22</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在校学生存在退学或开除等现象导致人数偏差</w:t>
            </w: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发放扶贫助学补助次数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资助标准达标率（%）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发放助学补助覆盖率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发放助学补助及时率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脱贫户和监测户子女生均资助标准（元/学年）</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=3000元/学年</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3000元/学年</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1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效益指标</w:t>
            </w:r>
          </w:p>
        </w:tc>
        <w:tc>
          <w:tcPr>
            <w:tcW w:w="859"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受益脱贫户人口数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&gt;=116人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107人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lang w:val="en-US" w:eastAsia="zh-CN"/>
              </w:rPr>
            </w:pPr>
            <w:r>
              <w:rPr>
                <w:rFonts w:hint="eastAsia" w:ascii="宋体" w:hAnsi="宋体" w:eastAsia="宋体" w:cs="宋体"/>
                <w:i w:val="0"/>
                <w:color w:val="000000"/>
                <w:kern w:val="0"/>
                <w:sz w:val="20"/>
                <w:szCs w:val="20"/>
                <w:u w:val="none"/>
                <w:lang w:val="en-US" w:eastAsia="zh-CN" w:bidi="ar"/>
              </w:rPr>
              <w:t>9.22</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tbl>
            <w:tblPr>
              <w:tblStyle w:val="14"/>
              <w:tblW w:w="1150" w:type="dxa"/>
              <w:tblInd w:w="0" w:type="dxa"/>
              <w:tblLayout w:type="fixed"/>
              <w:tblCellMar>
                <w:top w:w="0" w:type="dxa"/>
                <w:left w:w="0" w:type="dxa"/>
                <w:bottom w:w="0" w:type="dxa"/>
                <w:right w:w="0" w:type="dxa"/>
              </w:tblCellMar>
            </w:tblPr>
            <w:tblGrid>
              <w:gridCol w:w="1150"/>
            </w:tblGrid>
            <w:tr>
              <w:tblPrEx>
                <w:tblLayout w:type="fixed"/>
                <w:tblCellMar>
                  <w:top w:w="0" w:type="dxa"/>
                  <w:left w:w="0" w:type="dxa"/>
                  <w:bottom w:w="0" w:type="dxa"/>
                  <w:right w:w="0" w:type="dxa"/>
                </w:tblCellMar>
              </w:tblPrEx>
              <w:trPr>
                <w:trHeight w:val="408" w:hRule="atLeast"/>
              </w:trPr>
              <w:tc>
                <w:tcPr>
                  <w:tcW w:w="11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在校学生存在退学或开除等现象导致人数偏差</w:t>
                  </w:r>
                </w:p>
              </w:tc>
            </w:tr>
          </w:tbl>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1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提升脱贫家庭新成长劳动力接受职业教育</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有效提升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有效提升</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lang w:val="en-US" w:eastAsia="zh-CN"/>
              </w:rP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108"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859"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受助家庭满意度(%）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lang w:val="en-US" w:eastAsia="zh-CN"/>
              </w:rP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3"/>
        <w:ind w:firstLine="562"/>
        <w:jc w:val="center"/>
        <w:rPr>
          <w:sz w:val="28"/>
          <w:szCs w:val="40"/>
        </w:rPr>
      </w:pPr>
      <w:bookmarkStart w:id="20" w:name="_Toc26499_WPSOffice_Level2"/>
      <w:bookmarkStart w:id="21" w:name="_Toc30064_WPSOffice_Level1"/>
      <w:r>
        <w:rPr>
          <w:rFonts w:hint="eastAsia"/>
          <w:b/>
          <w:bCs/>
          <w:sz w:val="28"/>
          <w:szCs w:val="40"/>
          <w:highlight w:val="none"/>
          <w:lang w:val="en-US" w:eastAsia="zh-CN"/>
        </w:rPr>
        <w:t>雨露计划</w:t>
      </w:r>
      <w:r>
        <w:rPr>
          <w:rFonts w:hint="eastAsia"/>
          <w:b/>
          <w:bCs/>
          <w:sz w:val="28"/>
          <w:szCs w:val="40"/>
          <w:highlight w:val="none"/>
        </w:rPr>
        <w:t>项目</w:t>
      </w:r>
      <w:r>
        <w:rPr>
          <w:rFonts w:hint="eastAsia"/>
          <w:b/>
          <w:bCs/>
          <w:sz w:val="28"/>
          <w:szCs w:val="40"/>
        </w:rPr>
        <w:t>绩效评价指标体系及综合评分表</w:t>
      </w:r>
      <w:bookmarkEnd w:id="20"/>
      <w:bookmarkEnd w:id="21"/>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eastAsia="zh-CN"/>
              </w:rPr>
              <w:t>/</w:t>
            </w: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039EAC53"/>
    <w:multiLevelType w:val="singleLevel"/>
    <w:tmpl w:val="039EAC53"/>
    <w:lvl w:ilvl="0" w:tentative="0">
      <w:start w:val="2"/>
      <w:numFmt w:val="decimal"/>
      <w:lvlText w:val="%1."/>
      <w:lvlJc w:val="left"/>
      <w:pPr>
        <w:tabs>
          <w:tab w:val="left" w:pos="312"/>
        </w:tabs>
        <w:ind w:left="320" w:leftChars="0" w:firstLine="0" w:firstLineChars="0"/>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5MTE2YWNlODNkODVlZmI1YTcxNWI3NWZlMDdiNDcifQ=="/>
  </w:docVars>
  <w:rsids>
    <w:rsidRoot w:val="007D49C5"/>
    <w:rsid w:val="000D63FA"/>
    <w:rsid w:val="005B64E8"/>
    <w:rsid w:val="00614288"/>
    <w:rsid w:val="00670592"/>
    <w:rsid w:val="00792CFE"/>
    <w:rsid w:val="007D49C5"/>
    <w:rsid w:val="008175E0"/>
    <w:rsid w:val="008C631D"/>
    <w:rsid w:val="00A114ED"/>
    <w:rsid w:val="00B24331"/>
    <w:rsid w:val="013134F5"/>
    <w:rsid w:val="01583141"/>
    <w:rsid w:val="017A2618"/>
    <w:rsid w:val="03486E5D"/>
    <w:rsid w:val="03526967"/>
    <w:rsid w:val="05253FFE"/>
    <w:rsid w:val="05E24C49"/>
    <w:rsid w:val="07F10A4D"/>
    <w:rsid w:val="0AE918CC"/>
    <w:rsid w:val="0B3D46FE"/>
    <w:rsid w:val="0B5674F3"/>
    <w:rsid w:val="0C5653B9"/>
    <w:rsid w:val="0E4F3DAC"/>
    <w:rsid w:val="0F2A6BF7"/>
    <w:rsid w:val="101B3C80"/>
    <w:rsid w:val="109627EE"/>
    <w:rsid w:val="115571B8"/>
    <w:rsid w:val="12DC53B4"/>
    <w:rsid w:val="13B86EB8"/>
    <w:rsid w:val="16B66740"/>
    <w:rsid w:val="17136327"/>
    <w:rsid w:val="181871E2"/>
    <w:rsid w:val="18A14B05"/>
    <w:rsid w:val="19166846"/>
    <w:rsid w:val="19DA19B7"/>
    <w:rsid w:val="1BF006E6"/>
    <w:rsid w:val="1CB76590"/>
    <w:rsid w:val="1FBA6951"/>
    <w:rsid w:val="20E92B23"/>
    <w:rsid w:val="21872CA2"/>
    <w:rsid w:val="22813D29"/>
    <w:rsid w:val="22AC2218"/>
    <w:rsid w:val="22C179E6"/>
    <w:rsid w:val="23337719"/>
    <w:rsid w:val="2335751E"/>
    <w:rsid w:val="233A4603"/>
    <w:rsid w:val="23527A64"/>
    <w:rsid w:val="2452105F"/>
    <w:rsid w:val="25D6079F"/>
    <w:rsid w:val="260C2ECE"/>
    <w:rsid w:val="26263FE0"/>
    <w:rsid w:val="27150FD4"/>
    <w:rsid w:val="2729052F"/>
    <w:rsid w:val="27806CA5"/>
    <w:rsid w:val="28C14634"/>
    <w:rsid w:val="295B3526"/>
    <w:rsid w:val="2A2A6A53"/>
    <w:rsid w:val="2AE835BE"/>
    <w:rsid w:val="2B9929B5"/>
    <w:rsid w:val="2B9C53AD"/>
    <w:rsid w:val="2C1F19EA"/>
    <w:rsid w:val="2E111C41"/>
    <w:rsid w:val="2EC724D4"/>
    <w:rsid w:val="2EE30257"/>
    <w:rsid w:val="30D772F2"/>
    <w:rsid w:val="30D81CCE"/>
    <w:rsid w:val="321E564D"/>
    <w:rsid w:val="332B6260"/>
    <w:rsid w:val="337A3E81"/>
    <w:rsid w:val="34DA27CE"/>
    <w:rsid w:val="36411DC5"/>
    <w:rsid w:val="36B72533"/>
    <w:rsid w:val="37307291"/>
    <w:rsid w:val="37952451"/>
    <w:rsid w:val="37996527"/>
    <w:rsid w:val="37CE542D"/>
    <w:rsid w:val="3A367F5A"/>
    <w:rsid w:val="3B077DE9"/>
    <w:rsid w:val="3C217EE4"/>
    <w:rsid w:val="3CE851D3"/>
    <w:rsid w:val="3D3478E0"/>
    <w:rsid w:val="3D8D1703"/>
    <w:rsid w:val="40464F49"/>
    <w:rsid w:val="4057649F"/>
    <w:rsid w:val="408845A4"/>
    <w:rsid w:val="40C152B6"/>
    <w:rsid w:val="40E50C1E"/>
    <w:rsid w:val="4204379E"/>
    <w:rsid w:val="43312E32"/>
    <w:rsid w:val="4354008E"/>
    <w:rsid w:val="438169EF"/>
    <w:rsid w:val="450B6AE4"/>
    <w:rsid w:val="468D6154"/>
    <w:rsid w:val="48DD0E52"/>
    <w:rsid w:val="4B445B65"/>
    <w:rsid w:val="4BF67846"/>
    <w:rsid w:val="4C242D73"/>
    <w:rsid w:val="4E702EB8"/>
    <w:rsid w:val="4F301FFB"/>
    <w:rsid w:val="4F351E23"/>
    <w:rsid w:val="4FAA3CEB"/>
    <w:rsid w:val="529516C5"/>
    <w:rsid w:val="53F2321D"/>
    <w:rsid w:val="54873A1A"/>
    <w:rsid w:val="55EB46AE"/>
    <w:rsid w:val="56796849"/>
    <w:rsid w:val="568F383B"/>
    <w:rsid w:val="58826F6A"/>
    <w:rsid w:val="5AEB2E4E"/>
    <w:rsid w:val="5BF1724E"/>
    <w:rsid w:val="5C394E4E"/>
    <w:rsid w:val="5D555EEF"/>
    <w:rsid w:val="5D62727A"/>
    <w:rsid w:val="5DA95371"/>
    <w:rsid w:val="5E5D44E1"/>
    <w:rsid w:val="5EC11FD5"/>
    <w:rsid w:val="5F0121FE"/>
    <w:rsid w:val="5FF10A7D"/>
    <w:rsid w:val="605B6F0A"/>
    <w:rsid w:val="61B22CA4"/>
    <w:rsid w:val="65021814"/>
    <w:rsid w:val="65A65A21"/>
    <w:rsid w:val="680851F4"/>
    <w:rsid w:val="686F7714"/>
    <w:rsid w:val="69586974"/>
    <w:rsid w:val="6A1F4FE5"/>
    <w:rsid w:val="6A862BA8"/>
    <w:rsid w:val="6BC5003B"/>
    <w:rsid w:val="6BCD02EE"/>
    <w:rsid w:val="6CE8644B"/>
    <w:rsid w:val="6DFC1C65"/>
    <w:rsid w:val="6E020E0C"/>
    <w:rsid w:val="6FC55B43"/>
    <w:rsid w:val="6FC92F16"/>
    <w:rsid w:val="70B2085B"/>
    <w:rsid w:val="71562176"/>
    <w:rsid w:val="731B4131"/>
    <w:rsid w:val="73756945"/>
    <w:rsid w:val="74EC07F1"/>
    <w:rsid w:val="75FA041F"/>
    <w:rsid w:val="760F49BD"/>
    <w:rsid w:val="76793B13"/>
    <w:rsid w:val="76E870A0"/>
    <w:rsid w:val="7AE40DD7"/>
    <w:rsid w:val="7B320EE1"/>
    <w:rsid w:val="7B386C3D"/>
    <w:rsid w:val="7BD32829"/>
    <w:rsid w:val="7DEE3196"/>
    <w:rsid w:val="7E2F6FF7"/>
    <w:rsid w:val="7E6939DB"/>
    <w:rsid w:val="7F2F3EA0"/>
    <w:rsid w:val="7F3C24DB"/>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Lines="0" w:afterAutospacing="0" w:line="560" w:lineRule="exact"/>
      <w:ind w:left="0" w:leftChars="0" w:firstLine="880" w:firstLineChars="200"/>
    </w:pPr>
    <w:rPr>
      <w:rFonts w:ascii="Times New Roman" w:hAnsi="Times New Roman"/>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2"/>
    <w:semiHidden/>
    <w:unhideWhenUsed/>
    <w:qFormat/>
    <w:uiPriority w:val="99"/>
    <w:pPr>
      <w:tabs>
        <w:tab w:val="center" w:pos="4153"/>
        <w:tab w:val="right" w:pos="8306"/>
      </w:tabs>
      <w:snapToGrid w:val="0"/>
      <w:jc w:val="left"/>
    </w:pPr>
    <w:rPr>
      <w:sz w:val="18"/>
      <w:szCs w:val="18"/>
    </w:rPr>
  </w:style>
  <w:style w:type="paragraph" w:styleId="9">
    <w:name w:val="header"/>
    <w:basedOn w:val="1"/>
    <w:link w:val="2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6">
    <w:name w:val="Strong"/>
    <w:qFormat/>
    <w:uiPriority w:val="0"/>
    <w:rPr>
      <w:b/>
      <w:bCs/>
    </w:rPr>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customStyle="1" w:styleId="18">
    <w:name w:val="标题 1 Char"/>
    <w:basedOn w:val="15"/>
    <w:link w:val="4"/>
    <w:qFormat/>
    <w:uiPriority w:val="9"/>
    <w:rPr>
      <w:rFonts w:ascii="Times New Roman" w:hAnsi="Times New Roman" w:eastAsia="仿宋_GB2312" w:cs="Times New Roman"/>
      <w:b/>
      <w:bCs/>
      <w:kern w:val="44"/>
      <w:sz w:val="44"/>
      <w:szCs w:val="44"/>
    </w:rPr>
  </w:style>
  <w:style w:type="character" w:customStyle="1" w:styleId="19">
    <w:name w:val="标题 2 Char"/>
    <w:basedOn w:val="15"/>
    <w:link w:val="5"/>
    <w:qFormat/>
    <w:uiPriority w:val="9"/>
    <w:rPr>
      <w:rFonts w:asciiTheme="majorHAnsi" w:hAnsiTheme="majorHAnsi" w:eastAsiaTheme="majorEastAsia" w:cstheme="majorBidi"/>
      <w:b/>
      <w:bCs/>
      <w:sz w:val="32"/>
      <w:szCs w:val="32"/>
    </w:rPr>
  </w:style>
  <w:style w:type="paragraph" w:customStyle="1" w:styleId="20">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1">
    <w:name w:val="页眉 Char"/>
    <w:basedOn w:val="15"/>
    <w:link w:val="9"/>
    <w:semiHidden/>
    <w:qFormat/>
    <w:uiPriority w:val="99"/>
    <w:rPr>
      <w:rFonts w:ascii="Times New Roman" w:hAnsi="Times New Roman" w:eastAsia="仿宋_GB2312" w:cs="Times New Roman"/>
      <w:sz w:val="18"/>
      <w:szCs w:val="18"/>
    </w:rPr>
  </w:style>
  <w:style w:type="character" w:customStyle="1" w:styleId="22">
    <w:name w:val="页脚 Char"/>
    <w:basedOn w:val="15"/>
    <w:link w:val="8"/>
    <w:semiHidden/>
    <w:qFormat/>
    <w:uiPriority w:val="99"/>
    <w:rPr>
      <w:rFonts w:ascii="Times New Roman" w:hAnsi="Times New Roman" w:eastAsia="仿宋_GB2312" w:cs="Times New Roman"/>
      <w:sz w:val="18"/>
      <w:szCs w:val="18"/>
    </w:rPr>
  </w:style>
  <w:style w:type="paragraph" w:customStyle="1" w:styleId="23">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23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2026-07-02T05:17:15Z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