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val="en-US" w:eastAsia="zh-CN"/>
        </w:rPr>
        <w:t>车辆租赁经费</w:t>
      </w:r>
      <w:r>
        <w:rPr>
          <w:rFonts w:eastAsia="方正小标宋_GBK"/>
          <w:kern w:val="0"/>
          <w:sz w:val="48"/>
          <w:szCs w:val="48"/>
        </w:rPr>
        <w:t>资金项目支出绩效评价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车辆租赁经费项目</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霍尔果斯市工业园区街道办事处</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霍尔果斯市工业园区街道办事处</w:t>
      </w:r>
    </w:p>
    <w:p>
      <w:pPr>
        <w:spacing w:line="560" w:lineRule="exact"/>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lang w:val="en-US" w:eastAsia="zh-CN"/>
        </w:rPr>
        <w:t xml:space="preserve">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高铮</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15</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ascii="仿宋_GB2312" w:hAnsi="仿宋"/>
          <w:color w:val="auto"/>
          <w:sz w:val="32"/>
          <w:szCs w:val="32"/>
        </w:rPr>
        <w:t>谁申请资金，谁编制目标”的原则和规定的方法、程序，科学合</w:t>
      </w:r>
      <w:r>
        <w:rPr>
          <w:rFonts w:hint="eastAsia"/>
          <w:color w:val="000000" w:themeColor="text1"/>
          <w:sz w:val="32"/>
          <w:szCs w:val="32"/>
          <w:lang w:val="en-US" w:eastAsia="zh-CN"/>
          <w14:textFill>
            <w14:solidFill>
              <w14:schemeClr w14:val="tx1"/>
            </w14:solidFill>
          </w14:textFill>
        </w:rPr>
        <w:t>霍尔果斯市工业园区街道办事处</w:t>
      </w:r>
      <w:r>
        <w:rPr>
          <w:rFonts w:hint="eastAsia" w:ascii="Times New Roman" w:hAnsi="Times New Roman" w:cs="Times New Roman"/>
          <w:color w:val="000000" w:themeColor="text1"/>
          <w:sz w:val="32"/>
          <w:szCs w:val="32"/>
          <w:lang w:val="en-US" w:eastAsia="zh-CN"/>
          <w14:textFill>
            <w14:solidFill>
              <w14:schemeClr w14:val="tx1"/>
            </w14:solidFill>
          </w14:textFill>
        </w:rPr>
        <w:t>为正常、及时、优质的服务辖区内企业、工地、群众，根据《霍尔果斯市委财经委员会2021年第6次会议纪要》（霍市党财纪[2021]6号）执行，租赁面包车2辆，作为公务用车，完善街道基础配置。</w:t>
      </w:r>
      <w:r>
        <w:rPr>
          <w:rFonts w:hint="eastAsia" w:ascii="仿宋_GB2312" w:hAnsi="仿宋"/>
          <w:color w:val="auto"/>
          <w:sz w:val="32"/>
          <w:szCs w:val="32"/>
        </w:rPr>
        <w:t>本项目依据《中共中央国务院关于全面实施预算绩效管理的意见》（中发〔2018〕</w:t>
      </w:r>
      <w:r>
        <w:rPr>
          <w:rFonts w:ascii="仿宋_GB2312" w:hAnsi="仿宋"/>
          <w:color w:val="auto"/>
          <w:sz w:val="32"/>
          <w:szCs w:val="32"/>
        </w:rPr>
        <w:t>34</w:t>
      </w:r>
      <w:r>
        <w:rPr>
          <w:rFonts w:hint="eastAsia" w:ascii="仿宋_GB2312" w:hAnsi="仿宋"/>
          <w:color w:val="auto"/>
          <w:sz w:val="32"/>
          <w:szCs w:val="32"/>
        </w:rPr>
        <w:t>号）、《项目支出绩效评价管理办法》（财预〔20</w:t>
      </w:r>
      <w:r>
        <w:rPr>
          <w:rFonts w:ascii="仿宋_GB2312" w:hAnsi="仿宋"/>
          <w:color w:val="auto"/>
          <w:sz w:val="32"/>
          <w:szCs w:val="32"/>
        </w:rPr>
        <w:t>20</w:t>
      </w:r>
      <w:r>
        <w:rPr>
          <w:rFonts w:hint="eastAsia" w:ascii="仿宋_GB2312" w:hAnsi="仿宋"/>
          <w:color w:val="auto"/>
          <w:sz w:val="32"/>
          <w:szCs w:val="32"/>
        </w:rPr>
        <w:t>〕</w:t>
      </w:r>
      <w:r>
        <w:rPr>
          <w:rFonts w:ascii="仿宋_GB2312" w:hAnsi="仿宋"/>
          <w:color w:val="auto"/>
          <w:sz w:val="32"/>
          <w:szCs w:val="32"/>
        </w:rPr>
        <w:t>10</w:t>
      </w:r>
      <w:r>
        <w:rPr>
          <w:rFonts w:hint="eastAsia" w:ascii="仿宋_GB2312" w:hAnsi="仿宋"/>
          <w:color w:val="auto"/>
          <w:sz w:val="32"/>
          <w:szCs w:val="32"/>
        </w:rPr>
        <w:t>号）等文件要求，结合项目开展情况，按照“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主要内容：</w:t>
      </w:r>
      <w:r>
        <w:rPr>
          <w:rFonts w:hint="eastAsia" w:ascii="仿宋_GB2312"/>
          <w:color w:val="000000" w:themeColor="text1"/>
          <w:sz w:val="32"/>
          <w:szCs w:val="32"/>
          <w:lang w:val="en-US" w:eastAsia="zh-CN"/>
          <w14:textFill>
            <w14:solidFill>
              <w14:schemeClr w14:val="tx1"/>
            </w14:solidFill>
          </w14:textFill>
        </w:rPr>
        <w:t>霍尔果斯市工业园区街道</w:t>
      </w:r>
      <w:r>
        <w:rPr>
          <w:rFonts w:hint="eastAsia" w:ascii="Times New Roman" w:hAnsi="Times New Roman" w:cs="Times New Roman"/>
          <w:color w:val="000000" w:themeColor="text1"/>
          <w:sz w:val="32"/>
          <w:szCs w:val="32"/>
          <w:lang w:val="en-US" w:eastAsia="zh-CN"/>
          <w14:textFill>
            <w14:solidFill>
              <w14:schemeClr w14:val="tx1"/>
            </w14:solidFill>
          </w14:textFill>
        </w:rPr>
        <w:t>租赁面包车2辆，作为公务用</w:t>
      </w:r>
      <w:r>
        <w:rPr>
          <w:rFonts w:hint="eastAsia" w:ascii="仿宋_GB2312" w:hAnsi="Times New Roman" w:cs="Times New Roman"/>
          <w:color w:val="000000" w:themeColor="text1"/>
          <w:sz w:val="32"/>
          <w:szCs w:val="32"/>
          <w:lang w:val="en-US" w:eastAsia="zh-CN"/>
          <w14:textFill>
            <w14:solidFill>
              <w14:schemeClr w14:val="tx1"/>
            </w14:solidFill>
          </w14:textFill>
        </w:rPr>
        <w:t>车，有效提高干部走访率，及时解决辖区各族群众困难。</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color w:val="auto"/>
          <w:sz w:val="32"/>
          <w:szCs w:val="32"/>
          <w:lang w:eastAsia="zh-CN"/>
        </w:rPr>
      </w:pPr>
      <w:r>
        <w:rPr>
          <w:rFonts w:hint="eastAsia" w:ascii="Times New Roman" w:hAnsi="Times New Roman" w:cs="Times New Roman"/>
          <w:b w:val="0"/>
          <w:bCs w:val="0"/>
          <w:color w:val="auto"/>
          <w:sz w:val="32"/>
          <w:szCs w:val="32"/>
          <w:lang w:eastAsia="zh-CN"/>
        </w:rPr>
        <w:t>　3</w:t>
      </w:r>
      <w:r>
        <w:rPr>
          <w:rFonts w:hint="eastAsia" w:ascii="Times New Roman" w:hAnsi="Times New Roman" w:cs="Times New Roman"/>
          <w:b w:val="0"/>
          <w:bCs w:val="0"/>
          <w:color w:val="auto"/>
          <w:sz w:val="32"/>
          <w:szCs w:val="32"/>
          <w:lang w:val="en-US" w:eastAsia="zh-CN"/>
        </w:rPr>
        <w:t>.</w:t>
      </w:r>
      <w:r>
        <w:rPr>
          <w:rFonts w:hint="eastAsia" w:ascii="Times New Roman" w:hAnsi="Times New Roman"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10</w:t>
      </w:r>
      <w:r>
        <w:rPr>
          <w:rFonts w:hint="eastAsia"/>
          <w:color w:val="auto"/>
          <w:sz w:val="32"/>
          <w:szCs w:val="32"/>
        </w:rPr>
        <w:t>万元，全年预算数</w:t>
      </w:r>
      <w:r>
        <w:rPr>
          <w:rFonts w:hint="eastAsia"/>
          <w:color w:val="auto"/>
          <w:sz w:val="32"/>
          <w:szCs w:val="32"/>
          <w:lang w:val="en-US" w:eastAsia="zh-CN"/>
        </w:rPr>
        <w:t>10</w:t>
      </w:r>
      <w:r>
        <w:rPr>
          <w:rFonts w:hint="eastAsia"/>
          <w:color w:val="auto"/>
          <w:sz w:val="32"/>
          <w:szCs w:val="32"/>
        </w:rPr>
        <w:t>万元，实际总投入</w:t>
      </w:r>
      <w:r>
        <w:rPr>
          <w:rFonts w:hint="eastAsia"/>
          <w:color w:val="auto"/>
          <w:sz w:val="32"/>
          <w:szCs w:val="32"/>
          <w:lang w:val="en-US" w:eastAsia="zh-CN"/>
        </w:rPr>
        <w:t>10</w:t>
      </w:r>
      <w:r>
        <w:rPr>
          <w:rFonts w:hint="eastAsia"/>
          <w:color w:val="auto"/>
          <w:sz w:val="32"/>
          <w:szCs w:val="32"/>
        </w:rPr>
        <w:t>万元，该项目资金已全部落实到位，资金来源为</w:t>
      </w:r>
      <w:r>
        <w:rPr>
          <w:rFonts w:hint="eastAsia"/>
          <w:color w:val="auto"/>
          <w:sz w:val="32"/>
          <w:szCs w:val="32"/>
          <w:lang w:val="en-US" w:eastAsia="zh-CN"/>
        </w:rPr>
        <w:t>当年财政拨款</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10</w:t>
      </w:r>
      <w:r>
        <w:rPr>
          <w:rFonts w:hint="eastAsia"/>
          <w:color w:val="auto"/>
          <w:sz w:val="32"/>
          <w:szCs w:val="32"/>
        </w:rPr>
        <w:t>万元，全年预算数</w:t>
      </w:r>
      <w:r>
        <w:rPr>
          <w:rFonts w:hint="eastAsia"/>
          <w:color w:val="auto"/>
          <w:sz w:val="32"/>
          <w:szCs w:val="32"/>
          <w:lang w:val="en-US" w:eastAsia="zh-CN"/>
        </w:rPr>
        <w:t>10</w:t>
      </w:r>
      <w:r>
        <w:rPr>
          <w:rFonts w:hint="eastAsia"/>
          <w:color w:val="auto"/>
          <w:sz w:val="32"/>
          <w:szCs w:val="32"/>
        </w:rPr>
        <w:t>万元，全年执行数</w:t>
      </w:r>
      <w:r>
        <w:rPr>
          <w:rFonts w:hint="eastAsia"/>
          <w:color w:val="auto"/>
          <w:sz w:val="32"/>
          <w:szCs w:val="32"/>
          <w:lang w:val="en-US" w:eastAsia="zh-CN"/>
        </w:rPr>
        <w:t>9.98</w:t>
      </w:r>
      <w:r>
        <w:rPr>
          <w:rFonts w:hint="eastAsia"/>
          <w:color w:val="auto"/>
          <w:sz w:val="32"/>
          <w:szCs w:val="32"/>
        </w:rPr>
        <w:t>万元，预算执行率为</w:t>
      </w:r>
      <w:r>
        <w:rPr>
          <w:rFonts w:hint="eastAsia"/>
          <w:color w:val="auto"/>
          <w:sz w:val="32"/>
          <w:szCs w:val="32"/>
          <w:lang w:val="en-US" w:eastAsia="zh-CN"/>
        </w:rPr>
        <w:t>99.8</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车辆租赁费用9.98</w:t>
      </w:r>
      <w:r>
        <w:rPr>
          <w:rFonts w:hint="eastAsia"/>
          <w:color w:val="auto"/>
          <w:sz w:val="32"/>
          <w:szCs w:val="32"/>
        </w:rPr>
        <w:t>万元。</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s="Times New Roman"/>
          <w:color w:val="auto"/>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ascii="Times New Roman" w:hAnsi="Times New Roman" w:cs="Times New Roman"/>
          <w:color w:val="auto"/>
          <w:sz w:val="32"/>
          <w:szCs w:val="32"/>
        </w:rPr>
        <w:t>为正常、及时、优质的服务辖区内企业、工地、群众，根据《霍尔果斯市委财经委员会2021年第6次会议纪要》（霍市党财纪[2021]6号）执行，租赁面包车2辆，作为公务用车，完善街道基础配置。有效提高干部走访率</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rPr>
        <w:t>及时解决辖区各族群众困难。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s="Times New Roman"/>
          <w:color w:val="auto"/>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cs="Times New Roman"/>
          <w:color w:val="auto"/>
          <w:sz w:val="32"/>
          <w:szCs w:val="32"/>
        </w:rPr>
        <w:t>有效提高干部走访率</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rPr>
        <w:t>及时解决辖区各族群众困难。</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车辆租赁经费</w:t>
      </w:r>
      <w:r>
        <w:rPr>
          <w:rFonts w:hint="eastAsia" w:ascii="仿宋_GB2312" w:hAnsi="仿宋_GB2312" w:eastAsia="仿宋_GB2312" w:cs="仿宋_GB2312"/>
          <w:sz w:val="32"/>
          <w:szCs w:val="32"/>
        </w:rPr>
        <w:t>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lang w:val="en-US" w:eastAsia="zh-CN"/>
        </w:rPr>
        <w:t>车辆租赁经费</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计划标准和历史标准</w:t>
      </w:r>
      <w:r>
        <w:rPr>
          <w:rFonts w:hint="eastAsia"/>
          <w:bCs/>
          <w:color w:val="000000" w:themeColor="text1"/>
          <w:sz w:val="32"/>
          <w:szCs w:val="32"/>
          <w14:textFill>
            <w14:solidFill>
              <w14:schemeClr w14:val="tx1"/>
            </w14:solidFill>
          </w14:textFill>
        </w:rPr>
        <w:t>。</w:t>
      </w:r>
    </w:p>
    <w:p>
      <w:pPr>
        <w:spacing w:line="560" w:lineRule="exact"/>
        <w:ind w:firstLine="640"/>
        <w:rPr>
          <w:rFonts w:hint="eastAsia" w:ascii="Times New Roman" w:hAnsi="Times New Roman" w:cs="Times New Roman"/>
          <w:bCs/>
          <w:color w:val="000000" w:themeColor="text1"/>
          <w:sz w:val="32"/>
          <w:szCs w:val="32"/>
          <w14:textFill>
            <w14:solidFill>
              <w14:schemeClr w14:val="tx1"/>
            </w14:solidFill>
          </w14:textFill>
        </w:rPr>
      </w:pPr>
      <w:r>
        <w:rPr>
          <w:rFonts w:hint="eastAsia" w:ascii="Times New Roman" w:hAnsi="Times New Roman" w:cs="Times New Roman"/>
          <w:bCs/>
          <w:color w:val="000000" w:themeColor="text1"/>
          <w:sz w:val="32"/>
          <w:szCs w:val="32"/>
          <w14:textFill>
            <w14:solidFill>
              <w14:schemeClr w14:val="tx1"/>
            </w14:solidFill>
          </w14:textFill>
        </w:rPr>
        <w:t>（一）计划标准。指以预先制定的目标、计划、预算、定额等作为评价标准。</w:t>
      </w:r>
    </w:p>
    <w:p>
      <w:pPr>
        <w:spacing w:line="560" w:lineRule="exact"/>
        <w:ind w:firstLine="640"/>
        <w:rPr>
          <w:rFonts w:hint="eastAsia" w:ascii="Times New Roman" w:hAnsi="Times New Roman" w:cs="Times New Roman"/>
          <w:bCs/>
          <w:color w:val="000000" w:themeColor="text1"/>
          <w:sz w:val="32"/>
          <w:szCs w:val="32"/>
          <w14:textFill>
            <w14:solidFill>
              <w14:schemeClr w14:val="tx1"/>
            </w14:solidFill>
          </w14:textFill>
        </w:rPr>
      </w:pPr>
      <w:r>
        <w:rPr>
          <w:rFonts w:hint="eastAsia" w:ascii="Times New Roman" w:hAnsi="Times New Roman" w:cs="Times New Roman"/>
          <w:bCs/>
          <w:color w:val="000000" w:themeColor="text1"/>
          <w:sz w:val="32"/>
          <w:szCs w:val="32"/>
          <w14:textFill>
            <w14:solidFill>
              <w14:schemeClr w14:val="tx1"/>
            </w14:solidFill>
          </w14:textFill>
        </w:rPr>
        <w:t>（</w:t>
      </w:r>
      <w:r>
        <w:rPr>
          <w:rFonts w:hint="eastAsia" w:ascii="Times New Roman" w:hAnsi="Times New Roman" w:cs="Times New Roman"/>
          <w:bCs/>
          <w:color w:val="000000" w:themeColor="text1"/>
          <w:sz w:val="32"/>
          <w:szCs w:val="32"/>
          <w:lang w:val="en-US" w:eastAsia="zh-CN"/>
          <w14:textFill>
            <w14:solidFill>
              <w14:schemeClr w14:val="tx1"/>
            </w14:solidFill>
          </w14:textFill>
        </w:rPr>
        <w:t>二</w:t>
      </w:r>
      <w:r>
        <w:rPr>
          <w:rFonts w:hint="eastAsia" w:ascii="Times New Roman" w:hAnsi="Times New Roman" w:cs="Times New Roman"/>
          <w:bCs/>
          <w:color w:val="000000" w:themeColor="text1"/>
          <w:sz w:val="32"/>
          <w:szCs w:val="32"/>
          <w14:textFill>
            <w14:solidFill>
              <w14:schemeClr w14:val="tx1"/>
            </w14:solidFill>
          </w14:textFill>
        </w:rPr>
        <w:t>）历史标准。指参照历史数据制定的评价标准，为体现绩效改进的原则，在可实现的条件下应当确定相对较高的评价标准。</w:t>
      </w:r>
      <w:bookmarkStart w:id="6" w:name="_Toc68703833"/>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color w:val="000000" w:themeColor="text1"/>
          <w:highlight w:val="none"/>
          <w14:textFill>
            <w14:solidFill>
              <w14:schemeClr w14:val="tx1"/>
            </w14:solidFill>
          </w14:textFill>
        </w:rPr>
        <w:t>总得分为</w:t>
      </w:r>
      <w:r>
        <w:rPr>
          <w:rFonts w:hint="eastAsia" w:ascii="Times New Roman" w:hAnsi="Times New Roman" w:eastAsia="仿宋_GB2312"/>
          <w:b w:val="0"/>
          <w:bCs w:val="0"/>
          <w:color w:val="000000" w:themeColor="text1"/>
          <w:highlight w:val="none"/>
          <w:lang w:val="en-US" w:eastAsia="zh-CN"/>
          <w14:textFill>
            <w14:solidFill>
              <w14:schemeClr w14:val="tx1"/>
            </w14:solidFill>
          </w14:textFill>
        </w:rPr>
        <w:t>99.99</w:t>
      </w:r>
      <w:r>
        <w:rPr>
          <w:rFonts w:hint="eastAsia" w:ascii="Times New Roman" w:hAnsi="Times New Roman" w:eastAsia="仿宋_GB2312"/>
          <w:b w:val="0"/>
          <w:bCs w:val="0"/>
          <w:color w:val="000000" w:themeColor="text1"/>
          <w:highlight w:val="none"/>
          <w14:textFill>
            <w14:solidFill>
              <w14:schemeClr w14:val="tx1"/>
            </w14:solidFill>
          </w14:textFill>
        </w:rPr>
        <w:t xml:space="preserve">分，属于“优”。其中，项目决策类指标权重为20分，得分为 </w:t>
      </w:r>
      <w:r>
        <w:rPr>
          <w:rFonts w:hint="eastAsia" w:ascii="Times New Roman" w:hAnsi="Times New Roman" w:eastAsia="仿宋_GB2312"/>
          <w:b w:val="0"/>
          <w:bCs w:val="0"/>
          <w:color w:val="000000" w:themeColor="text1"/>
          <w:highlight w:val="none"/>
          <w:lang w:val="en-US" w:eastAsia="zh-CN"/>
          <w14:textFill>
            <w14:solidFill>
              <w14:schemeClr w14:val="tx1"/>
            </w14:solidFill>
          </w14:textFill>
        </w:rPr>
        <w:t>20</w:t>
      </w:r>
      <w:r>
        <w:rPr>
          <w:rFonts w:hint="eastAsia" w:ascii="Times New Roman" w:hAnsi="Times New Roman" w:eastAsia="仿宋_GB2312"/>
          <w:b w:val="0"/>
          <w:bCs w:val="0"/>
          <w:color w:val="000000" w:themeColor="text1"/>
          <w:highlight w:val="none"/>
          <w14:textFill>
            <w14:solidFill>
              <w14:schemeClr w14:val="tx1"/>
            </w14:solidFill>
          </w14:textFill>
        </w:rPr>
        <w:t>分，得分率为</w:t>
      </w:r>
      <w:r>
        <w:rPr>
          <w:rFonts w:hint="eastAsia" w:ascii="Times New Roman" w:hAnsi="Times New Roman" w:eastAsia="仿宋_GB2312"/>
          <w:b w:val="0"/>
          <w:bCs w:val="0"/>
          <w:color w:val="000000" w:themeColor="text1"/>
          <w:highlight w:val="none"/>
          <w:lang w:val="en-US" w:eastAsia="zh-CN"/>
          <w14:textFill>
            <w14:solidFill>
              <w14:schemeClr w14:val="tx1"/>
            </w14:solidFill>
          </w14:textFill>
        </w:rPr>
        <w:t>100</w:t>
      </w:r>
      <w:r>
        <w:rPr>
          <w:rFonts w:hint="eastAsia" w:ascii="Times New Roman" w:hAnsi="Times New Roman" w:eastAsia="仿宋_GB2312"/>
          <w:b w:val="0"/>
          <w:bCs w:val="0"/>
          <w:color w:val="000000" w:themeColor="text1"/>
          <w:highlight w:val="none"/>
          <w14:textFill>
            <w14:solidFill>
              <w14:schemeClr w14:val="tx1"/>
            </w14:solidFill>
          </w14:textFill>
        </w:rPr>
        <w:t>%。项目过程类指标权重为20分，得分为</w:t>
      </w:r>
      <w:r>
        <w:rPr>
          <w:rFonts w:hint="eastAsia" w:ascii="Times New Roman" w:hAnsi="Times New Roman" w:eastAsia="仿宋_GB2312"/>
          <w:b w:val="0"/>
          <w:bCs w:val="0"/>
          <w:color w:val="000000" w:themeColor="text1"/>
          <w:highlight w:val="none"/>
          <w:lang w:val="en-US" w:eastAsia="zh-CN"/>
          <w14:textFill>
            <w14:solidFill>
              <w14:schemeClr w14:val="tx1"/>
            </w14:solidFill>
          </w14:textFill>
        </w:rPr>
        <w:t>19.99</w:t>
      </w:r>
      <w:r>
        <w:rPr>
          <w:rFonts w:hint="eastAsia" w:ascii="Times New Roman" w:hAnsi="Times New Roman" w:eastAsia="仿宋_GB2312"/>
          <w:b w:val="0"/>
          <w:bCs w:val="0"/>
          <w:color w:val="000000" w:themeColor="text1"/>
          <w:highlight w:val="none"/>
          <w14:textFill>
            <w14:solidFill>
              <w14:schemeClr w14:val="tx1"/>
            </w14:solidFill>
          </w14:textFill>
        </w:rPr>
        <w:t>分，得分率为</w:t>
      </w:r>
      <w:r>
        <w:rPr>
          <w:rFonts w:hint="eastAsia" w:ascii="Times New Roman" w:hAnsi="Times New Roman" w:eastAsia="仿宋_GB2312"/>
          <w:b w:val="0"/>
          <w:bCs w:val="0"/>
          <w:color w:val="000000" w:themeColor="text1"/>
          <w:highlight w:val="none"/>
          <w:lang w:val="en-US" w:eastAsia="zh-CN"/>
          <w14:textFill>
            <w14:solidFill>
              <w14:schemeClr w14:val="tx1"/>
            </w14:solidFill>
          </w14:textFill>
        </w:rPr>
        <w:t>99.95</w:t>
      </w:r>
      <w:r>
        <w:rPr>
          <w:rFonts w:hint="eastAsia" w:ascii="Times New Roman" w:hAnsi="Times New Roman" w:eastAsia="仿宋_GB2312"/>
          <w:b w:val="0"/>
          <w:bCs w:val="0"/>
          <w:color w:val="000000" w:themeColor="text1"/>
          <w:highlight w:val="none"/>
          <w14:textFill>
            <w14:solidFill>
              <w14:schemeClr w14:val="tx1"/>
            </w14:solidFill>
          </w14:textFill>
        </w:rPr>
        <w:t>%。项目产出类指标权重为40分，得分为</w:t>
      </w:r>
      <w:r>
        <w:rPr>
          <w:rFonts w:hint="eastAsia" w:ascii="Times New Roman" w:hAnsi="Times New Roman" w:eastAsia="仿宋_GB2312"/>
          <w:b w:val="0"/>
          <w:bCs w:val="0"/>
          <w:color w:val="000000" w:themeColor="text1"/>
          <w:highlight w:val="none"/>
          <w:lang w:val="en-US" w:eastAsia="zh-CN"/>
          <w14:textFill>
            <w14:solidFill>
              <w14:schemeClr w14:val="tx1"/>
            </w14:solidFill>
          </w14:textFill>
        </w:rPr>
        <w:t>40</w:t>
      </w:r>
      <w:r>
        <w:rPr>
          <w:rFonts w:hint="eastAsia" w:ascii="Times New Roman" w:hAnsi="Times New Roman" w:eastAsia="仿宋_GB2312"/>
          <w:b w:val="0"/>
          <w:bCs w:val="0"/>
          <w:color w:val="000000" w:themeColor="text1"/>
          <w:highlight w:val="none"/>
          <w14:textFill>
            <w14:solidFill>
              <w14:schemeClr w14:val="tx1"/>
            </w14:solidFill>
          </w14:textFill>
        </w:rPr>
        <w:t>分，得分率为</w:t>
      </w:r>
      <w:r>
        <w:rPr>
          <w:rFonts w:hint="eastAsia" w:ascii="Times New Roman" w:hAnsi="Times New Roman" w:eastAsia="仿宋_GB2312"/>
          <w:b w:val="0"/>
          <w:bCs w:val="0"/>
          <w:color w:val="000000" w:themeColor="text1"/>
          <w:highlight w:val="none"/>
          <w:lang w:val="en-US" w:eastAsia="zh-CN"/>
          <w14:textFill>
            <w14:solidFill>
              <w14:schemeClr w14:val="tx1"/>
            </w14:solidFill>
          </w14:textFill>
        </w:rPr>
        <w:t>100</w:t>
      </w:r>
      <w:r>
        <w:rPr>
          <w:rFonts w:hint="eastAsia" w:ascii="Times New Roman" w:hAnsi="Times New Roman" w:eastAsia="仿宋_GB2312"/>
          <w:b w:val="0"/>
          <w:bCs w:val="0"/>
          <w:color w:val="000000" w:themeColor="text1"/>
          <w:highlight w:val="none"/>
          <w14:textFill>
            <w14:solidFill>
              <w14:schemeClr w14:val="tx1"/>
            </w14:solidFill>
          </w14:textFill>
        </w:rPr>
        <w:t>%。项目效益类指标权重为20分，得分为</w:t>
      </w:r>
      <w:r>
        <w:rPr>
          <w:rFonts w:hint="eastAsia" w:ascii="Times New Roman" w:hAnsi="Times New Roman" w:eastAsia="仿宋_GB2312"/>
          <w:b w:val="0"/>
          <w:bCs w:val="0"/>
          <w:color w:val="000000" w:themeColor="text1"/>
          <w:highlight w:val="none"/>
          <w:lang w:val="en-US" w:eastAsia="zh-CN"/>
          <w14:textFill>
            <w14:solidFill>
              <w14:schemeClr w14:val="tx1"/>
            </w14:solidFill>
          </w14:textFill>
        </w:rPr>
        <w:t>20</w:t>
      </w:r>
      <w:r>
        <w:rPr>
          <w:rFonts w:hint="eastAsia" w:ascii="Times New Roman" w:hAnsi="Times New Roman" w:eastAsia="仿宋_GB2312"/>
          <w:b w:val="0"/>
          <w:bCs w:val="0"/>
          <w:color w:val="000000" w:themeColor="text1"/>
          <w:highlight w:val="none"/>
          <w14:textFill>
            <w14:solidFill>
              <w14:schemeClr w14:val="tx1"/>
            </w14:solidFill>
          </w14:textFill>
        </w:rPr>
        <w:t>分，得分率为</w:t>
      </w:r>
      <w:r>
        <w:rPr>
          <w:rFonts w:hint="eastAsia" w:ascii="Times New Roman" w:hAnsi="Times New Roman" w:eastAsia="仿宋_GB2312"/>
          <w:b w:val="0"/>
          <w:bCs w:val="0"/>
          <w:color w:val="000000" w:themeColor="text1"/>
          <w:highlight w:val="none"/>
          <w:lang w:val="en-US" w:eastAsia="zh-CN"/>
          <w14:textFill>
            <w14:solidFill>
              <w14:schemeClr w14:val="tx1"/>
            </w14:solidFill>
          </w14:textFill>
        </w:rPr>
        <w:t>100</w:t>
      </w:r>
      <w:r>
        <w:rPr>
          <w:rFonts w:hint="eastAsia" w:ascii="Times New Roman" w:hAnsi="Times New Roman" w:eastAsia="仿宋_GB2312"/>
          <w:b w:val="0"/>
          <w:bCs w:val="0"/>
          <w:color w:val="000000" w:themeColor="text1"/>
          <w:highlight w:val="none"/>
          <w14:textFill>
            <w14:solidFill>
              <w14:schemeClr w14:val="tx1"/>
            </w14:solidFill>
          </w14:textFill>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19.99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99.99</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w:t>
      </w:r>
      <w:r>
        <w:rPr>
          <w:rFonts w:hint="eastAsia"/>
          <w:b w:val="0"/>
          <w:bCs w:val="0"/>
          <w:color w:val="auto"/>
          <w:sz w:val="32"/>
          <w:szCs w:val="32"/>
          <w:lang w:val="en-US" w:eastAsia="zh-CN"/>
        </w:rPr>
        <w:t>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w:t>
      </w:r>
      <w:r>
        <w:rPr>
          <w:rFonts w:hint="eastAsia" w:ascii="仿宋_GB2312" w:hAnsi="仿宋_GB2312" w:cs="仿宋_GB2312"/>
          <w:sz w:val="32"/>
          <w:szCs w:val="32"/>
          <w:lang w:val="en-US" w:eastAsia="zh-CN"/>
        </w:rPr>
        <w:t>，项目事前经过必要的集体决策，保障了程序的规范性。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val="en-US" w:eastAsia="zh-CN"/>
        </w:rPr>
        <w:t>分，实际得分</w:t>
      </w:r>
      <w:r>
        <w:rPr>
          <w:rFonts w:hint="eastAsia" w:ascii="仿宋_GB2312" w:hAnsi="仿宋_GB2312" w:cs="仿宋_GB2312"/>
          <w:sz w:val="32"/>
          <w:szCs w:val="32"/>
          <w:lang w:val="en-US" w:eastAsia="zh-CN"/>
        </w:rPr>
        <w:t>19.99</w:t>
      </w:r>
      <w:r>
        <w:rPr>
          <w:rFonts w:hint="eastAsia" w:ascii="仿宋_GB2312" w:hAnsi="仿宋_GB2312" w:eastAsia="仿宋_GB2312" w:cs="仿宋_GB2312"/>
          <w:sz w:val="32"/>
          <w:szCs w:val="32"/>
          <w:lang w:val="en-US" w:eastAsia="zh-CN"/>
        </w:rPr>
        <w:t>分，得分率为</w:t>
      </w:r>
      <w:r>
        <w:rPr>
          <w:rFonts w:hint="eastAsia" w:ascii="仿宋_GB2312" w:hAnsi="仿宋_GB2312" w:cs="仿宋_GB2312"/>
          <w:sz w:val="32"/>
          <w:szCs w:val="32"/>
          <w:lang w:val="en-US" w:eastAsia="zh-CN"/>
        </w:rPr>
        <w:t>99.95</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w:t>
      </w:r>
      <w:r>
        <w:rPr>
          <w:rFonts w:hint="eastAsia" w:ascii="仿宋_GB2312" w:hAnsi="仿宋_GB2312" w:eastAsia="仿宋_GB2312" w:cs="仿宋_GB2312"/>
          <w:color w:val="auto"/>
          <w:sz w:val="32"/>
          <w:szCs w:val="32"/>
          <w:lang w:val="en-US" w:eastAsia="zh-CN"/>
        </w:rPr>
        <w:t>定，能</w:t>
      </w:r>
      <w:r>
        <w:rPr>
          <w:rFonts w:hint="eastAsia" w:ascii="仿宋_GB2312" w:hAnsi="仿宋_GB2312" w:eastAsia="仿宋_GB2312" w:cs="仿宋_GB2312"/>
          <w:sz w:val="32"/>
          <w:szCs w:val="32"/>
          <w:lang w:val="en-US" w:eastAsia="zh-CN"/>
        </w:rPr>
        <w:t>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本项目总投资10万元，财政资金及时足额到位，到位率100%，预算资金按计划进度执行。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预算编制较为详细，项目资金支出总体能够按照预算执行，预算资金支出9.98万元，预算执行率为99.8%。</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numId w:val="0"/>
        </w:numPr>
        <w:kinsoku/>
        <w:wordWrap/>
        <w:overflowPunct/>
        <w:topLinePunct w:val="0"/>
        <w:autoSpaceDE/>
        <w:autoSpaceDN/>
        <w:bidi w:val="0"/>
        <w:adjustRightInd/>
        <w:snapToGrid/>
        <w:textAlignment w:val="auto"/>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个三级指标构成，权重分为</w:t>
      </w:r>
      <w:r>
        <w:rPr>
          <w:rFonts w:hint="eastAsia" w:ascii="仿宋_GB2312" w:hAnsi="仿宋_GB2312" w:cs="仿宋_GB2312"/>
          <w:sz w:val="32"/>
          <w:szCs w:val="32"/>
          <w:lang w:val="en-US" w:eastAsia="zh-CN"/>
        </w:rPr>
        <w:t>40</w:t>
      </w:r>
      <w:r>
        <w:rPr>
          <w:rFonts w:hint="eastAsia" w:ascii="仿宋_GB2312" w:hAnsi="仿宋_GB2312" w:eastAsia="仿宋_GB2312" w:cs="仿宋_GB2312"/>
          <w:sz w:val="32"/>
          <w:szCs w:val="32"/>
          <w:lang w:val="en-US" w:eastAsia="zh-CN"/>
        </w:rPr>
        <w:t>分，实际得分</w:t>
      </w:r>
      <w:r>
        <w:rPr>
          <w:rFonts w:hint="eastAsia" w:ascii="仿宋_GB2312" w:hAnsi="仿宋_GB2312" w:cs="仿宋_GB2312"/>
          <w:sz w:val="32"/>
          <w:szCs w:val="32"/>
          <w:lang w:val="en-US" w:eastAsia="zh-CN"/>
        </w:rPr>
        <w:t>40</w:t>
      </w:r>
      <w:r>
        <w:rPr>
          <w:rFonts w:hint="eastAsia" w:ascii="仿宋_GB2312" w:hAnsi="仿宋_GB2312" w:eastAsia="仿宋_GB2312" w:cs="仿宋_GB2312"/>
          <w:sz w:val="32"/>
          <w:szCs w:val="32"/>
          <w:lang w:val="en-US" w:eastAsia="zh-CN"/>
        </w:rPr>
        <w:t>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w:t>
      </w:r>
      <w:r>
        <w:rPr>
          <w:rFonts w:hint="eastAsia"/>
          <w:color w:val="auto"/>
          <w:sz w:val="32"/>
          <w:szCs w:val="32"/>
          <w:lang w:eastAsia="zh-CN"/>
        </w:rPr>
        <w:t>租赁车辆数</w:t>
      </w:r>
      <w:r>
        <w:rPr>
          <w:rFonts w:hint="eastAsia"/>
          <w:color w:val="auto"/>
          <w:sz w:val="32"/>
          <w:szCs w:val="32"/>
        </w:rPr>
        <w:t>，指标值：</w:t>
      </w:r>
      <w:r>
        <w:rPr>
          <w:rFonts w:hint="eastAsia"/>
          <w:color w:val="auto"/>
          <w:sz w:val="32"/>
          <w:szCs w:val="32"/>
          <w:lang w:eastAsia="zh-CN"/>
        </w:rPr>
        <w:t>=2辆</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2辆</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w:t>
      </w:r>
      <w:r>
        <w:rPr>
          <w:rFonts w:hint="eastAsia"/>
          <w:color w:val="auto"/>
          <w:sz w:val="32"/>
          <w:szCs w:val="32"/>
          <w:lang w:eastAsia="zh-CN"/>
        </w:rPr>
        <w:t>公务用车质量合格率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color w:val="auto"/>
          <w:sz w:val="32"/>
          <w:szCs w:val="32"/>
          <w:lang w:eastAsia="zh-CN"/>
        </w:rPr>
      </w:pPr>
      <w:bookmarkStart w:id="14" w:name="_Toc68703841"/>
      <w:r>
        <w:rPr>
          <w:rFonts w:hint="eastAsia"/>
          <w:color w:val="auto"/>
          <w:sz w:val="32"/>
          <w:szCs w:val="32"/>
        </w:rPr>
        <w:t>指标1：</w:t>
      </w:r>
      <w:r>
        <w:rPr>
          <w:rFonts w:hint="eastAsia"/>
          <w:color w:val="auto"/>
          <w:sz w:val="32"/>
          <w:szCs w:val="32"/>
          <w:lang w:eastAsia="zh-CN"/>
        </w:rPr>
        <w:t>全年违章处理及时率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color w:val="auto"/>
          <w:sz w:val="32"/>
          <w:szCs w:val="32"/>
          <w:lang w:eastAsia="zh-CN"/>
        </w:rPr>
        <w:t>公务用车租赁手续完成时间</w:t>
      </w:r>
      <w:r>
        <w:rPr>
          <w:rFonts w:hint="eastAsia"/>
          <w:color w:val="auto"/>
          <w:sz w:val="32"/>
          <w:szCs w:val="32"/>
        </w:rPr>
        <w:t>，指标值：</w:t>
      </w:r>
      <w:r>
        <w:rPr>
          <w:rFonts w:hint="eastAsia"/>
          <w:color w:val="auto"/>
          <w:sz w:val="32"/>
          <w:szCs w:val="32"/>
          <w:lang w:eastAsia="zh-CN"/>
        </w:rPr>
        <w:t>2023年7月1日前</w:t>
      </w:r>
      <w:r>
        <w:rPr>
          <w:rFonts w:hint="eastAsia"/>
          <w:color w:val="auto"/>
          <w:sz w:val="32"/>
          <w:szCs w:val="32"/>
        </w:rPr>
        <w:t>，实际完成值</w:t>
      </w:r>
      <w:r>
        <w:rPr>
          <w:rFonts w:hint="eastAsia"/>
          <w:color w:val="auto"/>
          <w:sz w:val="32"/>
          <w:szCs w:val="32"/>
          <w:lang w:eastAsia="zh-CN"/>
        </w:rPr>
        <w:t>：2023</w:t>
      </w:r>
      <w:r>
        <w:rPr>
          <w:rFonts w:hint="eastAsia"/>
          <w:color w:val="auto"/>
          <w:sz w:val="32"/>
          <w:szCs w:val="32"/>
          <w:lang w:val="en-US" w:eastAsia="zh-CN"/>
        </w:rPr>
        <w:t>年</w:t>
      </w:r>
      <w:r>
        <w:rPr>
          <w:rFonts w:hint="eastAsia"/>
          <w:color w:val="auto"/>
          <w:sz w:val="32"/>
          <w:szCs w:val="32"/>
          <w:lang w:eastAsia="zh-CN"/>
        </w:rPr>
        <w:t>6</w:t>
      </w:r>
      <w:r>
        <w:rPr>
          <w:rFonts w:hint="eastAsia"/>
          <w:color w:val="auto"/>
          <w:sz w:val="32"/>
          <w:szCs w:val="32"/>
          <w:lang w:val="en-US" w:eastAsia="zh-CN"/>
        </w:rPr>
        <w:t>月</w:t>
      </w:r>
      <w:r>
        <w:rPr>
          <w:rFonts w:hint="eastAsia"/>
          <w:color w:val="auto"/>
          <w:sz w:val="32"/>
          <w:szCs w:val="32"/>
          <w:lang w:eastAsia="zh-CN"/>
        </w:rPr>
        <w:t>28</w:t>
      </w:r>
      <w:r>
        <w:rPr>
          <w:rFonts w:hint="eastAsia"/>
          <w:color w:val="auto"/>
          <w:sz w:val="32"/>
          <w:szCs w:val="32"/>
          <w:lang w:val="en-US" w:eastAsia="zh-CN"/>
        </w:rPr>
        <w:t>日</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租赁公务用车费用</w:t>
      </w:r>
      <w:r>
        <w:rPr>
          <w:rFonts w:hint="eastAsia"/>
          <w:color w:val="auto"/>
          <w:sz w:val="32"/>
          <w:szCs w:val="32"/>
        </w:rPr>
        <w:t>，指标值：</w:t>
      </w:r>
      <w:r>
        <w:rPr>
          <w:rFonts w:hint="eastAsia"/>
          <w:color w:val="auto"/>
          <w:sz w:val="32"/>
          <w:szCs w:val="32"/>
          <w:lang w:eastAsia="zh-CN"/>
        </w:rPr>
        <w:t>&lt;=5万元/辆/年</w:t>
      </w:r>
      <w:r>
        <w:rPr>
          <w:rFonts w:hint="eastAsia"/>
          <w:color w:val="auto"/>
          <w:sz w:val="32"/>
          <w:szCs w:val="32"/>
        </w:rPr>
        <w:t>，实际完成值</w:t>
      </w:r>
      <w:r>
        <w:rPr>
          <w:rFonts w:hint="eastAsia"/>
          <w:color w:val="auto"/>
          <w:sz w:val="32"/>
          <w:szCs w:val="32"/>
          <w:lang w:eastAsia="zh-CN"/>
        </w:rPr>
        <w:t>：4.99万元/辆/年</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0分，实际得分</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经济效益指标：</w:t>
      </w:r>
    </w:p>
    <w:p>
      <w:pPr>
        <w:shd w:val="clear"/>
        <w:spacing w:line="600" w:lineRule="exact"/>
        <w:ind w:firstLine="640" w:firstLineChars="200"/>
        <w:outlineLvl w:val="0"/>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eastAsia="zh-CN"/>
        </w:rPr>
        <w:t>保障工作正常开展</w:t>
      </w:r>
      <w:r>
        <w:rPr>
          <w:rFonts w:hint="eastAsia"/>
          <w:color w:val="auto"/>
          <w:sz w:val="32"/>
          <w:szCs w:val="32"/>
        </w:rPr>
        <w:t>，指标值：</w:t>
      </w:r>
      <w:r>
        <w:rPr>
          <w:rFonts w:hint="eastAsia"/>
          <w:color w:val="auto"/>
          <w:sz w:val="32"/>
          <w:szCs w:val="32"/>
          <w:lang w:eastAsia="zh-CN"/>
        </w:rPr>
        <w:t>有限保障</w:t>
      </w:r>
      <w:r>
        <w:rPr>
          <w:rFonts w:hint="eastAsia"/>
          <w:color w:val="auto"/>
          <w:sz w:val="32"/>
          <w:szCs w:val="32"/>
        </w:rPr>
        <w:t>，实际完成值</w:t>
      </w:r>
      <w:r>
        <w:rPr>
          <w:rFonts w:hint="eastAsia"/>
          <w:color w:val="auto"/>
          <w:sz w:val="32"/>
          <w:szCs w:val="32"/>
          <w:lang w:eastAsia="zh-CN"/>
        </w:rPr>
        <w:t>：有限保障</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default" w:eastAsia="仿宋_GB2312"/>
          <w:lang w:val="en-US" w:eastAsia="zh-CN"/>
        </w:rPr>
      </w:pPr>
      <w:r>
        <w:rPr>
          <w:rFonts w:hint="eastAsia"/>
          <w:color w:val="auto"/>
          <w:sz w:val="32"/>
          <w:szCs w:val="32"/>
        </w:rPr>
        <w:t>指标1：</w:t>
      </w:r>
      <w:r>
        <w:rPr>
          <w:rFonts w:hint="eastAsia"/>
          <w:color w:val="auto"/>
          <w:sz w:val="32"/>
          <w:szCs w:val="32"/>
          <w:lang w:eastAsia="zh-CN"/>
        </w:rPr>
        <w:t>车辆使用人员满意度</w:t>
      </w:r>
      <w:r>
        <w:rPr>
          <w:rFonts w:hint="eastAsia"/>
          <w:color w:val="auto"/>
          <w:sz w:val="32"/>
          <w:szCs w:val="32"/>
        </w:rPr>
        <w:t>，指标值：</w:t>
      </w:r>
      <w:r>
        <w:rPr>
          <w:rFonts w:hint="eastAsia"/>
          <w:color w:val="auto"/>
          <w:sz w:val="32"/>
          <w:szCs w:val="32"/>
          <w:lang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r>
        <w:rPr>
          <w:rFonts w:hint="eastAsia"/>
          <w:color w:val="auto"/>
          <w:sz w:val="32"/>
          <w:szCs w:val="32"/>
          <w:lang w:val="en-US" w:eastAsia="zh-CN"/>
        </w:rPr>
        <w:t>偏差率：5.26</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val="en-US" w:eastAsia="zh-CN"/>
        </w:rPr>
        <w:t>车辆使用人员满意。</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cs="仿宋_GB2312"/>
          <w:color w:val="auto"/>
          <w:kern w:val="2"/>
          <w:sz w:val="32"/>
          <w:szCs w:val="32"/>
          <w:lang w:val="en-US" w:eastAsia="zh-CN" w:bidi="ar-SA"/>
        </w:rPr>
        <w:t>车辆租赁经费</w:t>
      </w:r>
      <w:r>
        <w:rPr>
          <w:rFonts w:hint="eastAsia" w:ascii="仿宋_GB2312" w:hAnsi="仿宋_GB2312" w:eastAsia="仿宋_GB2312" w:cs="仿宋_GB2312"/>
          <w:color w:val="auto"/>
          <w:kern w:val="2"/>
          <w:sz w:val="32"/>
          <w:szCs w:val="32"/>
          <w:lang w:val="en-US" w:eastAsia="zh-CN" w:bidi="ar-SA"/>
        </w:rPr>
        <w:t>项目年初预算</w:t>
      </w:r>
      <w:r>
        <w:rPr>
          <w:rFonts w:hint="eastAsia" w:ascii="仿宋_GB2312" w:hAnsi="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9.98</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99.8</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100.75</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0.95</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w:t>
      </w:r>
      <w:r>
        <w:rPr>
          <w:rFonts w:hint="eastAsia" w:ascii="仿宋_GB2312" w:hAnsi="仿宋_GB2312" w:cs="仿宋_GB2312"/>
          <w:color w:val="auto"/>
          <w:kern w:val="2"/>
          <w:sz w:val="32"/>
          <w:szCs w:val="32"/>
          <w:lang w:val="en-US" w:eastAsia="zh-CN" w:bidi="ar-SA"/>
        </w:rPr>
        <w:t>：车辆租赁经费预算</w:t>
      </w:r>
      <w:r>
        <w:rPr>
          <w:rFonts w:hint="eastAsia"/>
          <w:color w:val="auto"/>
          <w:sz w:val="32"/>
          <w:szCs w:val="32"/>
          <w:lang w:eastAsia="zh-CN"/>
        </w:rPr>
        <w:t>5万元/辆/年，</w:t>
      </w:r>
      <w:r>
        <w:rPr>
          <w:rFonts w:hint="eastAsia"/>
          <w:color w:val="auto"/>
          <w:sz w:val="32"/>
          <w:szCs w:val="32"/>
          <w:lang w:val="en-US" w:eastAsia="zh-CN"/>
        </w:rPr>
        <w:t>实际支付时按</w:t>
      </w:r>
      <w:r>
        <w:rPr>
          <w:rFonts w:hint="eastAsia"/>
          <w:color w:val="auto"/>
          <w:sz w:val="32"/>
          <w:szCs w:val="32"/>
          <w:lang w:eastAsia="zh-CN"/>
        </w:rPr>
        <w:t>4.99万元/辆/年</w:t>
      </w:r>
      <w:r>
        <w:rPr>
          <w:rFonts w:hint="eastAsia"/>
          <w:color w:val="auto"/>
          <w:sz w:val="32"/>
          <w:szCs w:val="32"/>
          <w:lang w:val="en-US" w:eastAsia="zh-CN"/>
        </w:rPr>
        <w:t>出租</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改进</w:t>
      </w:r>
      <w:r>
        <w:rPr>
          <w:rFonts w:hint="eastAsia" w:ascii="仿宋_GB2312" w:hAnsi="仿宋_GB2312" w:eastAsia="仿宋_GB2312" w:cs="仿宋_GB2312"/>
          <w:color w:val="auto"/>
          <w:kern w:val="2"/>
          <w:sz w:val="32"/>
          <w:szCs w:val="32"/>
          <w:lang w:val="en-US" w:eastAsia="zh-CN" w:bidi="ar-SA"/>
        </w:rPr>
        <w:t>措施</w:t>
      </w:r>
      <w:r>
        <w:rPr>
          <w:rFonts w:hint="eastAsia" w:ascii="仿宋_GB2312" w:hAnsi="仿宋_GB2312" w:cs="仿宋_GB2312"/>
          <w:color w:val="auto"/>
          <w:kern w:val="2"/>
          <w:sz w:val="32"/>
          <w:szCs w:val="32"/>
          <w:lang w:val="en-US" w:eastAsia="zh-CN" w:bidi="ar-SA"/>
        </w:rPr>
        <w:t>提前与出租方沟通</w:t>
      </w:r>
      <w:r>
        <w:rPr>
          <w:rFonts w:hint="eastAsia" w:ascii="仿宋_GB2312" w:hAnsi="仿宋_GB2312" w:eastAsia="仿宋_GB2312" w:cs="仿宋_GB2312"/>
          <w:color w:val="auto"/>
          <w:kern w:val="2"/>
          <w:sz w:val="32"/>
          <w:szCs w:val="32"/>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hint="eastAsia" w:ascii="Times New Roman" w:hAnsi="Times New Roman" w:eastAsia="仿宋_GB2312" w:cs="Times New Roman"/>
          <w:b w:val="0"/>
          <w:bCs w:val="0"/>
          <w:kern w:val="2"/>
          <w:sz w:val="32"/>
          <w:szCs w:val="32"/>
          <w:lang w:val="en-US" w:eastAsia="zh-CN" w:bidi="ar-SA"/>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Times New Roman" w:hAnsi="Times New Roman" w:eastAsia="仿宋_GB2312" w:cs="Times New Roman"/>
          <w:b w:val="0"/>
          <w:bCs w:val="0"/>
          <w:kern w:val="2"/>
          <w:sz w:val="32"/>
          <w:szCs w:val="32"/>
          <w:lang w:val="en-US" w:eastAsia="zh-CN" w:bidi="ar-SA"/>
        </w:rPr>
        <w:t xml:space="preserve"> </w:t>
      </w:r>
    </w:p>
    <w:p>
      <w:pPr>
        <w:pStyle w:val="2"/>
        <w:spacing w:before="0" w:after="0" w:line="560" w:lineRule="exact"/>
        <w:ind w:firstLine="640" w:firstLineChars="200"/>
        <w:jc w:val="left"/>
      </w:pPr>
      <w:r>
        <w:rPr>
          <w:rFonts w:hint="eastAsia" w:ascii="Times New Roman" w:hAnsi="Times New Roman" w:eastAsia="仿宋_GB2312" w:cs="Times New Roman"/>
          <w:b w:val="0"/>
          <w:bCs w:val="0"/>
          <w:kern w:val="2"/>
          <w:sz w:val="32"/>
          <w:szCs w:val="32"/>
          <w:lang w:val="en-US" w:eastAsia="zh-CN" w:bidi="ar-SA"/>
        </w:rPr>
        <w:t>通过项目的实施，有效提高干部走访率，保障街道社区各项工作正常运转，街道及社区工作人员能够全心全意为居民服务、解决群众生活中突发而紧急问题，公共设施的补修，老大难的生活问题的解决，都起到决定性的作用，极大增强基层的社会治理能力，提升群众对基层工作的满意度。</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lang w:val="en-US" w:eastAsia="zh-CN"/>
        </w:rPr>
      </w:pPr>
      <w:bookmarkStart w:id="18" w:name="_Toc68703845"/>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cs="仿宋_GB2312"/>
          <w:sz w:val="32"/>
          <w:szCs w:val="32"/>
          <w:highlight w:val="none"/>
          <w:lang w:val="en-US" w:eastAsia="zh-CN"/>
        </w:rPr>
        <w:t>在编制绩效目标支出绩效工作过程中，预算编制工作有待细化，预算编制不够明确和细化，整体绩效预算编制的合理性需要提高，预算执行力度还要进一步加强。相关工作人员经验不足，绩效管理意识不高，对于指标的编制还不够完善。缺乏科学、统一、完整的财政绩效评价指标体系。</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sz w:val="22"/>
          <w:szCs w:val="28"/>
        </w:rPr>
      </w:pP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eastAsia="黑体" w:cs="Times New Roman"/>
          <w:b w:val="0"/>
          <w:bCs/>
          <w:kern w:val="2"/>
          <w:sz w:val="32"/>
          <w:szCs w:val="32"/>
          <w:lang w:val="en-US" w:eastAsia="zh-CN" w:bidi="ar-SA"/>
        </w:rPr>
      </w:pPr>
      <w:bookmarkStart w:id="19" w:name="_Toc68703846"/>
      <w:r>
        <w:rPr>
          <w:rFonts w:hint="eastAsia"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bookmarkStart w:id="22" w:name="_GoBack"/>
      <w:bookmarkEnd w:id="22"/>
    </w:p>
    <w:p>
      <w:pPr>
        <w:pStyle w:val="2"/>
      </w:pPr>
    </w:p>
    <w:tbl>
      <w:tblPr>
        <w:tblStyle w:val="11"/>
        <w:tblW w:w="8834" w:type="dxa"/>
        <w:tblInd w:w="0" w:type="dxa"/>
        <w:tblLayout w:type="fixed"/>
        <w:tblCellMar>
          <w:top w:w="0" w:type="dxa"/>
          <w:left w:w="0" w:type="dxa"/>
          <w:bottom w:w="0" w:type="dxa"/>
          <w:right w:w="0" w:type="dxa"/>
        </w:tblCellMar>
      </w:tblPr>
      <w:tblGrid>
        <w:gridCol w:w="695"/>
        <w:gridCol w:w="636"/>
        <w:gridCol w:w="900"/>
        <w:gridCol w:w="555"/>
        <w:gridCol w:w="640"/>
        <w:gridCol w:w="665"/>
        <w:gridCol w:w="707"/>
        <w:gridCol w:w="943"/>
        <w:gridCol w:w="825"/>
        <w:gridCol w:w="722"/>
        <w:gridCol w:w="58"/>
        <w:gridCol w:w="792"/>
        <w:gridCol w:w="696"/>
      </w:tblGrid>
      <w:tr>
        <w:tblPrEx>
          <w:tblLayout w:type="fixed"/>
          <w:tblCellMar>
            <w:top w:w="0" w:type="dxa"/>
            <w:left w:w="0" w:type="dxa"/>
            <w:bottom w:w="0" w:type="dxa"/>
            <w:right w:w="0" w:type="dxa"/>
          </w:tblCellMar>
        </w:tblPrEx>
        <w:trPr>
          <w:trHeight w:val="420" w:hRule="atLeast"/>
        </w:trPr>
        <w:tc>
          <w:tcPr>
            <w:tcW w:w="8834" w:type="dxa"/>
            <w:gridSpan w:val="13"/>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3"/>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503"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车辆租赁经费</w:t>
            </w:r>
          </w:p>
        </w:tc>
      </w:tr>
      <w:tr>
        <w:tblPrEx>
          <w:tblLayout w:type="fixed"/>
          <w:tblCellMar>
            <w:top w:w="0" w:type="dxa"/>
            <w:left w:w="0" w:type="dxa"/>
            <w:bottom w:w="0" w:type="dxa"/>
            <w:right w:w="0" w:type="dxa"/>
          </w:tblCellMar>
        </w:tblPrEx>
        <w:trPr>
          <w:trHeight w:val="276" w:hRule="atLeast"/>
        </w:trPr>
        <w:tc>
          <w:tcPr>
            <w:tcW w:w="13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46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霍尔果斯市人民政府</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309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bidi="ar"/>
              </w:rPr>
              <w:t>霍尔果斯市工业园区街道办事处</w:t>
            </w:r>
          </w:p>
        </w:tc>
      </w:tr>
      <w:tr>
        <w:tblPrEx>
          <w:tblLayout w:type="fixed"/>
          <w:tblCellMar>
            <w:top w:w="0" w:type="dxa"/>
            <w:left w:w="0" w:type="dxa"/>
            <w:bottom w:w="0" w:type="dxa"/>
            <w:right w:w="0" w:type="dxa"/>
          </w:tblCellMar>
        </w:tblPrEx>
        <w:trPr>
          <w:trHeight w:val="276" w:hRule="atLeast"/>
        </w:trPr>
        <w:tc>
          <w:tcPr>
            <w:tcW w:w="13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10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9.98</w:t>
            </w: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99.8%</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9.98</w:t>
            </w:r>
          </w:p>
        </w:tc>
      </w:tr>
      <w:tr>
        <w:tblPrEx>
          <w:tblLayout w:type="fixed"/>
          <w:tblCellMar>
            <w:top w:w="0" w:type="dxa"/>
            <w:left w:w="0" w:type="dxa"/>
            <w:bottom w:w="0" w:type="dxa"/>
            <w:right w:w="0" w:type="dxa"/>
          </w:tblCellMar>
        </w:tblPrEx>
        <w:trPr>
          <w:trHeight w:val="653" w:hRule="atLeast"/>
        </w:trPr>
        <w:tc>
          <w:tcPr>
            <w:tcW w:w="13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10.00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10.00</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9.98</w:t>
            </w: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上年结转资金</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 xml:space="preserve">为正常、及时、优质的服务辖区内企业、工地、群众，根据《霍尔果斯市委财经委员会2021年第6次会议纪要》（霍市党财纪[2021]6号）执行，租赁面包车2辆，作为公务用车，完善街道基础配置。 </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目标1：有效提高干部走访率。</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目标2：及时解决辖区各族群众困难。</w:t>
            </w:r>
          </w:p>
        </w:tc>
        <w:tc>
          <w:tcPr>
            <w:tcW w:w="403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为进一步推进预算绩效管理工作，提高预算资金使用效率，对社区生活环境进行治理，改善居民生活环境、提高居民生活质量，进一步加强基层干部队伍建设，以及保障社区管理和基层党组织管理工作正常运行发挥了重要作用，工业园区租赁车辆2辆，有效提高干部走访率，及时解决辖区各族群众困难。</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36"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90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365" w:hRule="atLeast"/>
        </w:trPr>
        <w:tc>
          <w:tcPr>
            <w:tcW w:w="695" w:type="dxa"/>
            <w:vMerge w:val="restart"/>
            <w:tcBorders>
              <w:top w:val="single" w:color="000000" w:sz="4" w:space="0"/>
              <w:left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9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860" w:type="dxa"/>
            <w:gridSpan w:val="3"/>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租赁车辆数</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 =2辆</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2辆 </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45" w:hRule="atLeast"/>
        </w:trPr>
        <w:tc>
          <w:tcPr>
            <w:tcW w:w="695" w:type="dxa"/>
            <w:vMerge w:val="continue"/>
            <w:tcBorders>
              <w:left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Times New Roman" w:hAnsi="Times New Roman" w:eastAsia="宋体" w:cs="Times New Roman"/>
                <w:kern w:val="0"/>
                <w:sz w:val="18"/>
                <w:szCs w:val="18"/>
                <w:lang w:bidi="ar"/>
              </w:rP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Times New Roman" w:hAnsi="Times New Roman" w:eastAsia="宋体" w:cs="Times New Roman"/>
                <w:kern w:val="0"/>
                <w:sz w:val="18"/>
                <w:szCs w:val="18"/>
                <w:lang w:bidi="ar"/>
              </w:rPr>
            </w:pPr>
          </w:p>
        </w:tc>
        <w:tc>
          <w:tcPr>
            <w:tcW w:w="9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860" w:type="dxa"/>
            <w:gridSpan w:val="3"/>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公务用车质量合格率</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 =100%</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345" w:hRule="atLeast"/>
        </w:trPr>
        <w:tc>
          <w:tcPr>
            <w:tcW w:w="695" w:type="dxa"/>
            <w:vMerge w:val="continue"/>
            <w:tcBorders>
              <w:left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Times New Roman" w:hAnsi="Times New Roman" w:eastAsia="宋体" w:cs="Times New Roman"/>
                <w:kern w:val="0"/>
                <w:sz w:val="18"/>
                <w:szCs w:val="18"/>
                <w:lang w:bidi="ar"/>
              </w:rP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Times New Roman" w:hAnsi="Times New Roman" w:eastAsia="宋体" w:cs="Times New Roman"/>
                <w:kern w:val="0"/>
                <w:sz w:val="18"/>
                <w:szCs w:val="18"/>
                <w:lang w:bidi="ar"/>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860" w:type="dxa"/>
            <w:gridSpan w:val="3"/>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全年违章处理及时率</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 =100%</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553" w:hRule="atLeast"/>
        </w:trPr>
        <w:tc>
          <w:tcPr>
            <w:tcW w:w="695" w:type="dxa"/>
            <w:vMerge w:val="continue"/>
            <w:tcBorders>
              <w:left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Times New Roman" w:hAnsi="Times New Roman" w:eastAsia="宋体" w:cs="Times New Roman"/>
                <w:kern w:val="0"/>
                <w:sz w:val="18"/>
                <w:szCs w:val="18"/>
                <w:lang w:bidi="ar"/>
              </w:rP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Times New Roman" w:hAnsi="Times New Roman" w:eastAsia="宋体" w:cs="Times New Roman"/>
                <w:kern w:val="0"/>
                <w:sz w:val="18"/>
                <w:szCs w:val="18"/>
                <w:lang w:bidi="ar"/>
              </w:rPr>
            </w:pPr>
          </w:p>
        </w:tc>
        <w:tc>
          <w:tcPr>
            <w:tcW w:w="90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p>
        </w:tc>
        <w:tc>
          <w:tcPr>
            <w:tcW w:w="1860" w:type="dxa"/>
            <w:gridSpan w:val="3"/>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公务用车租赁手续完成时间</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2023年7月1日前</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2023年6月28日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Times New Roman" w:hAnsi="Times New Roman" w:eastAsia="宋体" w:cs="Times New Roman"/>
                <w:kern w:val="0"/>
                <w:sz w:val="18"/>
                <w:szCs w:val="18"/>
                <w:lang w:bidi="ar"/>
              </w:rPr>
            </w:pPr>
          </w:p>
        </w:tc>
        <w:tc>
          <w:tcPr>
            <w:tcW w:w="63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成本指标</w:t>
            </w:r>
          </w:p>
        </w:tc>
        <w:tc>
          <w:tcPr>
            <w:tcW w:w="9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经济成本指标</w:t>
            </w:r>
          </w:p>
        </w:tc>
        <w:tc>
          <w:tcPr>
            <w:tcW w:w="1860" w:type="dxa"/>
            <w:gridSpan w:val="3"/>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租赁公务用车费用</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 &lt;=5万元/辆/年</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4.99万元/辆/年</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Times New Roman" w:hAnsi="Times New Roman" w:eastAsia="宋体" w:cs="Times New Roman"/>
                <w:kern w:val="0"/>
                <w:sz w:val="18"/>
                <w:szCs w:val="18"/>
                <w:lang w:bidi="ar"/>
              </w:rPr>
            </w:pPr>
          </w:p>
        </w:tc>
        <w:tc>
          <w:tcPr>
            <w:tcW w:w="636"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效益指标</w:t>
            </w:r>
          </w:p>
        </w:tc>
        <w:tc>
          <w:tcPr>
            <w:tcW w:w="900"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经济效益指标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保障工作正常开展</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有限保障 </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有效保障 </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Times New Roman" w:hAnsi="Times New Roman" w:eastAsia="宋体" w:cs="Times New Roman"/>
                <w:kern w:val="0"/>
                <w:sz w:val="18"/>
                <w:szCs w:val="18"/>
                <w:lang w:bidi="ar"/>
              </w:rPr>
            </w:pPr>
          </w:p>
        </w:tc>
        <w:tc>
          <w:tcPr>
            <w:tcW w:w="636"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900"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车辆使用人员满意度</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 &gt;=95% </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租赁车辆完全满足工作需要，方便人员办公</w:t>
            </w: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26499_WPSOffice_Level2"/>
      <w:bookmarkStart w:id="21" w:name="_Toc30064_WPSOffice_Level1"/>
      <w:r>
        <w:rPr>
          <w:rFonts w:hint="eastAsia"/>
          <w:b/>
          <w:bCs/>
          <w:sz w:val="28"/>
          <w:szCs w:val="40"/>
          <w:lang w:val="en-US" w:eastAsia="zh-CN"/>
        </w:rPr>
        <w:t>车辆租赁经费</w:t>
      </w:r>
      <w:r>
        <w:rPr>
          <w:rFonts w:hint="eastAsia"/>
          <w:b/>
          <w:bCs/>
          <w:sz w:val="28"/>
          <w:szCs w:val="40"/>
        </w:rPr>
        <w:t>项目绩效评价指标体系及综合评分表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b/>
                <w:bCs/>
                <w:color w:val="000000"/>
                <w:kern w:val="0"/>
                <w:sz w:val="22"/>
                <w:szCs w:val="22"/>
                <w:lang w:val="en-US" w:eastAsia="zh-CN"/>
              </w:rPr>
            </w:pPr>
            <w:r>
              <w:rPr>
                <w:rFonts w:hint="eastAsia"/>
                <w:b/>
                <w:bCs/>
                <w:color w:val="000000"/>
                <w:kern w:val="0"/>
                <w:sz w:val="22"/>
                <w:szCs w:val="22"/>
                <w:lang w:val="en-US" w:eastAsia="zh-CN"/>
              </w:rPr>
              <w:t>3.99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b/>
                <w:bCs/>
                <w:color w:val="000000"/>
                <w:kern w:val="0"/>
                <w:sz w:val="22"/>
                <w:szCs w:val="22"/>
                <w:lang w:val="en-US" w:eastAsia="zh-CN"/>
              </w:rPr>
            </w:pPr>
            <w:r>
              <w:rPr>
                <w:rFonts w:hint="eastAsia"/>
                <w:b/>
                <w:bCs/>
                <w:color w:val="000000"/>
                <w:kern w:val="0"/>
                <w:sz w:val="22"/>
                <w:szCs w:val="22"/>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MjI0NGZlMGY4OGVkMWM1ZjEzZjcxNGU1OWU5MjUifQ=="/>
  </w:docVars>
  <w:rsids>
    <w:rsidRoot w:val="007D49C5"/>
    <w:rsid w:val="000D63FA"/>
    <w:rsid w:val="00441793"/>
    <w:rsid w:val="005B64E8"/>
    <w:rsid w:val="00614288"/>
    <w:rsid w:val="00670592"/>
    <w:rsid w:val="00792CFE"/>
    <w:rsid w:val="007D49C5"/>
    <w:rsid w:val="008175E0"/>
    <w:rsid w:val="008C631D"/>
    <w:rsid w:val="00A114ED"/>
    <w:rsid w:val="00B24331"/>
    <w:rsid w:val="01583141"/>
    <w:rsid w:val="0276172B"/>
    <w:rsid w:val="040B3430"/>
    <w:rsid w:val="042400D8"/>
    <w:rsid w:val="05253FFE"/>
    <w:rsid w:val="055A55B4"/>
    <w:rsid w:val="078B5EF9"/>
    <w:rsid w:val="08E8491F"/>
    <w:rsid w:val="0970184A"/>
    <w:rsid w:val="09CB6F6E"/>
    <w:rsid w:val="0C57284E"/>
    <w:rsid w:val="0F2A6BF7"/>
    <w:rsid w:val="0F867EE4"/>
    <w:rsid w:val="10185D14"/>
    <w:rsid w:val="10940B59"/>
    <w:rsid w:val="109627EE"/>
    <w:rsid w:val="115832F0"/>
    <w:rsid w:val="156C1118"/>
    <w:rsid w:val="16225C7A"/>
    <w:rsid w:val="17136327"/>
    <w:rsid w:val="181871E2"/>
    <w:rsid w:val="19166846"/>
    <w:rsid w:val="1B57650B"/>
    <w:rsid w:val="1D90796E"/>
    <w:rsid w:val="20E92B23"/>
    <w:rsid w:val="22AC2218"/>
    <w:rsid w:val="2729052F"/>
    <w:rsid w:val="27813487"/>
    <w:rsid w:val="27B52C98"/>
    <w:rsid w:val="28C14634"/>
    <w:rsid w:val="2B674E5C"/>
    <w:rsid w:val="2DA3549B"/>
    <w:rsid w:val="2DB63CC7"/>
    <w:rsid w:val="2E150147"/>
    <w:rsid w:val="2EC724D4"/>
    <w:rsid w:val="2EE30257"/>
    <w:rsid w:val="2EF362E8"/>
    <w:rsid w:val="30A532D8"/>
    <w:rsid w:val="339E298D"/>
    <w:rsid w:val="34DA27CE"/>
    <w:rsid w:val="36411DC5"/>
    <w:rsid w:val="36B632F5"/>
    <w:rsid w:val="36B72533"/>
    <w:rsid w:val="3B005CDB"/>
    <w:rsid w:val="3C2F2D74"/>
    <w:rsid w:val="4057649F"/>
    <w:rsid w:val="40A8309D"/>
    <w:rsid w:val="428A7051"/>
    <w:rsid w:val="44CA41F5"/>
    <w:rsid w:val="450B6AE4"/>
    <w:rsid w:val="45440EBA"/>
    <w:rsid w:val="45CB60B6"/>
    <w:rsid w:val="468A6DA0"/>
    <w:rsid w:val="4791488A"/>
    <w:rsid w:val="4AC339E3"/>
    <w:rsid w:val="4B2A1C1E"/>
    <w:rsid w:val="5325232B"/>
    <w:rsid w:val="54873A1A"/>
    <w:rsid w:val="56796849"/>
    <w:rsid w:val="568F383B"/>
    <w:rsid w:val="5BDC37A3"/>
    <w:rsid w:val="5D555EEF"/>
    <w:rsid w:val="5DA95371"/>
    <w:rsid w:val="5EEB4428"/>
    <w:rsid w:val="5FFF4B85"/>
    <w:rsid w:val="65077AE2"/>
    <w:rsid w:val="686F7714"/>
    <w:rsid w:val="69DC6F87"/>
    <w:rsid w:val="6A862BA8"/>
    <w:rsid w:val="6C7A503E"/>
    <w:rsid w:val="6DFC1C65"/>
    <w:rsid w:val="70BD6ED6"/>
    <w:rsid w:val="72FF2E42"/>
    <w:rsid w:val="75FA041F"/>
    <w:rsid w:val="760F49BD"/>
    <w:rsid w:val="76E870A0"/>
    <w:rsid w:val="7AE40DD7"/>
    <w:rsid w:val="7B09415C"/>
    <w:rsid w:val="7C460A98"/>
    <w:rsid w:val="7C4E43D5"/>
    <w:rsid w:val="7F204770"/>
    <w:rsid w:val="7F2350C1"/>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5042</Words>
  <Characters>5242</Characters>
  <Lines>37</Lines>
  <Paragraphs>10</Paragraphs>
  <TotalTime>12</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2024-06-12T02:43:22Z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EB39EC1007924EB1A84D4E7BD7B197BD_13</vt:lpwstr>
  </property>
</Properties>
</file>