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eastAsia="华文中宋"/>
          <w:b/>
          <w:kern w:val="0"/>
          <w:sz w:val="52"/>
          <w:szCs w:val="52"/>
          <w:highlight w:val="none"/>
        </w:rPr>
      </w:pPr>
    </w:p>
    <w:p>
      <w:pPr>
        <w:spacing w:line="540" w:lineRule="exact"/>
        <w:rPr>
          <w:rFonts w:eastAsia="华文中宋"/>
          <w:b/>
          <w:kern w:val="0"/>
          <w:sz w:val="52"/>
          <w:szCs w:val="52"/>
          <w:highlight w:val="none"/>
        </w:rPr>
      </w:pPr>
    </w:p>
    <w:p>
      <w:pPr>
        <w:spacing w:line="540" w:lineRule="exact"/>
        <w:jc w:val="center"/>
        <w:rPr>
          <w:rFonts w:eastAsia="华文中宋"/>
          <w:b/>
          <w:kern w:val="0"/>
          <w:sz w:val="52"/>
          <w:szCs w:val="52"/>
          <w:highlight w:val="none"/>
        </w:rPr>
      </w:pPr>
    </w:p>
    <w:p>
      <w:pPr>
        <w:spacing w:line="540" w:lineRule="exact"/>
        <w:jc w:val="both"/>
        <w:rPr>
          <w:rFonts w:eastAsia="华文中宋"/>
          <w:b/>
          <w:kern w:val="0"/>
          <w:sz w:val="52"/>
          <w:szCs w:val="52"/>
          <w:highlight w:val="none"/>
        </w:rPr>
      </w:pPr>
    </w:p>
    <w:p>
      <w:pPr>
        <w:spacing w:line="700" w:lineRule="exact"/>
        <w:jc w:val="center"/>
        <w:rPr>
          <w:rFonts w:hint="eastAsia" w:ascii="方正小标宋简体" w:hAnsi="方正小标宋简体" w:eastAsia="方正小标宋简体" w:cs="方正小标宋简体"/>
          <w:b w:val="0"/>
          <w:bCs w:val="0"/>
          <w:kern w:val="0"/>
          <w:sz w:val="52"/>
          <w:szCs w:val="52"/>
          <w:highlight w:val="none"/>
        </w:rPr>
      </w:pPr>
      <w:r>
        <w:rPr>
          <w:rFonts w:hint="eastAsia" w:ascii="方正小标宋简体" w:hAnsi="方正小标宋简体" w:eastAsia="方正小标宋简体" w:cs="方正小标宋简体"/>
          <w:b w:val="0"/>
          <w:bCs w:val="0"/>
          <w:kern w:val="0"/>
          <w:sz w:val="52"/>
          <w:szCs w:val="52"/>
          <w:highlight w:val="none"/>
          <w:lang w:val="en-US" w:eastAsia="zh-CN"/>
        </w:rPr>
        <w:t>霍尔果斯市疾病预防控制中心购置设备项目</w:t>
      </w:r>
      <w:r>
        <w:rPr>
          <w:rFonts w:hint="eastAsia" w:ascii="方正小标宋简体" w:hAnsi="方正小标宋简体" w:eastAsia="方正小标宋简体" w:cs="方正小标宋简体"/>
          <w:b w:val="0"/>
          <w:bCs w:val="0"/>
          <w:kern w:val="0"/>
          <w:sz w:val="52"/>
          <w:szCs w:val="52"/>
          <w:highlight w:val="none"/>
        </w:rPr>
        <w:t>支出绩效评价报告</w:t>
      </w:r>
    </w:p>
    <w:p>
      <w:pPr>
        <w:spacing w:line="540" w:lineRule="exact"/>
        <w:jc w:val="center"/>
        <w:rPr>
          <w:rFonts w:eastAsia="华文中宋"/>
          <w:b/>
          <w:kern w:val="0"/>
          <w:sz w:val="52"/>
          <w:szCs w:val="52"/>
          <w:highlight w:val="none"/>
        </w:rPr>
      </w:pPr>
    </w:p>
    <w:p>
      <w:pPr>
        <w:spacing w:line="540" w:lineRule="exact"/>
        <w:jc w:val="center"/>
        <w:rPr>
          <w:rFonts w:eastAsia="仿宋_GB2312"/>
          <w:kern w:val="0"/>
          <w:sz w:val="36"/>
          <w:szCs w:val="36"/>
          <w:highlight w:val="none"/>
        </w:rPr>
      </w:pPr>
      <w:r>
        <w:rPr>
          <w:rFonts w:eastAsia="仿宋_GB2312"/>
          <w:kern w:val="0"/>
          <w:sz w:val="36"/>
          <w:szCs w:val="36"/>
          <w:highlight w:val="none"/>
        </w:rPr>
        <w:t>（ 202</w:t>
      </w:r>
      <w:r>
        <w:rPr>
          <w:rFonts w:hint="eastAsia" w:eastAsia="仿宋_GB2312"/>
          <w:kern w:val="0"/>
          <w:sz w:val="36"/>
          <w:szCs w:val="36"/>
          <w:highlight w:val="none"/>
        </w:rPr>
        <w:t>3</w:t>
      </w:r>
      <w:r>
        <w:rPr>
          <w:rFonts w:eastAsia="仿宋_GB2312"/>
          <w:kern w:val="0"/>
          <w:sz w:val="36"/>
          <w:szCs w:val="36"/>
          <w:highlight w:val="none"/>
        </w:rPr>
        <w:t>年度）</w:t>
      </w: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spacing w:line="540" w:lineRule="exact"/>
        <w:jc w:val="center"/>
        <w:rPr>
          <w:rFonts w:eastAsia="仿宋_GB2312"/>
          <w:kern w:val="0"/>
          <w:sz w:val="30"/>
          <w:szCs w:val="30"/>
          <w:highlight w:val="none"/>
        </w:rPr>
      </w:pPr>
    </w:p>
    <w:p>
      <w:pPr>
        <w:pStyle w:val="2"/>
        <w:rPr>
          <w:highlight w:val="none"/>
        </w:rPr>
      </w:pPr>
    </w:p>
    <w:p>
      <w:pPr>
        <w:spacing w:line="540" w:lineRule="exact"/>
        <w:jc w:val="center"/>
        <w:rPr>
          <w:rFonts w:eastAsia="仿宋_GB2312"/>
          <w:kern w:val="0"/>
          <w:sz w:val="30"/>
          <w:szCs w:val="30"/>
          <w:highlight w:val="none"/>
        </w:rPr>
      </w:pPr>
    </w:p>
    <w:p>
      <w:pPr>
        <w:spacing w:line="540" w:lineRule="exact"/>
        <w:rPr>
          <w:rFonts w:eastAsia="仿宋_GB2312"/>
          <w:kern w:val="0"/>
          <w:sz w:val="30"/>
          <w:szCs w:val="30"/>
          <w:highlight w:val="none"/>
        </w:rPr>
      </w:pPr>
    </w:p>
    <w:p>
      <w:pPr>
        <w:spacing w:line="700" w:lineRule="exact"/>
        <w:ind w:firstLine="1280" w:firstLineChars="400"/>
        <w:jc w:val="both"/>
        <w:rPr>
          <w:rFonts w:hint="eastAsia" w:eastAsia="仿宋_GB2312"/>
          <w:kern w:val="0"/>
          <w:sz w:val="32"/>
          <w:szCs w:val="32"/>
          <w:highlight w:val="none"/>
          <w:lang w:val="en-US" w:eastAsia="zh-CN"/>
        </w:rPr>
      </w:pPr>
      <w:r>
        <w:rPr>
          <w:rFonts w:eastAsia="仿宋_GB2312"/>
          <w:kern w:val="0"/>
          <w:sz w:val="32"/>
          <w:szCs w:val="32"/>
          <w:highlight w:val="none"/>
        </w:rPr>
        <w:t>项目名称：</w:t>
      </w:r>
      <w:r>
        <w:rPr>
          <w:rFonts w:hint="eastAsia" w:eastAsia="仿宋_GB2312"/>
          <w:kern w:val="0"/>
          <w:sz w:val="32"/>
          <w:szCs w:val="32"/>
          <w:highlight w:val="none"/>
          <w:lang w:val="en-US" w:eastAsia="zh-CN"/>
        </w:rPr>
        <w:t>霍尔果斯市疾病预防控制中心购置设备项目</w:t>
      </w:r>
    </w:p>
    <w:p>
      <w:pPr>
        <w:spacing w:line="700" w:lineRule="exact"/>
        <w:ind w:firstLine="1280" w:firstLineChars="400"/>
        <w:jc w:val="left"/>
        <w:rPr>
          <w:rFonts w:hint="eastAsia" w:eastAsia="仿宋_GB2312"/>
          <w:kern w:val="0"/>
          <w:sz w:val="32"/>
          <w:szCs w:val="32"/>
          <w:highlight w:val="none"/>
          <w:lang w:val="en-US" w:eastAsia="zh-CN"/>
        </w:rPr>
      </w:pPr>
      <w:r>
        <w:rPr>
          <w:rFonts w:eastAsia="仿宋_GB2312"/>
          <w:kern w:val="0"/>
          <w:sz w:val="32"/>
          <w:szCs w:val="32"/>
          <w:highlight w:val="none"/>
        </w:rPr>
        <w:t>实施单位（公章）：</w:t>
      </w:r>
      <w:r>
        <w:rPr>
          <w:rFonts w:hint="eastAsia" w:eastAsia="仿宋_GB2312"/>
          <w:kern w:val="0"/>
          <w:sz w:val="32"/>
          <w:szCs w:val="32"/>
          <w:highlight w:val="none"/>
          <w:lang w:val="en-US" w:eastAsia="zh-CN"/>
        </w:rPr>
        <w:t>霍尔果斯市疾病预防控制中心</w:t>
      </w:r>
    </w:p>
    <w:p>
      <w:pPr>
        <w:spacing w:line="700" w:lineRule="exact"/>
        <w:ind w:firstLine="1280" w:firstLineChars="400"/>
        <w:jc w:val="left"/>
        <w:rPr>
          <w:rFonts w:hint="eastAsia" w:eastAsia="仿宋_GB2312"/>
          <w:kern w:val="0"/>
          <w:sz w:val="32"/>
          <w:szCs w:val="32"/>
          <w:highlight w:val="none"/>
          <w:lang w:val="en-US" w:eastAsia="zh-CN"/>
        </w:rPr>
      </w:pPr>
      <w:r>
        <w:rPr>
          <w:rFonts w:eastAsia="仿宋_GB2312"/>
          <w:kern w:val="0"/>
          <w:sz w:val="32"/>
          <w:szCs w:val="32"/>
          <w:highlight w:val="none"/>
        </w:rPr>
        <w:t>主管部门（公章）：</w:t>
      </w:r>
      <w:r>
        <w:rPr>
          <w:rFonts w:hint="eastAsia" w:eastAsia="仿宋_GB2312"/>
          <w:kern w:val="0"/>
          <w:sz w:val="32"/>
          <w:szCs w:val="32"/>
          <w:highlight w:val="none"/>
          <w:lang w:val="en-US" w:eastAsia="zh-CN"/>
        </w:rPr>
        <w:t>霍尔果斯市卫生健康委员会</w:t>
      </w:r>
    </w:p>
    <w:p>
      <w:pPr>
        <w:spacing w:line="700" w:lineRule="exact"/>
        <w:ind w:firstLine="1280" w:firstLineChars="400"/>
        <w:jc w:val="left"/>
        <w:rPr>
          <w:rFonts w:hint="eastAsia" w:eastAsia="仿宋_GB2312"/>
          <w:kern w:val="0"/>
          <w:sz w:val="32"/>
          <w:szCs w:val="32"/>
          <w:highlight w:val="none"/>
          <w:lang w:val="en-US" w:eastAsia="zh-CN"/>
        </w:rPr>
      </w:pPr>
      <w:r>
        <w:rPr>
          <w:rFonts w:eastAsia="仿宋_GB2312"/>
          <w:kern w:val="0"/>
          <w:sz w:val="32"/>
          <w:szCs w:val="32"/>
          <w:highlight w:val="none"/>
        </w:rPr>
        <w:t>项目负责人（签章）：</w:t>
      </w:r>
      <w:r>
        <w:rPr>
          <w:rFonts w:hint="eastAsia" w:eastAsia="仿宋_GB2312"/>
          <w:kern w:val="0"/>
          <w:sz w:val="32"/>
          <w:szCs w:val="32"/>
          <w:highlight w:val="none"/>
          <w:lang w:val="en-US" w:eastAsia="zh-CN"/>
        </w:rPr>
        <w:t>张欣伟</w:t>
      </w:r>
    </w:p>
    <w:p>
      <w:pPr>
        <w:spacing w:line="700" w:lineRule="exact"/>
        <w:ind w:firstLine="1280" w:firstLineChars="400"/>
        <w:jc w:val="left"/>
        <w:rPr>
          <w:rFonts w:eastAsia="仿宋_GB2312"/>
          <w:kern w:val="0"/>
          <w:sz w:val="32"/>
          <w:szCs w:val="32"/>
          <w:highlight w:val="none"/>
        </w:rPr>
      </w:pPr>
      <w:r>
        <w:rPr>
          <w:rFonts w:eastAsia="仿宋_GB2312"/>
          <w:kern w:val="0"/>
          <w:sz w:val="32"/>
          <w:szCs w:val="32"/>
          <w:highlight w:val="none"/>
        </w:rPr>
        <w:t>填报时间：</w:t>
      </w:r>
      <w:r>
        <w:rPr>
          <w:rFonts w:hint="eastAsia" w:eastAsia="仿宋_GB2312"/>
          <w:kern w:val="0"/>
          <w:sz w:val="32"/>
          <w:szCs w:val="32"/>
          <w:highlight w:val="none"/>
          <w:lang w:val="en-US" w:eastAsia="zh-CN"/>
        </w:rPr>
        <w:t>2024</w:t>
      </w:r>
      <w:r>
        <w:rPr>
          <w:rFonts w:eastAsia="仿宋_GB2312"/>
          <w:kern w:val="0"/>
          <w:sz w:val="32"/>
          <w:szCs w:val="32"/>
          <w:highlight w:val="none"/>
        </w:rPr>
        <w:t>年</w:t>
      </w:r>
      <w:r>
        <w:rPr>
          <w:rFonts w:hint="eastAsia" w:eastAsia="仿宋_GB2312"/>
          <w:kern w:val="0"/>
          <w:sz w:val="32"/>
          <w:szCs w:val="32"/>
          <w:highlight w:val="none"/>
          <w:lang w:val="en-US" w:eastAsia="zh-CN"/>
        </w:rPr>
        <w:t>4</w:t>
      </w:r>
      <w:r>
        <w:rPr>
          <w:rFonts w:eastAsia="仿宋_GB2312"/>
          <w:kern w:val="0"/>
          <w:sz w:val="32"/>
          <w:szCs w:val="32"/>
          <w:highlight w:val="none"/>
        </w:rPr>
        <w:t>月</w:t>
      </w:r>
      <w:r>
        <w:rPr>
          <w:rFonts w:hint="eastAsia" w:eastAsia="仿宋_GB2312"/>
          <w:kern w:val="0"/>
          <w:sz w:val="32"/>
          <w:szCs w:val="32"/>
          <w:highlight w:val="none"/>
          <w:lang w:val="en-US" w:eastAsia="zh-CN"/>
        </w:rPr>
        <w:t>28</w:t>
      </w:r>
      <w:r>
        <w:rPr>
          <w:rFonts w:eastAsia="仿宋_GB2312"/>
          <w:kern w:val="0"/>
          <w:sz w:val="32"/>
          <w:szCs w:val="32"/>
          <w:highlight w:val="none"/>
        </w:rPr>
        <w:t>日</w:t>
      </w:r>
    </w:p>
    <w:p>
      <w:pPr>
        <w:spacing w:line="560" w:lineRule="exact"/>
        <w:rPr>
          <w:rFonts w:eastAsia="黑体"/>
          <w:bCs/>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pPr>
        <w:spacing w:line="560" w:lineRule="exact"/>
        <w:ind w:firstLine="320" w:firstLineChars="100"/>
        <w:rPr>
          <w:rFonts w:eastAsia="黑体"/>
          <w:bCs/>
          <w:sz w:val="32"/>
          <w:szCs w:val="32"/>
          <w:highlight w:val="none"/>
        </w:rPr>
      </w:pPr>
      <w:r>
        <w:rPr>
          <w:rFonts w:eastAsia="黑体"/>
          <w:bCs/>
          <w:sz w:val="32"/>
          <w:szCs w:val="32"/>
          <w:highlight w:val="none"/>
        </w:rPr>
        <w:t>一、基本情况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随着新型冠状病毒肺炎疫情的蔓延，疫情防控工作形势严峻。在新冠病毒疫情严峻的背景下，为加强疫情防控能力，提高检测水平，减少病毒传播的风险，确保公众的安全和健康，各类场所(如医院、学校、企业、公共场所等)需要加强防疫措施。防疫仪器设备能够帮助这些场所更有效地进行疫情防控，减少疫情传播的风险。</w:t>
      </w:r>
    </w:p>
    <w:p>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pPr>
        <w:spacing w:line="560" w:lineRule="exact"/>
        <w:ind w:firstLine="640" w:firstLineChars="200"/>
        <w:rPr>
          <w:rFonts w:eastAsia="仿宋_GB2312"/>
          <w:sz w:val="32"/>
          <w:szCs w:val="32"/>
          <w:highlight w:val="none"/>
        </w:rPr>
      </w:pPr>
      <w:r>
        <w:rPr>
          <w:rFonts w:hint="eastAsia" w:eastAsia="仿宋_GB2312"/>
          <w:sz w:val="32"/>
          <w:szCs w:val="32"/>
          <w:highlight w:val="none"/>
        </w:rPr>
        <w:t>项目主要内容：防疫仪器设备可以快速、准确地检测出病毒、细菌等病原体，从而尽早发现疫情，及时采取措施，减少疫情传播;可以高效地对各类场所进行消毒，降低病原体在环境中的存活率，从而降低疫情传播的风险;防疫仪器设备可以为医护人员</w:t>
      </w:r>
      <w:r>
        <w:rPr>
          <w:rFonts w:hint="eastAsia" w:eastAsia="仿宋_GB2312"/>
          <w:sz w:val="32"/>
          <w:szCs w:val="32"/>
          <w:highlight w:val="none"/>
          <w:lang w:val="en-US" w:eastAsia="zh-CN"/>
        </w:rPr>
        <w:t>和</w:t>
      </w:r>
      <w:r>
        <w:rPr>
          <w:rFonts w:hint="eastAsia" w:eastAsia="仿宋_GB2312"/>
          <w:sz w:val="32"/>
          <w:szCs w:val="32"/>
          <w:highlight w:val="none"/>
        </w:rPr>
        <w:t>公众提供</w:t>
      </w:r>
      <w:r>
        <w:rPr>
          <w:rFonts w:hint="eastAsia" w:eastAsia="仿宋_GB2312"/>
          <w:sz w:val="32"/>
          <w:szCs w:val="32"/>
          <w:highlight w:val="none"/>
          <w:lang w:val="en-US" w:eastAsia="zh-CN"/>
        </w:rPr>
        <w:t>更好的个人防护，降低感染风险；可以实时监控疫情动态，为政府、企业、和公众提供</w:t>
      </w:r>
      <w:r>
        <w:rPr>
          <w:rFonts w:hint="eastAsia" w:eastAsia="仿宋_GB2312"/>
          <w:sz w:val="32"/>
          <w:szCs w:val="32"/>
          <w:highlight w:val="none"/>
        </w:rPr>
        <w:t>及时、准确的疫情信息，便于制定相应的防控措施;可以增强公众对疫情防控的信心，减少恐慌情绪，有利于维护社会稳定。</w:t>
      </w:r>
    </w:p>
    <w:p>
      <w:pPr>
        <w:spacing w:line="560" w:lineRule="exact"/>
        <w:ind w:firstLine="640" w:firstLineChars="200"/>
        <w:rPr>
          <w:rFonts w:eastAsia="仿宋_GB2312"/>
          <w:sz w:val="32"/>
          <w:szCs w:val="32"/>
          <w:highlight w:val="none"/>
        </w:rPr>
      </w:pPr>
      <w:r>
        <w:rPr>
          <w:rFonts w:eastAsia="仿宋_GB2312"/>
          <w:sz w:val="32"/>
          <w:szCs w:val="32"/>
          <w:highlight w:val="none"/>
        </w:rPr>
        <w:t>项目实施情况：</w:t>
      </w:r>
      <w:r>
        <w:rPr>
          <w:rFonts w:hint="eastAsia" w:eastAsia="仿宋_GB2312"/>
          <w:sz w:val="32"/>
          <w:szCs w:val="32"/>
          <w:highlight w:val="none"/>
        </w:rPr>
        <w:t>防疫仪器设备为医护人员和公众提供更好的个人防护，降低感染风险;实时监控疫情动态，为政府、企业和公众提供及时、准确的疫情信息，制定相应的防控措施;增强公众对疫情防控的信心，减少恐慌情绪，有利于维护社会稳定。</w:t>
      </w:r>
      <w:bookmarkStart w:id="5" w:name="_GoBack"/>
      <w:bookmarkEnd w:id="5"/>
      <w:r>
        <w:rPr>
          <w:rFonts w:hint="eastAsia" w:eastAsia="仿宋_GB2312"/>
          <w:sz w:val="32"/>
          <w:szCs w:val="32"/>
          <w:highlight w:val="none"/>
          <w:lang w:eastAsia="zh-CN"/>
        </w:rPr>
        <w:t>更好地为</w:t>
      </w:r>
      <w:r>
        <w:rPr>
          <w:rFonts w:hint="eastAsia" w:eastAsia="仿宋_GB2312"/>
          <w:sz w:val="32"/>
          <w:szCs w:val="32"/>
          <w:highlight w:val="none"/>
        </w:rPr>
        <w:t>保障疫情防控工作，确保市疾控中心核酸实验室正常运行。该项目资金主要用于疾病预防控制中心购置设备实验室设备购置平均标准3.15万元/台，共99台设备，总资金为312.5万元。</w:t>
      </w:r>
    </w:p>
    <w:p>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（1）资金投入情况</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该项目年初预算数</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万元，全年预算数</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实际总投入</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万元，该项目资金已全部落实到位，资金来源为</w:t>
      </w:r>
      <w:r>
        <w:rPr>
          <w:rFonts w:hint="eastAsia" w:ascii="仿宋_GB2312" w:hAnsi="仿宋_GB2312" w:eastAsia="仿宋_GB2312" w:cs="仿宋_GB2312"/>
          <w:sz w:val="32"/>
          <w:szCs w:val="32"/>
          <w:highlight w:val="none"/>
          <w:lang w:val="en-US" w:eastAsia="zh-CN"/>
        </w:rPr>
        <w:t>财政拨款</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（2）资金使用情况</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该项目年初预算数</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万元，全年预算数</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万元,，全年执行数</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%，主要用于：</w:t>
      </w:r>
      <w:r>
        <w:rPr>
          <w:rFonts w:hint="eastAsia" w:ascii="仿宋_GB2312" w:hAnsi="仿宋_GB2312" w:eastAsia="仿宋_GB2312" w:cs="仿宋_GB2312"/>
          <w:sz w:val="32"/>
          <w:szCs w:val="32"/>
          <w:highlight w:val="none"/>
          <w:lang w:val="en-US" w:eastAsia="zh-CN"/>
        </w:rPr>
        <w:t>设备采购</w:t>
      </w:r>
      <w:r>
        <w:rPr>
          <w:rFonts w:hint="eastAsia" w:ascii="仿宋_GB2312" w:hAnsi="仿宋_GB2312" w:eastAsia="仿宋_GB2312" w:cs="仿宋_GB2312"/>
          <w:sz w:val="32"/>
          <w:szCs w:val="32"/>
          <w:highlight w:val="none"/>
        </w:rPr>
        <w:t>。</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pPr>
        <w:spacing w:line="560" w:lineRule="exact"/>
        <w:ind w:firstLine="640" w:firstLineChars="200"/>
        <w:rPr>
          <w:rFonts w:eastAsia="仿宋_GB2312"/>
          <w:sz w:val="32"/>
          <w:szCs w:val="32"/>
          <w:highlight w:val="none"/>
        </w:rPr>
      </w:pPr>
      <w:r>
        <w:rPr>
          <w:rFonts w:hint="eastAsia" w:eastAsia="仿宋_GB2312"/>
          <w:sz w:val="32"/>
          <w:szCs w:val="32"/>
          <w:highlight w:val="none"/>
        </w:rPr>
        <w:t>防疫仪器设备可以为医护人员和公众提供更好的个人防护，降低感染风险;可以实时监控疫情动态，为政府、企业和公众提供及时、准确的疫情信息，便于制定相应的防控措施;可以增强公众对疫情防控的信心，减少恐慌情绪，有利于维护社会稳定。为更好保障疫情防控工作，确保市疾控中心核酸实验室正常运行。该项目资金主要用于疾病预防控制中心购置设备实验室设备购置平均标准3.15万元/台，共99台设备，总资金为312.5万元。</w:t>
      </w:r>
    </w:p>
    <w:p>
      <w:pPr>
        <w:spacing w:line="560" w:lineRule="exact"/>
        <w:ind w:firstLine="640" w:firstLineChars="200"/>
        <w:rPr>
          <w:rFonts w:hint="eastAsia" w:eastAsia="仿宋_GB2312"/>
          <w:sz w:val="32"/>
          <w:szCs w:val="32"/>
          <w:highlight w:val="none"/>
        </w:rPr>
      </w:pPr>
      <w:r>
        <w:rPr>
          <w:rFonts w:eastAsia="仿宋_GB2312"/>
          <w:sz w:val="32"/>
          <w:szCs w:val="32"/>
          <w:highlight w:val="none"/>
        </w:rPr>
        <w:t>2、阶段性目标</w:t>
      </w:r>
      <w:r>
        <w:rPr>
          <w:rFonts w:hint="eastAsia" w:eastAsia="仿宋_GB2312"/>
          <w:sz w:val="32"/>
          <w:szCs w:val="32"/>
          <w:highlight w:val="none"/>
        </w:rPr>
        <w:t>防疫仪器设备可以为医护人员和公众提供更好的个人防护，降低感染风险;可以实时监控疫情动态，为政府、企业和公众提供及时、准确的疫情信息，便于制定相应的防控措施;可以增强公众对疫情防控的信心，减少恐慌情绪，有利于维护社会稳定。为更好保障疫情防控工作，确保市疾控中心核酸实验室正常运行。该项目资金主要用于疾病预防控制中心购置设备实验室设备购置平均标准3.15万元/台，共99台设备，总资金为312.5万元。</w:t>
      </w:r>
    </w:p>
    <w:p>
      <w:pPr>
        <w:spacing w:line="560" w:lineRule="exact"/>
        <w:rPr>
          <w:rFonts w:eastAsia="黑体"/>
          <w:sz w:val="32"/>
          <w:szCs w:val="32"/>
          <w:highlight w:val="none"/>
        </w:rPr>
      </w:pPr>
      <w:r>
        <w:rPr>
          <w:rFonts w:eastAsia="黑体"/>
          <w:sz w:val="32"/>
          <w:szCs w:val="32"/>
          <w:highlight w:val="none"/>
        </w:rPr>
        <w:t>二、绩效评价工作开展情况</w:t>
      </w:r>
    </w:p>
    <w:p>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highlight w:val="none"/>
        </w:rPr>
      </w:pPr>
      <w:r>
        <w:rPr>
          <w:rFonts w:eastAsia="仿宋_GB2312"/>
          <w:sz w:val="32"/>
          <w:szCs w:val="32"/>
          <w:highlight w:val="none"/>
        </w:rPr>
        <w:t>（2）项目绩效管理财政支出运行提供及时、有效的信息。</w:t>
      </w:r>
    </w:p>
    <w:p>
      <w:pPr>
        <w:pStyle w:val="18"/>
        <w:spacing w:line="560" w:lineRule="exact"/>
        <w:ind w:firstLine="640" w:firstLineChars="200"/>
        <w:rPr>
          <w:rFonts w:eastAsia="方正仿宋_GBK" w:cs="方正仿宋_GBK"/>
          <w:sz w:val="32"/>
          <w:szCs w:val="32"/>
          <w:highlight w:val="none"/>
        </w:rPr>
      </w:pPr>
      <w:r>
        <w:rPr>
          <w:rFonts w:eastAsia="仿宋_GB2312"/>
          <w:sz w:val="32"/>
          <w:szCs w:val="32"/>
          <w:highlight w:val="none"/>
        </w:rPr>
        <w:t>综合来看，通过开展有效的财政支出绩效评价管理，</w:t>
      </w:r>
      <w:r>
        <w:rPr>
          <w:rFonts w:hint="eastAsia" w:eastAsia="仿宋_GB231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霍尔果斯市疾病预防控制中心购置设备项目</w:t>
      </w:r>
      <w:r>
        <w:rPr>
          <w:rFonts w:hint="eastAsia" w:ascii="仿宋_GB2312" w:hAnsi="仿宋_GB2312" w:eastAsia="仿宋_GB2312" w:cs="仿宋_GB2312"/>
          <w:sz w:val="32"/>
          <w:szCs w:val="32"/>
          <w:highlight w:val="none"/>
        </w:rPr>
        <w:t>所包含的全部项目内容。</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sz w:val="32"/>
          <w:szCs w:val="32"/>
          <w:highlight w:val="none"/>
          <w:lang w:val="en-US" w:eastAsia="zh-CN"/>
        </w:rPr>
        <w:t>霍尔果斯市疾病预防控制中心购置设备项目</w:t>
      </w:r>
      <w:r>
        <w:rPr>
          <w:rFonts w:hint="eastAsia" w:ascii="仿宋_GB2312" w:hAnsi="仿宋_GB2312" w:eastAsia="仿宋_GB2312" w:cs="仿宋_GB2312"/>
          <w:sz w:val="32"/>
          <w:szCs w:val="32"/>
          <w:highlight w:val="none"/>
        </w:rPr>
        <w:t>进行评价，评价核心为专项资金的支出完成情况和效果。</w:t>
      </w:r>
    </w:p>
    <w:p>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pPr>
        <w:spacing w:line="560" w:lineRule="exact"/>
        <w:ind w:firstLine="708" w:firstLineChars="200"/>
        <w:rPr>
          <w:rFonts w:eastAsia="仿宋_GB2312"/>
          <w:color w:val="000000"/>
          <w:spacing w:val="17"/>
          <w:sz w:val="32"/>
          <w:szCs w:val="32"/>
          <w:highlight w:val="none"/>
        </w:rPr>
      </w:pPr>
      <w:r>
        <w:rPr>
          <w:rFonts w:hint="eastAsia" w:eastAsia="仿宋_GB2312"/>
          <w:color w:val="000000"/>
          <w:spacing w:val="17"/>
          <w:sz w:val="32"/>
          <w:szCs w:val="32"/>
          <w:highlight w:val="none"/>
        </w:rPr>
        <w:t>绩效评价标准通常包括计划标准、行业标准、历史标准等，用于对绩效指标完成情况进行比较、分析、评价。本次评价主要采用了</w:t>
      </w:r>
      <w:r>
        <w:rPr>
          <w:rFonts w:hint="eastAsia" w:eastAsia="仿宋_GB2312"/>
          <w:color w:val="000000"/>
          <w:spacing w:val="17"/>
          <w:sz w:val="32"/>
          <w:szCs w:val="32"/>
          <w:highlight w:val="none"/>
          <w:lang w:val="en-US" w:eastAsia="zh-CN"/>
        </w:rPr>
        <w:t>计划</w:t>
      </w:r>
      <w:r>
        <w:rPr>
          <w:rFonts w:hint="eastAsia" w:eastAsia="仿宋_GB2312"/>
          <w:color w:val="000000"/>
          <w:spacing w:val="17"/>
          <w:sz w:val="32"/>
          <w:szCs w:val="32"/>
          <w:highlight w:val="none"/>
        </w:rPr>
        <w:t>标准。</w:t>
      </w:r>
    </w:p>
    <w:p>
      <w:pPr>
        <w:spacing w:line="560" w:lineRule="exact"/>
        <w:ind w:firstLine="708" w:firstLineChars="200"/>
        <w:rPr>
          <w:rFonts w:eastAsia="仿宋_GB2312"/>
          <w:color w:val="000000"/>
          <w:spacing w:val="17"/>
          <w:sz w:val="32"/>
          <w:szCs w:val="32"/>
          <w:highlight w:val="none"/>
        </w:rPr>
      </w:pPr>
      <w:bookmarkStart w:id="0" w:name="_Toc17882"/>
      <w:bookmarkStart w:id="1" w:name="_Toc31464"/>
      <w:r>
        <w:rPr>
          <w:rFonts w:hint="eastAsia" w:eastAsia="仿宋_GB2312"/>
          <w:color w:val="000000"/>
          <w:spacing w:val="17"/>
          <w:sz w:val="32"/>
          <w:szCs w:val="32"/>
          <w:highlight w:val="none"/>
        </w:rPr>
        <w:t>计划标准：指以预先制定的目标、计划、预算、定额等作为评价标准。</w:t>
      </w:r>
      <w:bookmarkEnd w:id="0"/>
      <w:bookmarkEnd w:id="1"/>
    </w:p>
    <w:p>
      <w:pPr>
        <w:spacing w:line="560" w:lineRule="exact"/>
        <w:ind w:firstLine="640" w:firstLineChars="200"/>
        <w:rPr>
          <w:rFonts w:eastAsia="方正仿宋_GBK" w:cs="方正仿宋_GBK"/>
          <w:sz w:val="32"/>
          <w:szCs w:val="32"/>
          <w:highlight w:val="none"/>
        </w:rPr>
      </w:pPr>
    </w:p>
    <w:p>
      <w:pPr>
        <w:pStyle w:val="2"/>
        <w:numPr>
          <w:ilvl w:val="0"/>
          <w:numId w:val="3"/>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pPr>
        <w:spacing w:line="560" w:lineRule="exact"/>
        <w:ind w:firstLine="640" w:firstLineChars="200"/>
        <w:rPr>
          <w:rFonts w:eastAsia="仿宋_GB2312"/>
          <w:bCs/>
          <w:sz w:val="32"/>
          <w:szCs w:val="32"/>
          <w:highlight w:val="none"/>
        </w:rPr>
      </w:pPr>
      <w:r>
        <w:rPr>
          <w:rFonts w:hint="eastAsia" w:eastAsia="仿宋_GB2312"/>
          <w:bCs/>
          <w:sz w:val="32"/>
          <w:szCs w:val="32"/>
          <w:highlight w:val="none"/>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rPr>
          <w:rFonts w:eastAsia="仿宋_GB2312"/>
          <w:bCs/>
          <w:sz w:val="32"/>
          <w:szCs w:val="32"/>
          <w:highlight w:val="none"/>
        </w:rPr>
      </w:pPr>
      <w:r>
        <w:rPr>
          <w:rFonts w:hint="eastAsia" w:eastAsia="仿宋_GB2312"/>
          <w:bCs/>
          <w:sz w:val="32"/>
          <w:szCs w:val="32"/>
          <w:highlight w:val="none"/>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rPr>
          <w:sz w:val="32"/>
          <w:szCs w:val="32"/>
          <w:highlight w:val="none"/>
        </w:rPr>
      </w:pPr>
      <w:r>
        <w:rPr>
          <w:rFonts w:hint="eastAsia" w:eastAsia="仿宋_GB2312"/>
          <w:bCs/>
          <w:sz w:val="32"/>
          <w:szCs w:val="32"/>
          <w:highlight w:val="none"/>
        </w:rPr>
        <w:t>3.分析评价。根据收集梳理的资料围绕项目立项、资金落实、业务管理、财务管理、项目产出、项目效益等内容，对照已确定的绩效评价指标进行详细全面的分析评价，逐项打分并形成绩效评价最终结果。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eastAsia="黑体"/>
          <w:sz w:val="32"/>
          <w:szCs w:val="32"/>
          <w:highlight w:val="none"/>
        </w:rPr>
      </w:pPr>
      <w:r>
        <w:rPr>
          <w:rFonts w:hint="eastAsia" w:eastAsia="黑体"/>
          <w:sz w:val="32"/>
          <w:szCs w:val="32"/>
          <w:highlight w:val="none"/>
          <w:lang w:eastAsia="zh-CN"/>
        </w:rPr>
        <w:t>三、</w:t>
      </w:r>
      <w:r>
        <w:rPr>
          <w:rFonts w:eastAsia="黑体"/>
          <w:sz w:val="32"/>
          <w:szCs w:val="32"/>
          <w:highlight w:val="none"/>
        </w:rPr>
        <w:t>综合评价情况及评价结论（附相关评分表）</w:t>
      </w:r>
    </w:p>
    <w:p>
      <w:pPr>
        <w:pStyle w:val="2"/>
        <w:spacing w:before="0" w:after="0" w:line="560" w:lineRule="exact"/>
        <w:ind w:firstLine="643" w:firstLineChars="200"/>
        <w:jc w:val="both"/>
        <w:rPr>
          <w:rFonts w:ascii="Times New Roman" w:hAnsi="Times New Roman" w:eastAsia="楷体_GB2312"/>
          <w:highlight w:val="none"/>
        </w:rPr>
      </w:pPr>
      <w:r>
        <w:rPr>
          <w:rFonts w:hint="eastAsia" w:ascii="Times New Roman" w:hAnsi="Times New Roman" w:eastAsia="楷体_GB2312"/>
          <w:highlight w:val="none"/>
        </w:rPr>
        <w:t>（一）评价情况</w:t>
      </w:r>
    </w:p>
    <w:p>
      <w:pPr>
        <w:spacing w:line="600" w:lineRule="exact"/>
        <w:ind w:firstLine="640" w:firstLineChars="200"/>
        <w:outlineLvl w:val="0"/>
        <w:rPr>
          <w:rFonts w:eastAsia="仿宋_GB2312"/>
          <w:kern w:val="28"/>
          <w:sz w:val="32"/>
          <w:szCs w:val="32"/>
          <w:highlight w:val="none"/>
        </w:rPr>
      </w:pPr>
      <w:r>
        <w:rPr>
          <w:rFonts w:hint="eastAsia" w:eastAsia="仿宋_GB2312"/>
          <w:kern w:val="28"/>
          <w:sz w:val="32"/>
          <w:szCs w:val="32"/>
          <w:highlight w:val="none"/>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spacing w:before="0" w:after="0" w:line="560" w:lineRule="exact"/>
        <w:ind w:firstLine="643" w:firstLineChars="200"/>
        <w:jc w:val="both"/>
        <w:rPr>
          <w:rFonts w:ascii="Times New Roman" w:hAnsi="Times New Roman" w:eastAsia="楷体_GB2312"/>
          <w:highlight w:val="none"/>
        </w:rPr>
      </w:pPr>
      <w:r>
        <w:rPr>
          <w:rFonts w:hint="eastAsia" w:ascii="Times New Roman" w:hAnsi="Times New Roman" w:eastAsia="楷体_GB2312"/>
          <w:highlight w:val="none"/>
        </w:rPr>
        <w:t>（二）评价结论</w:t>
      </w:r>
    </w:p>
    <w:p>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highlight w:val="none"/>
          <w:lang w:val="en-US" w:eastAsia="zh-CN"/>
        </w:rPr>
        <w:t>99.92</w:t>
      </w:r>
      <w:r>
        <w:rPr>
          <w:rFonts w:hint="eastAsia" w:ascii="Times New Roman" w:hAnsi="Times New Roman" w:eastAsia="仿宋_GB2312"/>
          <w:b w:val="0"/>
          <w:bCs w:val="0"/>
          <w:highlight w:val="none"/>
        </w:rPr>
        <w:t xml:space="preserve">分，属于“优（良/中/差）”。其中，项目决策类指标权重为20分，得分为 </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39.92</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99.8</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p>
    <w:p>
      <w:pPr>
        <w:pStyle w:val="2"/>
        <w:spacing w:before="0" w:after="0"/>
        <w:rPr>
          <w:rFonts w:ascii="Times New Roman" w:hAnsi="Times New Roman" w:eastAsia="仿宋_GB2312"/>
          <w:sz w:val="30"/>
          <w:szCs w:val="30"/>
          <w:highlight w:val="none"/>
        </w:rPr>
      </w:pPr>
      <w:r>
        <w:rPr>
          <w:rFonts w:ascii="Times New Roman" w:hAnsi="Times New Roman" w:eastAsia="仿宋_GB2312"/>
          <w:sz w:val="30"/>
          <w:szCs w:val="30"/>
          <w:highlight w:val="none"/>
        </w:rPr>
        <w:t>表1综合评分表</w:t>
      </w:r>
    </w:p>
    <w:tbl>
      <w:tblPr>
        <w:tblStyle w:val="13"/>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highlight w:val="none"/>
              </w:rPr>
            </w:pPr>
            <w:r>
              <w:rPr>
                <w:rFonts w:hint="eastAsia"/>
                <w:b/>
                <w:bCs/>
                <w:color w:val="000000"/>
                <w:sz w:val="22"/>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highlight w:val="none"/>
                <w:lang w:val="en-US" w:eastAsia="zh-CN"/>
              </w:rPr>
            </w:pPr>
            <w:r>
              <w:rPr>
                <w:rFonts w:hint="eastAsia"/>
                <w:color w:val="000000"/>
                <w:sz w:val="22"/>
                <w:highlight w:val="none"/>
                <w:lang w:val="en-US" w:eastAsia="zh-CN"/>
              </w:rPr>
              <w:t>39.92</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color w:val="000000"/>
                <w:sz w:val="22"/>
                <w:highlight w:val="none"/>
              </w:rPr>
            </w:pPr>
            <w:r>
              <w:rPr>
                <w:rFonts w:hint="eastAsia"/>
                <w:color w:val="000000"/>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color w:val="000000"/>
                <w:sz w:val="22"/>
                <w:highlight w:val="none"/>
                <w:lang w:val="en-US" w:eastAsia="zh-CN"/>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highlight w:val="none"/>
              </w:rPr>
            </w:pPr>
            <w:r>
              <w:rPr>
                <w:rFonts w:hint="eastAsia" w:cs="宋体"/>
                <w:b/>
                <w:bCs/>
                <w:color w:val="000000"/>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b/>
                <w:bCs/>
                <w:color w:val="000000"/>
                <w:sz w:val="22"/>
                <w:highlight w:val="none"/>
              </w:rPr>
            </w:pPr>
            <w:r>
              <w:rPr>
                <w:rFonts w:hint="eastAsia"/>
                <w:b/>
                <w:bCs/>
                <w:color w:val="000000"/>
                <w:sz w:val="22"/>
                <w:highlight w:val="none"/>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宋体"/>
                <w:b/>
                <w:bCs/>
                <w:color w:val="000000"/>
                <w:sz w:val="22"/>
                <w:highlight w:val="none"/>
                <w:lang w:val="en-US" w:eastAsia="zh-CN"/>
              </w:rPr>
            </w:pPr>
            <w:r>
              <w:rPr>
                <w:rFonts w:hint="eastAsia"/>
                <w:b/>
                <w:bCs/>
                <w:color w:val="000000"/>
                <w:sz w:val="22"/>
                <w:highlight w:val="none"/>
                <w:lang w:val="en-US" w:eastAsia="zh-CN"/>
              </w:rPr>
              <w:t>99.92</w:t>
            </w:r>
          </w:p>
        </w:tc>
      </w:tr>
    </w:tbl>
    <w:p>
      <w:pPr>
        <w:spacing w:line="560" w:lineRule="exact"/>
        <w:rPr>
          <w:rFonts w:eastAsia="黑体"/>
          <w:sz w:val="32"/>
          <w:szCs w:val="32"/>
          <w:highlight w:val="none"/>
        </w:rPr>
      </w:pPr>
      <w:r>
        <w:rPr>
          <w:rFonts w:eastAsia="黑体"/>
          <w:sz w:val="32"/>
          <w:szCs w:val="32"/>
          <w:highlight w:val="none"/>
        </w:rPr>
        <w:t>四、绩效评价指标分析</w:t>
      </w:r>
    </w:p>
    <w:p>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项目决策类指标包括项目立项、绩效目标和资金投入三方面的内容，由6个三级指标构成，权重分值为20分，实际得分</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1.项目立项</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（1）立项依据充分性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（2）立项程序规范性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rPr>
        <w:t>根据决算依据编制工作计划和经费预算，经过与部门项目分管领导沟通、筛选确定经费预算计划，确定最终预算方案。项目的审批文件、材料符合相关要求，项目事前经过必要的集体决策，保障了程序的规范性。</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2.绩效目标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（1）绩效目标合理性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年初结合实际工作内容</w:t>
      </w:r>
      <w:r>
        <w:rPr>
          <w:rFonts w:hint="eastAsia" w:ascii="仿宋_GB2312" w:hAnsi="仿宋_GB2312" w:eastAsia="仿宋_GB2312" w:cs="仿宋_GB2312"/>
          <w:sz w:val="32"/>
          <w:szCs w:val="32"/>
          <w:highlight w:val="none"/>
        </w:rPr>
        <w:t>设定绩效目标</w:t>
      </w:r>
      <w:r>
        <w:rPr>
          <w:rFonts w:hint="eastAsia" w:ascii="仿宋_GB2312" w:hAnsi="仿宋_GB2312" w:eastAsia="仿宋_GB2312" w:cs="仿宋_GB2312"/>
          <w:sz w:val="32"/>
          <w:szCs w:val="32"/>
          <w:highlight w:val="none"/>
          <w:lang w:eastAsia="zh-Hans"/>
        </w:rPr>
        <w:t>，绩效目标</w:t>
      </w:r>
      <w:r>
        <w:rPr>
          <w:rFonts w:hint="eastAsia" w:ascii="仿宋_GB2312" w:hAnsi="仿宋_GB2312" w:eastAsia="仿宋_GB2312" w:cs="仿宋_GB2312"/>
          <w:sz w:val="32"/>
          <w:szCs w:val="32"/>
          <w:highlight w:val="none"/>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（2）绩效指标明确性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项目设置了明确的预期产出效益和效果，将绩效目标细化分解为具体的绩效指标，绩效目标与项目目标任务数相对应，绩效目标设定的绩效指标清晰、细化、可衡量。</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3.资金投入</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（1）预算编制科学性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（2）资金分配合理性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资金分配额度与项目单位实际工作内容相适应，资金分配额度合理，资金分配依据充分。</w:t>
      </w:r>
    </w:p>
    <w:p>
      <w:pPr>
        <w:pStyle w:val="2"/>
        <w:numPr>
          <w:ilvl w:val="0"/>
          <w:numId w:val="4"/>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项目过程类指标包括资金管理和组织实施两方面的内容，由5个三级指标构成，权重分值为20分，实际得分</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1.资金管理</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（1）资金到位率</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本项目总投资</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万元，财政资金及时足额到位，到位率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%，预算资金按计划进度执行。</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（2）预算执行率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预算编制较为详细，项目资金支出总体能够按照预算执行，预算资金支出</w:t>
      </w:r>
      <w:r>
        <w:rPr>
          <w:rFonts w:hint="eastAsia" w:ascii="仿宋_GB2312" w:hAnsi="仿宋_GB2312" w:eastAsia="仿宋_GB2312" w:cs="仿宋_GB2312"/>
          <w:sz w:val="32"/>
          <w:szCs w:val="32"/>
          <w:highlight w:val="none"/>
          <w:lang w:val="en-US" w:eastAsia="zh-CN"/>
        </w:rPr>
        <w:t>312.5</w:t>
      </w:r>
      <w:r>
        <w:rPr>
          <w:rFonts w:hint="eastAsia" w:ascii="仿宋_GB2312" w:hAnsi="仿宋_GB2312" w:eastAsia="仿宋_GB2312" w:cs="仿宋_GB2312"/>
          <w:sz w:val="32"/>
          <w:szCs w:val="32"/>
          <w:highlight w:val="none"/>
        </w:rPr>
        <w:t>万元，预算执行率为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（3）资金使用合规性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18"/>
        <w:spacing w:line="560" w:lineRule="exact"/>
        <w:ind w:firstLine="64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2.组织实施</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（1）管理制度健全性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（2）制度执行有效性</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对资金使用的合法合规性进行监督，年末对资金使用效果进行评价。项目管理、实施人员落实到位，有效按照计划执行。项目执行情况等资料齐全，项目相关手续完备，及时进行归档。</w:t>
      </w:r>
    </w:p>
    <w:p>
      <w:pPr>
        <w:pStyle w:val="11"/>
        <w:numPr>
          <w:ilvl w:val="0"/>
          <w:numId w:val="4"/>
        </w:numPr>
        <w:spacing w:line="560" w:lineRule="exact"/>
        <w:ind w:firstLine="643"/>
        <w:rPr>
          <w:rFonts w:eastAsia="楷体_GB2312"/>
          <w:b/>
          <w:bCs/>
          <w:sz w:val="32"/>
          <w:szCs w:val="32"/>
          <w:highlight w:val="none"/>
        </w:rPr>
      </w:pPr>
      <w:r>
        <w:rPr>
          <w:rFonts w:eastAsia="楷体_GB2312"/>
          <w:b/>
          <w:bCs/>
          <w:sz w:val="32"/>
          <w:szCs w:val="32"/>
          <w:highlight w:val="none"/>
        </w:rPr>
        <w:t>项目产出</w:t>
      </w:r>
      <w:r>
        <w:rPr>
          <w:rFonts w:hint="eastAsia" w:eastAsia="楷体_GB2312"/>
          <w:b/>
          <w:bCs/>
          <w:sz w:val="32"/>
          <w:szCs w:val="32"/>
          <w:highlight w:val="none"/>
        </w:rPr>
        <w:t>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项目产出类指标包括产出数量、产出质量、产出时效、产出成本四方面的内容，由</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个三级指标构成，权重分为40分，实际得分</w:t>
      </w:r>
      <w:r>
        <w:rPr>
          <w:rFonts w:hint="eastAsia" w:ascii="仿宋_GB2312" w:hAnsi="仿宋_GB2312" w:eastAsia="仿宋_GB2312" w:cs="仿宋_GB2312"/>
          <w:sz w:val="32"/>
          <w:szCs w:val="32"/>
          <w:highlight w:val="none"/>
          <w:lang w:val="en-US" w:eastAsia="zh-CN"/>
        </w:rPr>
        <w:t>39.92</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99.8</w:t>
      </w:r>
      <w:r>
        <w:rPr>
          <w:rFonts w:hint="eastAsia" w:ascii="仿宋_GB2312" w:hAnsi="仿宋_GB2312" w:eastAsia="仿宋_GB2312" w:cs="仿宋_GB2312"/>
          <w:sz w:val="32"/>
          <w:szCs w:val="32"/>
          <w:highlight w:val="none"/>
        </w:rPr>
        <w:t>%。具体产出指标完成情况如下：</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pP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购置实验室设备数量</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=99台</w:t>
      </w:r>
      <w:r>
        <w:rPr>
          <w:rFonts w:hint="eastAsia" w:ascii="仿宋_GB2312" w:hAnsi="仿宋_GB2312" w:eastAsia="仿宋_GB2312" w:cs="仿宋_GB2312"/>
          <w:sz w:val="32"/>
          <w:szCs w:val="32"/>
          <w:highlight w:val="none"/>
        </w:rPr>
        <w:t xml:space="preserve"> ，实际完成值：</w:t>
      </w:r>
      <w:r>
        <w:rPr>
          <w:rFonts w:hint="eastAsia" w:ascii="仿宋_GB2312" w:hAnsi="仿宋_GB2312" w:eastAsia="仿宋_GB2312" w:cs="仿宋_GB2312"/>
          <w:sz w:val="32"/>
          <w:szCs w:val="32"/>
          <w:highlight w:val="none"/>
          <w:lang w:val="en-US" w:eastAsia="zh-CN"/>
        </w:rPr>
        <w:t>100台</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101</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应实验室需求多采购一台设备。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设备质量合格率</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，实际完成值：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sz w:val="32"/>
          <w:szCs w:val="32"/>
          <w:highlight w:val="none"/>
          <w:lang w:val="en-US" w:eastAsia="zh-CN"/>
        </w:rPr>
        <w:t>设备验收合格率</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 xml:space="preserve">，实际完成值： </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时效指标：指标1：</w:t>
      </w:r>
      <w:r>
        <w:rPr>
          <w:rFonts w:hint="eastAsia" w:ascii="仿宋_GB2312" w:hAnsi="仿宋_GB2312" w:eastAsia="仿宋_GB2312" w:cs="仿宋_GB2312"/>
          <w:sz w:val="32"/>
          <w:szCs w:val="32"/>
          <w:highlight w:val="none"/>
          <w:lang w:val="en-US" w:eastAsia="zh-CN"/>
        </w:rPr>
        <w:t>设备采购完成率</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成本指标：指标1：</w:t>
      </w:r>
      <w:r>
        <w:rPr>
          <w:rFonts w:hint="eastAsia" w:ascii="仿宋_GB2312" w:hAnsi="仿宋_GB2312" w:eastAsia="仿宋_GB2312" w:cs="仿宋_GB2312"/>
          <w:sz w:val="32"/>
          <w:szCs w:val="32"/>
          <w:highlight w:val="none"/>
          <w:lang w:val="en-US" w:eastAsia="zh-CN"/>
        </w:rPr>
        <w:t>实验室设备购置平均标准</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≤3.15万元/台</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3.125万元/台</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99.84</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多采购一台设备故成本下降</w:t>
      </w:r>
      <w:r>
        <w:rPr>
          <w:rFonts w:hint="eastAsia" w:ascii="仿宋_GB2312" w:hAnsi="仿宋_GB2312" w:eastAsia="仿宋_GB2312" w:cs="仿宋_GB2312"/>
          <w:sz w:val="32"/>
          <w:szCs w:val="32"/>
          <w:highlight w:val="none"/>
        </w:rPr>
        <w:t>。</w:t>
      </w:r>
    </w:p>
    <w:p>
      <w:pPr>
        <w:pStyle w:val="11"/>
        <w:numPr>
          <w:ilvl w:val="0"/>
          <w:numId w:val="4"/>
        </w:numPr>
        <w:spacing w:line="560" w:lineRule="exact"/>
        <w:ind w:firstLine="643"/>
        <w:rPr>
          <w:rFonts w:eastAsia="楷体_GB2312"/>
          <w:b/>
          <w:bCs/>
          <w:sz w:val="32"/>
          <w:szCs w:val="32"/>
          <w:highlight w:val="none"/>
        </w:rPr>
      </w:pPr>
      <w:r>
        <w:rPr>
          <w:rFonts w:hint="eastAsia" w:eastAsia="楷体_GB2312"/>
          <w:b/>
          <w:bCs/>
          <w:sz w:val="32"/>
          <w:szCs w:val="32"/>
          <w:highlight w:val="none"/>
        </w:rPr>
        <w:t>项目效益情况</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项目效益类指标包括项目实施效益和满意度两方面的内容，由</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个三级指标构成，权重分为20分，实际得分</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分，得分率为</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%。具体效益指标及满意度指标完成情况如下：</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1.实施效益</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①经济效益指标：</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设备利用率</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110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设备已全部验收并投入使用</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②社会效益指标：</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sz w:val="32"/>
          <w:szCs w:val="32"/>
          <w:highlight w:val="none"/>
          <w:lang w:val="en-US" w:eastAsia="zh-CN"/>
        </w:rPr>
        <w:t>项目受益人数</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≥13人</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13人</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指标2：</w:t>
      </w:r>
      <w:r>
        <w:rPr>
          <w:rFonts w:hint="eastAsia" w:ascii="仿宋_GB2312" w:hAnsi="仿宋_GB2312" w:eastAsia="仿宋_GB2312" w:cs="仿宋_GB2312"/>
          <w:sz w:val="32"/>
          <w:szCs w:val="32"/>
          <w:highlight w:val="none"/>
          <w:lang w:val="en-US" w:eastAsia="zh-CN"/>
        </w:rPr>
        <w:t>提高重大疫情防控能力</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有效提高</w:t>
      </w:r>
      <w:r>
        <w:rPr>
          <w:rFonts w:hint="eastAsia" w:ascii="仿宋_GB2312" w:hAnsi="仿宋_GB2312" w:eastAsia="仿宋_GB2312" w:cs="仿宋_GB2312"/>
          <w:sz w:val="32"/>
          <w:szCs w:val="32"/>
          <w:highlight w:val="none"/>
        </w:rPr>
        <w:t xml:space="preserve">，实际完成值： </w:t>
      </w:r>
      <w:r>
        <w:rPr>
          <w:rFonts w:hint="eastAsia" w:ascii="仿宋_GB2312" w:hAnsi="仿宋_GB2312" w:eastAsia="仿宋_GB2312" w:cs="仿宋_GB2312"/>
          <w:sz w:val="32"/>
          <w:szCs w:val="32"/>
          <w:highlight w:val="none"/>
          <w:lang w:val="en-US" w:eastAsia="zh-CN"/>
        </w:rPr>
        <w:t>有效提高</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w:t>
      </w:r>
    </w:p>
    <w:p>
      <w:pPr>
        <w:pStyle w:val="11"/>
        <w:spacing w:line="560" w:lineRule="exact"/>
        <w:ind w:left="643" w:firstLine="0" w:firstLineChars="0"/>
        <w:rPr>
          <w:rFonts w:eastAsia="楷体_GB2312"/>
          <w:b/>
          <w:bCs/>
          <w:sz w:val="32"/>
          <w:szCs w:val="32"/>
          <w:highlight w:val="none"/>
        </w:rPr>
      </w:pPr>
      <w:r>
        <w:rPr>
          <w:rFonts w:hint="eastAsia" w:eastAsia="楷体_GB2312"/>
          <w:b/>
          <w:bCs/>
          <w:sz w:val="32"/>
          <w:szCs w:val="32"/>
          <w:highlight w:val="none"/>
        </w:rPr>
        <w:t>（五）满意度</w:t>
      </w:r>
    </w:p>
    <w:p>
      <w:pPr>
        <w:spacing w:line="600" w:lineRule="exact"/>
        <w:ind w:firstLine="640" w:firstLineChars="200"/>
        <w:outlineLvl w:val="0"/>
        <w:rPr>
          <w:rFonts w:eastAsia="黑体"/>
          <w:sz w:val="32"/>
          <w:szCs w:val="32"/>
          <w:highlight w:val="none"/>
          <w:lang w:eastAsia="zh-Hans"/>
        </w:rPr>
      </w:pPr>
      <w:r>
        <w:rPr>
          <w:rFonts w:hint="eastAsia" w:ascii="仿宋_GB2312" w:hAnsi="仿宋_GB2312" w:eastAsia="仿宋_GB2312" w:cs="仿宋_GB2312"/>
          <w:sz w:val="32"/>
          <w:szCs w:val="32"/>
          <w:highlight w:val="none"/>
        </w:rPr>
        <w:t>满意度指标：指标1：</w:t>
      </w:r>
      <w:r>
        <w:rPr>
          <w:rFonts w:hint="eastAsia" w:ascii="仿宋_GB2312" w:hAnsi="仿宋_GB2312" w:eastAsia="仿宋_GB2312" w:cs="仿宋_GB2312"/>
          <w:sz w:val="32"/>
          <w:szCs w:val="32"/>
          <w:highlight w:val="none"/>
          <w:lang w:val="en-US" w:eastAsia="zh-CN"/>
        </w:rPr>
        <w:t>使用人员满意度</w:t>
      </w:r>
      <w:r>
        <w:rPr>
          <w:rFonts w:hint="eastAsia" w:ascii="仿宋_GB2312" w:hAnsi="仿宋_GB2312" w:eastAsia="仿宋_GB2312" w:cs="仿宋_GB2312"/>
          <w:sz w:val="32"/>
          <w:szCs w:val="32"/>
          <w:highlight w:val="none"/>
        </w:rPr>
        <w:t xml:space="preserve"> ，指标值：</w:t>
      </w:r>
      <w:r>
        <w:rPr>
          <w:rFonts w:hint="eastAsia" w:ascii="仿宋_GB2312" w:hAnsi="仿宋_GB2312" w:eastAsia="仿宋_GB2312" w:cs="仿宋_GB2312"/>
          <w:sz w:val="32"/>
          <w:szCs w:val="32"/>
          <w:highlight w:val="none"/>
          <w:lang w:val="en-US" w:eastAsia="zh-CN"/>
        </w:rPr>
        <w:t>≥95%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105.26</w:t>
      </w:r>
      <w:r>
        <w:rPr>
          <w:rFonts w:hint="eastAsia" w:ascii="仿宋_GB2312" w:hAnsi="仿宋_GB2312" w:eastAsia="仿宋_GB2312" w:cs="仿宋_GB2312"/>
          <w:sz w:val="32"/>
          <w:szCs w:val="32"/>
          <w:highlight w:val="none"/>
        </w:rPr>
        <w:t>%。偏差原因：</w:t>
      </w:r>
      <w:r>
        <w:rPr>
          <w:rFonts w:hint="eastAsia" w:ascii="仿宋_GB2312" w:hAnsi="仿宋_GB2312" w:eastAsia="仿宋_GB2312" w:cs="仿宋_GB2312"/>
          <w:sz w:val="32"/>
          <w:szCs w:val="32"/>
          <w:highlight w:val="none"/>
          <w:lang w:val="en-US" w:eastAsia="zh-CN"/>
        </w:rPr>
        <w:t>设备已投入使用工作人员满意度较高</w:t>
      </w:r>
      <w:r>
        <w:rPr>
          <w:rFonts w:hint="eastAsia" w:ascii="仿宋_GB2312" w:hAnsi="仿宋_GB2312" w:eastAsia="仿宋_GB2312" w:cs="仿宋_GB2312"/>
          <w:sz w:val="32"/>
          <w:szCs w:val="32"/>
          <w:highlight w:val="none"/>
        </w:rPr>
        <w:t>。</w:t>
      </w:r>
    </w:p>
    <w:p>
      <w:pPr>
        <w:spacing w:line="560" w:lineRule="exact"/>
        <w:rPr>
          <w:rFonts w:eastAsia="黑体"/>
          <w:sz w:val="32"/>
          <w:szCs w:val="32"/>
          <w:highlight w:val="none"/>
          <w:lang w:eastAsia="zh-Hans"/>
        </w:rPr>
      </w:pPr>
      <w:r>
        <w:rPr>
          <w:rFonts w:hint="eastAsia" w:eastAsia="黑体"/>
          <w:sz w:val="32"/>
          <w:szCs w:val="32"/>
          <w:highlight w:val="none"/>
          <w:lang w:eastAsia="zh-Hans"/>
        </w:rPr>
        <w:t>五、预算执行进度与绩效指标总体完成率偏差</w:t>
      </w:r>
    </w:p>
    <w:p>
      <w:pPr>
        <w:pStyle w:val="18"/>
        <w:spacing w:line="560" w:lineRule="exact"/>
        <w:ind w:firstLine="640"/>
        <w:rPr>
          <w:rFonts w:eastAsia="仿宋_GB2312"/>
          <w:kern w:val="2"/>
          <w:sz w:val="32"/>
          <w:szCs w:val="32"/>
          <w:highlight w:val="none"/>
        </w:rPr>
      </w:pPr>
      <w:r>
        <w:rPr>
          <w:rFonts w:hint="eastAsia" w:eastAsia="仿宋_GB2312"/>
          <w:kern w:val="2"/>
          <w:sz w:val="32"/>
          <w:szCs w:val="32"/>
          <w:highlight w:val="none"/>
          <w:lang w:val="en-US" w:eastAsia="zh-CN"/>
        </w:rPr>
        <w:t>霍尔果斯市疾病预防控制中心购置设备</w:t>
      </w:r>
      <w:r>
        <w:rPr>
          <w:rFonts w:hint="eastAsia" w:eastAsia="仿宋_GB2312"/>
          <w:kern w:val="2"/>
          <w:sz w:val="32"/>
          <w:szCs w:val="32"/>
          <w:highlight w:val="none"/>
        </w:rPr>
        <w:t>项目年初预算</w:t>
      </w:r>
      <w:r>
        <w:rPr>
          <w:rFonts w:hint="eastAsia" w:eastAsia="仿宋_GB2312"/>
          <w:kern w:val="2"/>
          <w:sz w:val="32"/>
          <w:szCs w:val="32"/>
          <w:highlight w:val="none"/>
          <w:lang w:val="en-US" w:eastAsia="zh-CN"/>
        </w:rPr>
        <w:t>312.5</w:t>
      </w:r>
      <w:r>
        <w:rPr>
          <w:rFonts w:hint="eastAsia" w:eastAsia="仿宋_GB2312"/>
          <w:kern w:val="2"/>
          <w:sz w:val="32"/>
          <w:szCs w:val="32"/>
          <w:highlight w:val="none"/>
        </w:rPr>
        <w:t>万元，全年预算</w:t>
      </w:r>
      <w:r>
        <w:rPr>
          <w:rFonts w:hint="eastAsia" w:eastAsia="仿宋_GB2312"/>
          <w:kern w:val="2"/>
          <w:sz w:val="32"/>
          <w:szCs w:val="32"/>
          <w:highlight w:val="none"/>
          <w:lang w:val="en-US" w:eastAsia="zh-CN"/>
        </w:rPr>
        <w:t>312.5</w:t>
      </w:r>
      <w:r>
        <w:rPr>
          <w:rFonts w:hint="eastAsia" w:eastAsia="仿宋_GB2312"/>
          <w:kern w:val="2"/>
          <w:sz w:val="32"/>
          <w:szCs w:val="32"/>
          <w:highlight w:val="none"/>
        </w:rPr>
        <w:t>万元，实际支出</w:t>
      </w:r>
      <w:r>
        <w:rPr>
          <w:rFonts w:hint="eastAsia" w:eastAsia="仿宋_GB2312"/>
          <w:kern w:val="2"/>
          <w:sz w:val="32"/>
          <w:szCs w:val="32"/>
          <w:highlight w:val="none"/>
          <w:lang w:val="en-US" w:eastAsia="zh-CN"/>
        </w:rPr>
        <w:t>312.5</w:t>
      </w:r>
      <w:r>
        <w:rPr>
          <w:rFonts w:hint="eastAsia" w:eastAsia="仿宋_GB2312"/>
          <w:kern w:val="2"/>
          <w:sz w:val="32"/>
          <w:szCs w:val="32"/>
          <w:highlight w:val="none"/>
        </w:rPr>
        <w:t>万元，预算执行率为</w:t>
      </w:r>
      <w:r>
        <w:rPr>
          <w:rFonts w:hint="eastAsia" w:eastAsia="仿宋_GB2312"/>
          <w:kern w:val="2"/>
          <w:sz w:val="32"/>
          <w:szCs w:val="32"/>
          <w:highlight w:val="none"/>
          <w:lang w:val="en-US" w:eastAsia="zh-CN"/>
        </w:rPr>
        <w:t>100</w:t>
      </w:r>
      <w:r>
        <w:rPr>
          <w:rFonts w:hint="eastAsia" w:eastAsia="仿宋_GB2312"/>
          <w:kern w:val="2"/>
          <w:sz w:val="32"/>
          <w:szCs w:val="32"/>
          <w:highlight w:val="none"/>
        </w:rPr>
        <w:t>%，项目绩效指标总体完成率为</w:t>
      </w:r>
      <w:r>
        <w:rPr>
          <w:rFonts w:hint="eastAsia" w:eastAsia="仿宋_GB2312"/>
          <w:kern w:val="2"/>
          <w:sz w:val="32"/>
          <w:szCs w:val="32"/>
          <w:highlight w:val="none"/>
          <w:lang w:val="en-US" w:eastAsia="zh-CN"/>
        </w:rPr>
        <w:t>101.72</w:t>
      </w:r>
      <w:r>
        <w:rPr>
          <w:rFonts w:hint="eastAsia" w:eastAsia="仿宋_GB2312"/>
          <w:kern w:val="2"/>
          <w:sz w:val="32"/>
          <w:szCs w:val="32"/>
          <w:highlight w:val="none"/>
        </w:rPr>
        <w:t>%，</w:t>
      </w:r>
      <w:r>
        <w:rPr>
          <w:rFonts w:hint="eastAsia" w:eastAsia="仿宋_GB2312"/>
          <w:kern w:val="2"/>
          <w:sz w:val="32"/>
          <w:szCs w:val="32"/>
          <w:highlight w:val="none"/>
          <w:lang w:eastAsia="zh-Hans"/>
        </w:rPr>
        <w:t>总体</w:t>
      </w:r>
      <w:r>
        <w:rPr>
          <w:rFonts w:hint="eastAsia" w:eastAsia="仿宋_GB2312"/>
          <w:kern w:val="2"/>
          <w:sz w:val="32"/>
          <w:szCs w:val="32"/>
          <w:highlight w:val="none"/>
        </w:rPr>
        <w:t>偏差率为</w:t>
      </w:r>
      <w:r>
        <w:rPr>
          <w:rFonts w:hint="eastAsia" w:eastAsia="仿宋_GB2312"/>
          <w:kern w:val="2"/>
          <w:sz w:val="32"/>
          <w:szCs w:val="32"/>
          <w:highlight w:val="none"/>
          <w:lang w:val="en-US" w:eastAsia="zh-CN"/>
        </w:rPr>
        <w:t>1.72</w:t>
      </w:r>
      <w:r>
        <w:rPr>
          <w:rFonts w:hint="eastAsia" w:eastAsia="仿宋_GB2312"/>
          <w:kern w:val="2"/>
          <w:sz w:val="32"/>
          <w:szCs w:val="32"/>
          <w:highlight w:val="none"/>
        </w:rPr>
        <w:t>%。</w:t>
      </w:r>
    </w:p>
    <w:p>
      <w:pPr>
        <w:spacing w:line="560" w:lineRule="exact"/>
        <w:rPr>
          <w:rStyle w:val="17"/>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pPr>
        <w:spacing w:line="560" w:lineRule="exact"/>
        <w:ind w:firstLine="640" w:firstLineChars="200"/>
        <w:rPr>
          <w:rFonts w:ascii="Times New Roman" w:hAnsi="Times New Roman" w:eastAsia="仿宋_GB2312"/>
          <w:b w:val="0"/>
          <w:bCs w:val="0"/>
          <w:kern w:val="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keepNext/>
        <w:keepLines/>
        <w:numPr>
          <w:ilvl w:val="0"/>
          <w:numId w:val="5"/>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单位内部预算绩效工作有待进一步提高，工作职责分工业务流程设计存在责任不清，被动应付的情况</w:t>
      </w:r>
      <w:r>
        <w:rPr>
          <w:rFonts w:hint="eastAsia" w:ascii="仿宋_GB2312" w:hAnsi="仿宋_GB2312" w:eastAsia="仿宋_GB2312" w:cs="仿宋_GB2312"/>
          <w:sz w:val="32"/>
          <w:szCs w:val="32"/>
          <w:highlight w:val="none"/>
        </w:rPr>
        <w:t>。</w:t>
      </w:r>
    </w:p>
    <w:p>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2" w:name="page8"/>
      <w:bookmarkEnd w:id="2"/>
      <w:r>
        <w:rPr>
          <w:rFonts w:eastAsia="黑体"/>
          <w:sz w:val="32"/>
          <w:szCs w:val="32"/>
          <w:highlight w:val="none"/>
        </w:rPr>
        <w:t>明的问题</w:t>
      </w:r>
    </w:p>
    <w:p>
      <w:pPr>
        <w:pStyle w:val="12"/>
        <w:spacing w:after="0" w:line="560" w:lineRule="exact"/>
        <w:ind w:left="0" w:leftChars="0" w:firstLine="64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p>
    <w:p>
      <w:pPr>
        <w:pStyle w:val="12"/>
        <w:spacing w:after="0" w:line="560" w:lineRule="exact"/>
        <w:ind w:left="0" w:leftChars="0" w:firstLine="640"/>
        <w:rPr>
          <w:rFonts w:ascii="仿宋_GB2312" w:hAnsi="仿宋_GB2312" w:eastAsia="仿宋_GB2312" w:cs="仿宋_GB2312"/>
          <w:sz w:val="32"/>
          <w:szCs w:val="32"/>
          <w:highlight w:val="none"/>
        </w:rPr>
      </w:pPr>
    </w:p>
    <w:p>
      <w:pPr>
        <w:pStyle w:val="12"/>
        <w:spacing w:after="0" w:line="560" w:lineRule="exact"/>
        <w:ind w:left="0" w:leftChars="0" w:firstLine="640"/>
        <w:rPr>
          <w:rFonts w:ascii="仿宋_GB2312" w:hAnsi="仿宋_GB2312" w:eastAsia="仿宋_GB2312" w:cs="仿宋_GB2312"/>
          <w:sz w:val="32"/>
          <w:szCs w:val="32"/>
          <w:highlight w:val="none"/>
        </w:rPr>
      </w:pPr>
    </w:p>
    <w:p>
      <w:pPr>
        <w:pStyle w:val="12"/>
        <w:spacing w:after="0" w:line="560" w:lineRule="exact"/>
        <w:ind w:left="0" w:leftChars="0" w:firstLine="0" w:firstLineChars="0"/>
        <w:rPr>
          <w:rFonts w:ascii="仿宋_GB2312" w:hAnsi="仿宋_GB2312" w:eastAsia="仿宋_GB2312" w:cs="仿宋_GB2312"/>
          <w:sz w:val="32"/>
          <w:szCs w:val="32"/>
          <w:highlight w:val="none"/>
        </w:rPr>
      </w:pPr>
    </w:p>
    <w:p>
      <w:pPr>
        <w:widowControl/>
        <w:jc w:val="center"/>
        <w:textAlignment w:val="center"/>
        <w:rPr>
          <w:rFonts w:eastAsia="方正小标宋简体"/>
          <w:b/>
          <w:kern w:val="0"/>
          <w:sz w:val="32"/>
          <w:szCs w:val="32"/>
          <w:highlight w:val="none"/>
          <w:lang w:bidi="ar"/>
        </w:rPr>
        <w:sectPr>
          <w:pgSz w:w="11906" w:h="16838"/>
          <w:pgMar w:top="1440" w:right="1558" w:bottom="1440" w:left="1800" w:header="851" w:footer="992" w:gutter="0"/>
          <w:cols w:space="425" w:num="1"/>
          <w:docGrid w:type="lines" w:linePitch="312" w:charSpace="0"/>
        </w:sectPr>
      </w:pPr>
    </w:p>
    <w:tbl>
      <w:tblPr>
        <w:tblStyle w:val="13"/>
        <w:tblW w:w="8834" w:type="dxa"/>
        <w:tblInd w:w="0" w:type="dxa"/>
        <w:tblLayout w:type="fixed"/>
        <w:tblCellMar>
          <w:top w:w="0" w:type="dxa"/>
          <w:left w:w="0" w:type="dxa"/>
          <w:bottom w:w="0" w:type="dxa"/>
          <w:right w:w="0" w:type="dxa"/>
        </w:tblCellMar>
      </w:tblPr>
      <w:tblGrid>
        <w:gridCol w:w="798"/>
        <w:gridCol w:w="984"/>
        <w:gridCol w:w="1430"/>
        <w:gridCol w:w="1523"/>
        <w:gridCol w:w="1268"/>
        <w:gridCol w:w="1348"/>
        <w:gridCol w:w="1483"/>
      </w:tblGrid>
      <w:tr>
        <w:tblPrEx>
          <w:tblLayout w:type="fixed"/>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highlight w:val="none"/>
                <w:u w:val="single"/>
              </w:rPr>
            </w:pPr>
            <w:r>
              <w:rPr>
                <w:rFonts w:eastAsia="方正小标宋简体"/>
                <w:b/>
                <w:kern w:val="0"/>
                <w:sz w:val="32"/>
                <w:szCs w:val="32"/>
                <w:highlight w:val="none"/>
                <w:lang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22"/>
                <w:szCs w:val="22"/>
                <w:highlight w:val="none"/>
              </w:rPr>
            </w:pPr>
            <w:r>
              <w:rPr>
                <w:kern w:val="0"/>
                <w:sz w:val="22"/>
                <w:szCs w:val="22"/>
                <w:highlight w:val="none"/>
                <w:lang w:bidi="ar"/>
              </w:rPr>
              <w:t>（202</w:t>
            </w:r>
            <w:r>
              <w:rPr>
                <w:rFonts w:hint="eastAsia"/>
                <w:kern w:val="0"/>
                <w:sz w:val="22"/>
                <w:szCs w:val="22"/>
                <w:highlight w:val="none"/>
                <w:lang w:val="en-US" w:eastAsia="zh-CN" w:bidi="ar"/>
              </w:rPr>
              <w:t>3</w:t>
            </w:r>
            <w:r>
              <w:rPr>
                <w:kern w:val="0"/>
                <w:sz w:val="22"/>
                <w:szCs w:val="22"/>
                <w:highlight w:val="none"/>
                <w:lang w:bidi="ar"/>
              </w:rPr>
              <w:t>年度）</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霍尔果斯市疾病预防控制中心购置设备项目</w:t>
            </w:r>
          </w:p>
        </w:tc>
      </w:tr>
      <w:tr>
        <w:tblPrEx>
          <w:tblLayout w:type="fixed"/>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霍尔果斯市卫生健康委员会</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疾病预防控制中心</w:t>
            </w:r>
          </w:p>
        </w:tc>
      </w:tr>
      <w:tr>
        <w:tblPrEx>
          <w:tblLayout w:type="fixed"/>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执行率</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highlight w:val="none"/>
              </w:rPr>
            </w:pPr>
            <w:r>
              <w:rPr>
                <w:kern w:val="0"/>
                <w:sz w:val="18"/>
                <w:szCs w:val="18"/>
                <w:highlight w:val="none"/>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312.5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312.5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312.5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100%</w:t>
            </w: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rFonts w:hint="eastAsia"/>
                <w:sz w:val="18"/>
                <w:szCs w:val="18"/>
                <w:highlight w:val="none"/>
                <w:lang w:val="en-US" w:eastAsia="zh-CN"/>
              </w:rPr>
              <w:t>312.5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rFonts w:hint="eastAsia"/>
                <w:sz w:val="18"/>
                <w:szCs w:val="18"/>
                <w:highlight w:val="none"/>
                <w:lang w:val="en-US" w:eastAsia="zh-CN"/>
              </w:rPr>
              <w:t>312.5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rFonts w:hint="eastAsia"/>
                <w:sz w:val="18"/>
                <w:szCs w:val="18"/>
                <w:highlight w:val="none"/>
                <w:lang w:val="en-US" w:eastAsia="zh-CN"/>
              </w:rPr>
              <w:t>312.5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eastAsia="宋体"/>
                <w:sz w:val="18"/>
                <w:szCs w:val="18"/>
                <w:highlight w:val="none"/>
                <w:lang w:val="en-US" w:eastAsia="zh-CN"/>
              </w:rPr>
            </w:pPr>
            <w:r>
              <w:rPr>
                <w:rFonts w:hint="eastAsia"/>
                <w:sz w:val="18"/>
                <w:szCs w:val="18"/>
                <w:highlight w:val="none"/>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实际完成情况</w:t>
            </w:r>
          </w:p>
        </w:tc>
      </w:tr>
      <w:tr>
        <w:tblPrEx>
          <w:tblLayout w:type="fixed"/>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textAlignment w:val="center"/>
              <w:rPr>
                <w:sz w:val="18"/>
                <w:szCs w:val="18"/>
                <w:highlight w:val="none"/>
              </w:rPr>
            </w:pPr>
            <w:r>
              <w:rPr>
                <w:rFonts w:hint="eastAsia"/>
                <w:sz w:val="18"/>
                <w:szCs w:val="18"/>
                <w:highlight w:val="none"/>
              </w:rPr>
              <w:t>防疫仪器设备可以为医护人员和公众提供更好的个人防护，降低感染风险;可以实时监控疫情动态，为政府、企业和公众提供及时、准确的疫情信息，便于制定相应的防控措施;可以增强公众对疫情防控的信心，减少恐慌情绪，有利于维护社会稳定。为更好保障疫情防控工作，确保市疾控中心核酸实验室正常运行。该项目资金主要用于疾病预防控制中心购置设备实验室设备购置平均标准3.15万元/台，共99台设备，总资金为312.5万元。</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sz w:val="18"/>
                <w:szCs w:val="18"/>
                <w:highlight w:val="none"/>
              </w:rPr>
            </w:pPr>
            <w:r>
              <w:rPr>
                <w:rFonts w:hint="eastAsia"/>
                <w:sz w:val="18"/>
                <w:szCs w:val="18"/>
                <w:highlight w:val="none"/>
              </w:rPr>
              <w:t>防疫仪器设备可以为医护人员和公众提供更好的个人防护，降低感染风险;可以实时监控疫情动态，为政府、企业和公众提供及时、准确的疫情信息，便于制定相应的防控措施;可以增强公众对疫情防控的信心，减少恐慌情绪，有利于维护社会稳定。为更好保障疫情防控工作，确保市疾控中心核酸实验室正常运行。该项目资金主要用于疾病预防控制中心购置设备实验室设备购置平均标准3.15万元/台，共99台设备，总资金为312.5万元。</w:t>
            </w:r>
          </w:p>
        </w:tc>
      </w:tr>
      <w:tr>
        <w:tblPrEx>
          <w:tblLayout w:type="fixed"/>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偏差原因分析及改进措施</w:t>
            </w:r>
          </w:p>
        </w:tc>
      </w:tr>
      <w:tr>
        <w:tblPrEx>
          <w:tblLayout w:type="fixed"/>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购置实验室设备数量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99台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100台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应实验室需求多采购一台设备</w:t>
            </w:r>
          </w:p>
        </w:tc>
      </w:tr>
      <w:tr>
        <w:tblPrEx>
          <w:tblLayout w:type="fixed"/>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r>
              <w:rPr>
                <w:kern w:val="0"/>
                <w:sz w:val="18"/>
                <w:szCs w:val="18"/>
                <w:highlight w:val="none"/>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设备质量合格率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r>
              <w:rPr>
                <w:kern w:val="0"/>
                <w:sz w:val="18"/>
                <w:szCs w:val="18"/>
                <w:highlight w:val="none"/>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设备验收合格率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设备采购完成率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r>
      <w:tr>
        <w:tblPrEx>
          <w:tblLayout w:type="fixed"/>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实验室设备购置平均标准</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≤3.15万元/台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3.125万元/台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多采购一台故设备成本下降</w:t>
            </w: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sz w:val="18"/>
                <w:szCs w:val="18"/>
                <w:highlight w:val="none"/>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项目收益人数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≥13人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13人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highlight w:val="none"/>
                <w:lang w:val="en-US"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sz w:val="18"/>
                <w:szCs w:val="18"/>
                <w:highlight w:val="none"/>
                <w:lang w:val="en-US" w:eastAsia="zh-CN"/>
              </w:rPr>
            </w:pPr>
            <w:r>
              <w:rPr>
                <w:rFonts w:hint="eastAsia"/>
                <w:sz w:val="18"/>
                <w:szCs w:val="18"/>
                <w:highlight w:val="none"/>
                <w:lang w:val="en-US" w:eastAsia="zh-CN"/>
              </w:rPr>
              <w:t>提高重大疫情防控能力</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sz w:val="18"/>
                <w:szCs w:val="18"/>
                <w:highlight w:val="none"/>
                <w:lang w:val="en-US" w:eastAsia="zh-CN"/>
              </w:rPr>
            </w:pPr>
            <w:r>
              <w:rPr>
                <w:rFonts w:hint="eastAsia"/>
                <w:sz w:val="18"/>
                <w:szCs w:val="18"/>
                <w:highlight w:val="none"/>
                <w:lang w:val="en-US" w:eastAsia="zh-CN"/>
              </w:rPr>
              <w:t>有效提高</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eastAsia"/>
                <w:sz w:val="18"/>
                <w:szCs w:val="18"/>
                <w:highlight w:val="none"/>
                <w:lang w:val="en-US" w:eastAsia="zh-CN"/>
              </w:rPr>
            </w:pPr>
            <w:r>
              <w:rPr>
                <w:rFonts w:hint="eastAsia"/>
                <w:sz w:val="18"/>
                <w:szCs w:val="18"/>
                <w:highlight w:val="none"/>
                <w:lang w:val="en-US" w:eastAsia="zh-CN"/>
              </w:rPr>
              <w:t>有效提高</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sz w:val="18"/>
                <w:szCs w:val="18"/>
                <w:highlight w:val="none"/>
                <w:lang w:val="en-US" w:eastAsia="zh-CN"/>
              </w:rPr>
            </w:pPr>
          </w:p>
        </w:tc>
      </w:tr>
      <w:tr>
        <w:tblPrEx>
          <w:tblLayout w:type="fixed"/>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kern w:val="0"/>
                <w:sz w:val="18"/>
                <w:szCs w:val="18"/>
                <w:highlight w:val="none"/>
                <w:lang w:bidi="ar"/>
              </w:rPr>
            </w:pPr>
            <w:r>
              <w:rPr>
                <w:kern w:val="0"/>
                <w:sz w:val="18"/>
                <w:szCs w:val="18"/>
                <w:highlight w:val="none"/>
                <w:lang w:bidi="ar"/>
              </w:rPr>
              <w:t>经济效益</w:t>
            </w:r>
            <w:r>
              <w:rPr>
                <w:sz w:val="18"/>
                <w:szCs w:val="18"/>
                <w:highlight w:val="none"/>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设备利用率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110%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2"/>
                <w:sz w:val="18"/>
                <w:szCs w:val="18"/>
                <w:highlight w:val="none"/>
                <w:lang w:val="en-US" w:eastAsia="zh-CN" w:bidi="ar-SA"/>
              </w:rPr>
            </w:pPr>
            <w:r>
              <w:rPr>
                <w:rFonts w:hint="eastAsia"/>
                <w:sz w:val="18"/>
                <w:szCs w:val="18"/>
                <w:highlight w:val="none"/>
                <w:lang w:val="en-US" w:eastAsia="zh-CN"/>
              </w:rPr>
              <w:t>设备全部验收合格并投入使用</w:t>
            </w:r>
          </w:p>
        </w:tc>
      </w:tr>
      <w:tr>
        <w:tblPrEx>
          <w:tblLayout w:type="fixed"/>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sz w:val="18"/>
                <w:szCs w:val="18"/>
                <w:highlight w:val="none"/>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kern w:val="0"/>
                <w:sz w:val="18"/>
                <w:szCs w:val="18"/>
                <w:highlight w:val="none"/>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left"/>
              <w:textAlignment w:val="center"/>
              <w:rPr>
                <w:rFonts w:hint="default" w:eastAsia="宋体"/>
                <w:sz w:val="18"/>
                <w:szCs w:val="18"/>
                <w:highlight w:val="none"/>
                <w:lang w:val="en-US" w:eastAsia="zh-CN"/>
              </w:rPr>
            </w:pPr>
            <w:r>
              <w:rPr>
                <w:rFonts w:hint="eastAsia"/>
                <w:sz w:val="18"/>
                <w:szCs w:val="18"/>
                <w:highlight w:val="none"/>
                <w:lang w:val="en-US" w:eastAsia="zh-CN"/>
              </w:rPr>
              <w:t>使用人员满意度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sz w:val="18"/>
                <w:szCs w:val="18"/>
                <w:highlight w:val="none"/>
              </w:rPr>
            </w:pPr>
            <w:r>
              <w:rPr>
                <w:rFonts w:hint="eastAsia"/>
                <w:sz w:val="18"/>
                <w:szCs w:val="18"/>
                <w:highlight w:val="none"/>
                <w:lang w:val="en-US" w:eastAsia="zh-CN"/>
              </w:rPr>
              <w:t>≥95%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hint="default" w:eastAsia="宋体"/>
                <w:sz w:val="18"/>
                <w:szCs w:val="18"/>
                <w:highlight w:val="none"/>
                <w:lang w:val="en-US" w:eastAsia="zh-CN"/>
              </w:rPr>
            </w:pPr>
            <w:r>
              <w:rPr>
                <w:rFonts w:hint="eastAsia"/>
                <w:sz w:val="18"/>
                <w:szCs w:val="18"/>
                <w:highlight w:val="none"/>
                <w:lang w:val="en-US" w:eastAsia="zh-CN"/>
              </w:rPr>
              <w:t>105.26%</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eastAsia="宋体"/>
                <w:sz w:val="18"/>
                <w:szCs w:val="18"/>
                <w:highlight w:val="none"/>
                <w:lang w:val="en-US" w:eastAsia="zh-CN"/>
              </w:rPr>
            </w:pPr>
            <w:r>
              <w:rPr>
                <w:rFonts w:hint="eastAsia"/>
                <w:sz w:val="18"/>
                <w:szCs w:val="18"/>
                <w:highlight w:val="none"/>
                <w:lang w:val="en-US" w:eastAsia="zh-CN"/>
              </w:rPr>
              <w:t>设备已投入使用工作人员满意度较高</w:t>
            </w:r>
          </w:p>
        </w:tc>
      </w:tr>
    </w:tbl>
    <w:p>
      <w:pPr>
        <w:pStyle w:val="2"/>
        <w:jc w:val="both"/>
        <w:rPr>
          <w:rFonts w:ascii="Times New Roman" w:hAnsi="Times New Roman" w:eastAsia="黑体"/>
          <w:b w:val="0"/>
          <w:bCs w:val="0"/>
          <w:highlight w:val="none"/>
        </w:rPr>
      </w:pPr>
    </w:p>
    <w:p>
      <w:pPr>
        <w:pStyle w:val="2"/>
        <w:rPr>
          <w:rFonts w:ascii="Times New Roman" w:hAnsi="Times New Roman" w:eastAsia="黑体"/>
          <w:b w:val="0"/>
          <w:bCs w:val="0"/>
          <w:highlight w:val="none"/>
        </w:rPr>
      </w:pPr>
    </w:p>
    <w:p>
      <w:pPr>
        <w:pStyle w:val="2"/>
        <w:jc w:val="both"/>
        <w:rPr>
          <w:rFonts w:ascii="Times New Roman" w:hAnsi="Times New Roman"/>
          <w:highlight w:val="none"/>
        </w:rPr>
        <w:sectPr>
          <w:pgSz w:w="11906" w:h="16838"/>
          <w:pgMar w:top="1440" w:right="1558" w:bottom="1440" w:left="1800" w:header="851" w:footer="992" w:gutter="0"/>
          <w:cols w:space="425" w:num="1"/>
          <w:docGrid w:type="lines" w:linePitch="312" w:charSpace="0"/>
        </w:sectPr>
      </w:pPr>
    </w:p>
    <w:p>
      <w:pPr>
        <w:spacing w:line="600" w:lineRule="exact"/>
        <w:rPr>
          <w:rFonts w:ascii="黑体" w:hAnsi="黑体" w:eastAsia="黑体" w:cs="黑体"/>
          <w:highlight w:val="none"/>
        </w:rPr>
      </w:pPr>
      <w:r>
        <w:rPr>
          <w:rFonts w:hint="eastAsia" w:ascii="黑体" w:hAnsi="黑体" w:eastAsia="黑体" w:cs="黑体"/>
          <w:bCs/>
          <w:sz w:val="32"/>
          <w:szCs w:val="32"/>
          <w:highlight w:val="none"/>
        </w:rPr>
        <w:t>附件1</w:t>
      </w:r>
    </w:p>
    <w:p>
      <w:pPr>
        <w:pStyle w:val="18"/>
        <w:ind w:firstLine="562"/>
        <w:jc w:val="center"/>
        <w:rPr>
          <w:sz w:val="28"/>
          <w:szCs w:val="40"/>
          <w:highlight w:val="none"/>
        </w:rPr>
      </w:pPr>
      <w:bookmarkStart w:id="3" w:name="_Toc26499_WPSOffice_Level2"/>
      <w:bookmarkStart w:id="4" w:name="_Toc30064_WPSOffice_Level1"/>
      <w:r>
        <w:rPr>
          <w:rFonts w:hint="eastAsia"/>
          <w:b/>
          <w:bCs/>
          <w:sz w:val="28"/>
          <w:szCs w:val="40"/>
          <w:highlight w:val="none"/>
          <w:lang w:val="en-US" w:eastAsia="zh-CN"/>
        </w:rPr>
        <w:t>霍尔果斯市疾病预防控制中心购置设备</w:t>
      </w:r>
      <w:r>
        <w:rPr>
          <w:rFonts w:hint="eastAsia"/>
          <w:b/>
          <w:bCs/>
          <w:sz w:val="28"/>
          <w:szCs w:val="40"/>
          <w:highlight w:val="none"/>
        </w:rPr>
        <w:t>项目绩效评价指标体系及综合评分表</w:t>
      </w:r>
      <w:bookmarkEnd w:id="3"/>
      <w:bookmarkEnd w:id="4"/>
    </w:p>
    <w:tbl>
      <w:tblPr>
        <w:tblStyle w:val="13"/>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5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98"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3"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①项目立项是否符合国家法律法规、国民经济发展规划和相关政策；</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②项目立项是否符合行业发展规划和政策要求；</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③项目立项是否与部门职责范围相符，属于部门履职所需；</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④项目是否属于公共财政支持范围，是否符合中央、地方事权支出责任划分原则；</w:t>
            </w:r>
          </w:p>
          <w:p>
            <w:pPr>
              <w:widowControl/>
              <w:spacing w:line="0" w:lineRule="atLeast"/>
              <w:jc w:val="left"/>
              <w:rPr>
                <w:color w:val="000000"/>
                <w:kern w:val="0"/>
                <w:sz w:val="22"/>
                <w:szCs w:val="22"/>
                <w:highlight w:val="none"/>
              </w:rPr>
            </w:pP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①项目是否按照规定的程序申请设立；</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②审批文件、材料是否符合相关要求；</w:t>
            </w:r>
          </w:p>
          <w:p>
            <w:pPr>
              <w:widowControl/>
              <w:spacing w:line="0" w:lineRule="atLeast"/>
              <w:jc w:val="left"/>
              <w:rPr>
                <w:color w:val="000000"/>
                <w:kern w:val="0"/>
                <w:sz w:val="22"/>
                <w:szCs w:val="22"/>
                <w:highlight w:val="none"/>
              </w:rPr>
            </w:pP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（如未设定预算绩效目标，也可考核其他工作任务目标）</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①项目是否有绩效目标；</w:t>
            </w:r>
          </w:p>
          <w:p>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②项目绩效目标与实际工作内容是否具有相关性；</w:t>
            </w:r>
          </w:p>
          <w:p>
            <w:pPr>
              <w:widowControl/>
              <w:spacing w:line="0" w:lineRule="atLeast"/>
              <w:jc w:val="left"/>
              <w:rPr>
                <w:color w:val="000000"/>
                <w:kern w:val="0"/>
                <w:sz w:val="22"/>
                <w:szCs w:val="22"/>
                <w:highlight w:val="none"/>
              </w:rPr>
            </w:pP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①是否将项目绩效目标细化分解为具体的绩效指标；</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②是否通过清晰、可衡量的指标值予以体现；</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③是否与项目目标任务数或计划数相对应。</w:t>
            </w:r>
          </w:p>
          <w:p>
            <w:pPr>
              <w:pStyle w:val="2"/>
              <w:rPr>
                <w:rFonts w:hint="eastAsia"/>
                <w:highlight w:val="none"/>
                <w:lang w:eastAsia="zh-CN"/>
              </w:rPr>
            </w:pP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①预算编制是否经过科学论证；</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②预算内容与项目内容是否匹配；</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③预算额度测算依据是否充分，是否按照标准编制；</w:t>
            </w:r>
          </w:p>
          <w:p>
            <w:pPr>
              <w:widowControl/>
              <w:spacing w:line="0" w:lineRule="atLeast"/>
              <w:rPr>
                <w:color w:val="000000"/>
                <w:kern w:val="0"/>
                <w:sz w:val="22"/>
                <w:szCs w:val="22"/>
                <w:highlight w:val="none"/>
              </w:rPr>
            </w:pP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①预算资金分配依据是否充分；</w:t>
            </w:r>
          </w:p>
          <w:p>
            <w:pPr>
              <w:widowControl/>
              <w:spacing w:line="0" w:lineRule="atLeast"/>
              <w:rPr>
                <w:color w:val="000000"/>
                <w:kern w:val="0"/>
                <w:sz w:val="22"/>
                <w:szCs w:val="22"/>
                <w:highlight w:val="none"/>
              </w:rPr>
            </w:pP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预算执行率=（实际支出资金/实际到位资金）×100%。</w:t>
            </w:r>
          </w:p>
          <w:p>
            <w:pPr>
              <w:widowControl/>
              <w:spacing w:line="0" w:lineRule="atLeast"/>
              <w:rPr>
                <w:color w:val="000000"/>
                <w:kern w:val="0"/>
                <w:sz w:val="22"/>
                <w:szCs w:val="22"/>
                <w:highlight w:val="none"/>
              </w:rPr>
            </w:pP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①是否符合国家财经法规和财务管理制度以及有关专项资金管理办法的规定；</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②资金的拨付是否有完整的审批程序和手续；</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③是否符合项目预算批复或合同规定的用途；</w:t>
            </w:r>
          </w:p>
          <w:p>
            <w:pPr>
              <w:widowControl/>
              <w:spacing w:line="0" w:lineRule="atLeast"/>
              <w:rPr>
                <w:color w:val="000000"/>
                <w:kern w:val="0"/>
                <w:sz w:val="22"/>
                <w:szCs w:val="22"/>
                <w:highlight w:val="none"/>
              </w:rPr>
            </w:pP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①是否已制定或具有相应的财务和业务管理制度；</w:t>
            </w:r>
          </w:p>
          <w:p>
            <w:pPr>
              <w:widowControl/>
              <w:spacing w:line="0" w:lineRule="atLeast"/>
              <w:rPr>
                <w:color w:val="000000"/>
                <w:kern w:val="0"/>
                <w:sz w:val="22"/>
                <w:szCs w:val="22"/>
                <w:highlight w:val="none"/>
              </w:rPr>
            </w:pP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①是否遵守相关法律法规和相关管理规定；</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②项目调整及支出调整手续是否完备；</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③项目合同书、验收报告、技术鉴定等资料是否齐全并及时归档；</w:t>
            </w:r>
          </w:p>
          <w:p>
            <w:pPr>
              <w:widowControl/>
              <w:spacing w:line="0" w:lineRule="atLeast"/>
              <w:rPr>
                <w:color w:val="000000"/>
                <w:kern w:val="0"/>
                <w:sz w:val="22"/>
                <w:szCs w:val="22"/>
                <w:highlight w:val="none"/>
              </w:rPr>
            </w:pP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实际完成率=（实际产出数/计划产出数）×100%。</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实际产出数：一定时期（本年度或项目期）内项目实际产出的产品或提供的服务数量。</w:t>
            </w:r>
          </w:p>
          <w:p>
            <w:pPr>
              <w:widowControl/>
              <w:spacing w:line="0" w:lineRule="atLeast"/>
              <w:rPr>
                <w:color w:val="000000"/>
                <w:kern w:val="0"/>
                <w:sz w:val="22"/>
                <w:szCs w:val="22"/>
                <w:highlight w:val="none"/>
              </w:rPr>
            </w:pP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实际完成时间：项目实施单位完成该项目实际所耗用的时间。</w:t>
            </w:r>
          </w:p>
          <w:p>
            <w:pPr>
              <w:widowControl/>
              <w:spacing w:line="0" w:lineRule="atLeast"/>
              <w:rPr>
                <w:color w:val="000000"/>
                <w:kern w:val="0"/>
                <w:sz w:val="22"/>
                <w:szCs w:val="22"/>
                <w:highlight w:val="none"/>
              </w:rPr>
            </w:pP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rFonts w:hint="eastAsia" w:eastAsia="宋体"/>
                <w:color w:val="000000"/>
                <w:kern w:val="0"/>
                <w:sz w:val="22"/>
                <w:szCs w:val="22"/>
                <w:highlight w:val="none"/>
                <w:lang w:eastAsia="zh-CN"/>
              </w:rPr>
            </w:pP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成本节约率=[（计划成本-实际成本）/计划成本]×100%。</w:t>
            </w:r>
          </w:p>
          <w:p>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实际成本：项目实施单位如期、保质、保量完成既定工作目标实际所耗费的支出。</w:t>
            </w:r>
          </w:p>
          <w:p>
            <w:pPr>
              <w:widowControl/>
              <w:spacing w:line="0" w:lineRule="atLeast"/>
              <w:rPr>
                <w:color w:val="000000"/>
                <w:kern w:val="0"/>
                <w:sz w:val="22"/>
                <w:szCs w:val="22"/>
                <w:highlight w:val="none"/>
              </w:rPr>
            </w:pP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9.92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lY2IzZjEzZTliY2NlZGFkZmFjNGIyZjBlMzFmZjkifQ=="/>
  </w:docVars>
  <w:rsids>
    <w:rsidRoot w:val="FF6C4049"/>
    <w:rsid w:val="00030CE1"/>
    <w:rsid w:val="006F7242"/>
    <w:rsid w:val="007B168A"/>
    <w:rsid w:val="008B2CFE"/>
    <w:rsid w:val="00B40752"/>
    <w:rsid w:val="00CD7D25"/>
    <w:rsid w:val="00F26FF6"/>
    <w:rsid w:val="07397B77"/>
    <w:rsid w:val="0F340F08"/>
    <w:rsid w:val="0FEC7803"/>
    <w:rsid w:val="11224E8F"/>
    <w:rsid w:val="13471461"/>
    <w:rsid w:val="13B90F01"/>
    <w:rsid w:val="181066D2"/>
    <w:rsid w:val="19BD1311"/>
    <w:rsid w:val="1C671E73"/>
    <w:rsid w:val="2813077C"/>
    <w:rsid w:val="2AF14FC7"/>
    <w:rsid w:val="2FB56378"/>
    <w:rsid w:val="362B7E09"/>
    <w:rsid w:val="38CA40DD"/>
    <w:rsid w:val="395F2B56"/>
    <w:rsid w:val="3BECE841"/>
    <w:rsid w:val="3FE8118E"/>
    <w:rsid w:val="3FF7797D"/>
    <w:rsid w:val="41A01AEB"/>
    <w:rsid w:val="441B2960"/>
    <w:rsid w:val="461E505B"/>
    <w:rsid w:val="4A4E10ED"/>
    <w:rsid w:val="5B6878B2"/>
    <w:rsid w:val="5BFF6039"/>
    <w:rsid w:val="5C3D1FF8"/>
    <w:rsid w:val="5D76A616"/>
    <w:rsid w:val="5D7F20B9"/>
    <w:rsid w:val="5DAC7D0E"/>
    <w:rsid w:val="5E5F1000"/>
    <w:rsid w:val="5F98B5AF"/>
    <w:rsid w:val="5FFE8511"/>
    <w:rsid w:val="5FFEACE2"/>
    <w:rsid w:val="63D0156C"/>
    <w:rsid w:val="643EE26D"/>
    <w:rsid w:val="68770FCC"/>
    <w:rsid w:val="6D572E2F"/>
    <w:rsid w:val="6F5C41AC"/>
    <w:rsid w:val="6FAF6C78"/>
    <w:rsid w:val="7317C656"/>
    <w:rsid w:val="734ED73F"/>
    <w:rsid w:val="77FD8BE9"/>
    <w:rsid w:val="781E3490"/>
    <w:rsid w:val="793C0810"/>
    <w:rsid w:val="79A9BD3F"/>
    <w:rsid w:val="7BFFFDD0"/>
    <w:rsid w:val="7C336E5F"/>
    <w:rsid w:val="7D173642"/>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1392</Words>
  <Characters>7935</Characters>
  <Lines>66</Lines>
  <Paragraphs>18</Paragraphs>
  <TotalTime>9</TotalTime>
  <ScaleCrop>false</ScaleCrop>
  <LinksUpToDate>false</LinksUpToDate>
  <CharactersWithSpaces>9309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2024-04-07T04:28:00Z</dcterms:created>
  <dc:creator>审核人</dc:creator>
  <cp:lastModifiedBy>Administrator</cp:lastModifiedBy>
  <dcterms:modified xsi:type="dcterms:W3CDTF">2026-07-02T05:18:10Z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DEB37354E36D40D48F20A3DAB18895C3</vt:lpwstr>
  </property>
</Properties>
</file>