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霍尔果斯经济开发区清水河配套园区新材料产业园道路建设项目支出绩效评价报告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both"/>
        <w:rPr>
          <w:rFonts w:ascii="仿宋_GB2312" w:hAnsi="仿宋_GB2312" w:cs="仿宋_GB2312"/>
          <w:b/>
          <w:kern w:val="0"/>
          <w:sz w:val="50"/>
          <w:szCs w:val="50"/>
          <w:lang w:bidi="en-US"/>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宋体"/>
          <w:snapToGrid w:val="0"/>
          <w:color w:val="000000"/>
          <w:spacing w:val="13"/>
          <w:kern w:val="0"/>
          <w:sz w:val="32"/>
          <w:szCs w:val="32"/>
          <w:lang w:eastAsia="en-US"/>
        </w:rPr>
        <w:t>霍尔果斯经济开发区清水河配套园区新材料产业园道路建设项目</w:t>
      </w:r>
    </w:p>
    <w:p>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Fonts w:hint="eastAsia" w:ascii="宋体" w:hAnsi="宋体" w:eastAsia="宋体" w:cs="宋体"/>
          <w:snapToGrid w:val="0"/>
          <w:color w:val="000000"/>
          <w:spacing w:val="13"/>
          <w:kern w:val="0"/>
          <w:sz w:val="32"/>
          <w:szCs w:val="32"/>
          <w:lang w:eastAsia="en-US"/>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宋体"/>
          <w:snapToGrid w:val="0"/>
          <w:color w:val="000000"/>
          <w:spacing w:val="13"/>
          <w:kern w:val="0"/>
          <w:sz w:val="32"/>
          <w:szCs w:val="32"/>
          <w:lang w:eastAsia="en-US"/>
        </w:rPr>
        <w:t>霍尔果斯经济开发区清水河配套园区</w:t>
      </w:r>
      <w:r>
        <w:rPr>
          <w:rFonts w:hint="eastAsia" w:ascii="宋体" w:hAnsi="宋体" w:eastAsia="宋体" w:cs="宋体"/>
          <w:snapToGrid w:val="0"/>
          <w:color w:val="000000"/>
          <w:spacing w:val="13"/>
          <w:kern w:val="0"/>
          <w:sz w:val="32"/>
          <w:szCs w:val="32"/>
          <w:lang w:val="en-US" w:eastAsia="zh-CN"/>
        </w:rPr>
        <w:t>管理委员会</w:t>
      </w:r>
    </w:p>
    <w:p>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Fonts w:hint="eastAsia" w:ascii="宋体" w:hAnsi="宋体" w:eastAsia="宋体" w:cs="宋体"/>
          <w:snapToGrid w:val="0"/>
          <w:color w:val="000000"/>
          <w:spacing w:val="13"/>
          <w:kern w:val="0"/>
          <w:sz w:val="32"/>
          <w:szCs w:val="32"/>
          <w:lang w:eastAsia="en-US"/>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宋体"/>
          <w:snapToGrid w:val="0"/>
          <w:color w:val="000000"/>
          <w:spacing w:val="13"/>
          <w:kern w:val="0"/>
          <w:sz w:val="32"/>
          <w:szCs w:val="32"/>
          <w:lang w:eastAsia="en-US"/>
        </w:rPr>
        <w:t>霍尔果斯经济开发区清水河配套园区</w:t>
      </w:r>
      <w:r>
        <w:rPr>
          <w:rFonts w:hint="eastAsia" w:ascii="宋体" w:hAnsi="宋体" w:eastAsia="宋体" w:cs="宋体"/>
          <w:snapToGrid w:val="0"/>
          <w:color w:val="000000"/>
          <w:spacing w:val="13"/>
          <w:kern w:val="0"/>
          <w:sz w:val="32"/>
          <w:szCs w:val="32"/>
          <w:lang w:val="en-US" w:eastAsia="zh-CN"/>
        </w:rPr>
        <w:t>管理委员会</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宋体"/>
          <w:snapToGrid w:val="0"/>
          <w:color w:val="000000"/>
          <w:spacing w:val="13"/>
          <w:kern w:val="0"/>
          <w:sz w:val="32"/>
          <w:szCs w:val="32"/>
          <w:lang w:val="en-US" w:eastAsia="zh-CN"/>
        </w:rPr>
        <w:t>黄剑峰</w:t>
      </w:r>
    </w:p>
    <w:p>
      <w:pPr>
        <w:spacing w:line="560" w:lineRule="exact"/>
        <w:ind w:firstLine="1606" w:firstLineChars="5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5</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10</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ascii="仿宋_GB2312" w:hAnsi="仿宋"/>
          <w:color w:val="auto"/>
          <w:sz w:val="32"/>
          <w:szCs w:val="32"/>
        </w:rPr>
        <w:t>霍尔果斯经济开发区清水河配套园区现状道路基础设施很不完善，无法满足园区日益增长的交通需求和人们生活的需要，严重制约了沿线的土地开发和园区工作人员的生活环境质量的提升。</w:t>
      </w:r>
      <w:r>
        <w:rPr>
          <w:rFonts w:hint="eastAsia" w:ascii="仿宋_GB2312" w:hAnsi="仿宋"/>
          <w:color w:val="auto"/>
          <w:sz w:val="32"/>
          <w:szCs w:val="32"/>
          <w:lang w:eastAsia="zh-CN"/>
        </w:rPr>
        <w:t>一是</w:t>
      </w:r>
      <w:r>
        <w:rPr>
          <w:rFonts w:hint="eastAsia" w:ascii="仿宋_GB2312" w:hAnsi="仿宋"/>
          <w:color w:val="auto"/>
          <w:sz w:val="32"/>
          <w:szCs w:val="32"/>
        </w:rPr>
        <w:t>道路的修建，是园区土地开发利用的最基本条件，也是当前土地批租、转让等土地经营管理的先决条件。道路系统完善后由于交通环境改善，土地增值，可以促进园区土地开发，必将有效带动道路两侧用地的开发和经济开发区整体经济的发展，并将极大改善霍尔果斯经济开发区清水河配套园区的容貌，提高霍尔果斯经济开发区清水河配套园区整体品味。</w:t>
      </w:r>
      <w:r>
        <w:rPr>
          <w:rFonts w:hint="eastAsia" w:ascii="仿宋_GB2312" w:hAnsi="仿宋"/>
          <w:color w:val="auto"/>
          <w:sz w:val="32"/>
          <w:szCs w:val="32"/>
          <w:lang w:eastAsia="zh-CN"/>
        </w:rPr>
        <w:t>二</w:t>
      </w:r>
      <w:r>
        <w:rPr>
          <w:rFonts w:hint="eastAsia" w:ascii="仿宋_GB2312" w:hAnsi="仿宋"/>
          <w:color w:val="auto"/>
          <w:sz w:val="32"/>
          <w:szCs w:val="32"/>
        </w:rPr>
        <w:t>是改善园区交通环境,支撑园区经济持续发展的需要。随着道路网络的建设，解决了道路的交通问题，改善了园区工作人员的出行方式和出行环境，缩短了相关运输线路的距离，避免</w:t>
      </w:r>
      <w:r>
        <w:rPr>
          <w:rFonts w:hint="eastAsia" w:ascii="仿宋_GB2312" w:hAnsi="仿宋"/>
          <w:color w:val="auto"/>
          <w:sz w:val="32"/>
          <w:szCs w:val="32"/>
          <w:lang w:eastAsia="zh-CN"/>
        </w:rPr>
        <w:t>不必要的绕行。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sz w:val="32"/>
          <w:szCs w:val="32"/>
        </w:rPr>
        <w:t>主要内容：</w:t>
      </w:r>
      <w:r>
        <w:rPr>
          <w:rFonts w:hint="eastAsia" w:ascii="仿宋_GB2312"/>
          <w:sz w:val="32"/>
          <w:szCs w:val="32"/>
          <w:lang w:eastAsia="zh-CN"/>
        </w:rPr>
        <w:t>开展</w:t>
      </w:r>
      <w:r>
        <w:rPr>
          <w:rFonts w:hint="eastAsia" w:ascii="仿宋_GB2312"/>
          <w:sz w:val="32"/>
          <w:szCs w:val="32"/>
          <w:lang w:val="en-US" w:eastAsia="zh-CN"/>
        </w:rPr>
        <w:t>该项目为了完善</w:t>
      </w:r>
      <w:r>
        <w:rPr>
          <w:rFonts w:hint="eastAsia" w:ascii="仿宋_GB2312" w:hAnsi="仿宋"/>
          <w:color w:val="auto"/>
          <w:sz w:val="32"/>
          <w:szCs w:val="32"/>
        </w:rPr>
        <w:t>霍尔果斯经济开发区清水河配套园区现状道路基础设施，满足园区日益增长的交通需求，</w:t>
      </w:r>
      <w:r>
        <w:rPr>
          <w:rFonts w:hint="eastAsia" w:ascii="仿宋_GB2312" w:hAnsi="仿宋"/>
          <w:color w:val="auto"/>
          <w:sz w:val="32"/>
          <w:szCs w:val="32"/>
          <w:lang w:eastAsia="zh-CN"/>
        </w:rPr>
        <w:t>不断</w:t>
      </w:r>
      <w:r>
        <w:rPr>
          <w:rFonts w:hint="eastAsia" w:ascii="仿宋_GB2312" w:hAnsi="仿宋"/>
          <w:color w:val="auto"/>
          <w:sz w:val="32"/>
          <w:szCs w:val="32"/>
        </w:rPr>
        <w:t>提升沿线的土地开发和园区工作人员的生活环境质量。</w:t>
      </w:r>
      <w:r>
        <w:rPr>
          <w:rFonts w:hint="eastAsia" w:ascii="仿宋_GB2312"/>
          <w:sz w:val="32"/>
          <w:szCs w:val="32"/>
          <w:lang w:val="en-US" w:eastAsia="zh-CN"/>
        </w:rPr>
        <w:t>工程建设内</w:t>
      </w:r>
      <w:r>
        <w:rPr>
          <w:rFonts w:hint="eastAsia" w:ascii="仿宋_GB2312" w:hAnsi="Times New Roman" w:cs="Times New Roman"/>
          <w:sz w:val="32"/>
          <w:szCs w:val="32"/>
          <w:lang w:val="en-US" w:eastAsia="zh-CN"/>
        </w:rPr>
        <w:t>容为新建新材料产业园内道路 13.88 千米，红线宽度 20 米，主路面 10 米及其配套附属设施；完成实施</w:t>
      </w:r>
      <w:r>
        <w:rPr>
          <w:rFonts w:hint="eastAsia" w:ascii="仿宋_GB2312" w:cs="Times New Roman"/>
          <w:sz w:val="32"/>
          <w:szCs w:val="32"/>
          <w:lang w:val="en-US" w:eastAsia="zh-CN"/>
        </w:rPr>
        <w:t>道路</w:t>
      </w:r>
      <w:r>
        <w:rPr>
          <w:rFonts w:hint="eastAsia" w:ascii="仿宋_GB2312" w:hAnsi="Times New Roman" w:cs="Times New Roman"/>
          <w:sz w:val="32"/>
          <w:szCs w:val="32"/>
          <w:lang w:val="en-US" w:eastAsia="zh-CN"/>
        </w:rPr>
        <w:t>建设项目</w:t>
      </w:r>
      <w:r>
        <w:rPr>
          <w:rFonts w:hint="eastAsia" w:ascii="仿宋_GB2312" w:cs="Times New Roman"/>
          <w:sz w:val="32"/>
          <w:szCs w:val="32"/>
          <w:lang w:val="en-US" w:eastAsia="zh-CN"/>
        </w:rPr>
        <w:t>4.2</w:t>
      </w:r>
      <w:r>
        <w:rPr>
          <w:rFonts w:hint="eastAsia" w:ascii="仿宋_GB2312" w:hAnsi="Times New Roman" w:cs="Times New Roman"/>
          <w:sz w:val="32"/>
          <w:szCs w:val="32"/>
          <w:lang w:val="en-US" w:eastAsia="zh-CN"/>
        </w:rPr>
        <w:t>公里</w:t>
      </w:r>
      <w:r>
        <w:rPr>
          <w:rFonts w:hint="eastAsia" w:ascii="仿宋_GB2312" w:cs="Times New Roman"/>
          <w:sz w:val="32"/>
          <w:szCs w:val="32"/>
          <w:lang w:val="en-US" w:eastAsia="zh-CN"/>
        </w:rPr>
        <w:t>及</w:t>
      </w:r>
      <w:r>
        <w:rPr>
          <w:rFonts w:hint="eastAsia" w:ascii="仿宋_GB2312"/>
          <w:sz w:val="32"/>
          <w:szCs w:val="32"/>
        </w:rPr>
        <w:t>绿化</w:t>
      </w:r>
      <w:r>
        <w:rPr>
          <w:rFonts w:hint="eastAsia" w:ascii="仿宋_GB2312"/>
          <w:sz w:val="32"/>
          <w:szCs w:val="32"/>
          <w:lang w:eastAsia="zh-CN"/>
        </w:rPr>
        <w:t>、</w:t>
      </w:r>
      <w:r>
        <w:rPr>
          <w:rFonts w:hint="eastAsia" w:ascii="仿宋_GB2312"/>
          <w:sz w:val="32"/>
          <w:szCs w:val="32"/>
          <w:lang w:val="en-US" w:eastAsia="zh-CN"/>
        </w:rPr>
        <w:t>管网</w:t>
      </w:r>
      <w:r>
        <w:rPr>
          <w:rFonts w:hint="eastAsia" w:ascii="仿宋_GB2312"/>
          <w:sz w:val="32"/>
          <w:szCs w:val="32"/>
        </w:rPr>
        <w:t>工程</w:t>
      </w:r>
      <w:r>
        <w:rPr>
          <w:rFonts w:hint="eastAsia" w:ascii="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sz w:val="32"/>
          <w:szCs w:val="32"/>
          <w:lang w:eastAsia="zh-CN"/>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2000</w:t>
      </w:r>
      <w:r>
        <w:rPr>
          <w:rFonts w:hint="eastAsia"/>
          <w:color w:val="auto"/>
          <w:sz w:val="32"/>
          <w:szCs w:val="32"/>
        </w:rPr>
        <w:t>万元，全年预算数</w:t>
      </w:r>
      <w:r>
        <w:rPr>
          <w:rFonts w:hint="eastAsia"/>
          <w:color w:val="auto"/>
          <w:sz w:val="32"/>
          <w:szCs w:val="32"/>
          <w:lang w:val="en-US" w:eastAsia="zh-CN"/>
        </w:rPr>
        <w:t>2000</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2000</w:t>
      </w:r>
      <w:r>
        <w:rPr>
          <w:rFonts w:hint="eastAsia"/>
          <w:color w:val="auto"/>
          <w:sz w:val="32"/>
          <w:szCs w:val="32"/>
        </w:rPr>
        <w:t>万元，该项目资金已全部落实到位，资金来源为</w:t>
      </w:r>
      <w:r>
        <w:rPr>
          <w:rFonts w:hint="eastAsia"/>
          <w:color w:val="auto"/>
          <w:sz w:val="32"/>
          <w:szCs w:val="32"/>
          <w:lang w:val="en-US" w:eastAsia="zh-CN"/>
        </w:rPr>
        <w:t>年初预算</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rPr>
        <w:t>资金使用情况：该项目年初预算数</w:t>
      </w:r>
      <w:r>
        <w:rPr>
          <w:rFonts w:hint="eastAsia"/>
          <w:color w:val="auto"/>
          <w:sz w:val="32"/>
          <w:szCs w:val="32"/>
          <w:lang w:val="en-US" w:eastAsia="zh-CN"/>
        </w:rPr>
        <w:t>2000</w:t>
      </w:r>
      <w:r>
        <w:rPr>
          <w:rFonts w:hint="eastAsia"/>
          <w:color w:val="auto"/>
          <w:sz w:val="32"/>
          <w:szCs w:val="32"/>
        </w:rPr>
        <w:t>万元，全年预算数</w:t>
      </w:r>
      <w:r>
        <w:rPr>
          <w:rFonts w:hint="eastAsia"/>
          <w:color w:val="auto"/>
          <w:sz w:val="32"/>
          <w:szCs w:val="32"/>
          <w:lang w:val="en-US" w:eastAsia="zh-CN"/>
        </w:rPr>
        <w:t>2000</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w:t>
      </w:r>
      <w:r>
        <w:rPr>
          <w:rFonts w:hint="eastAsia"/>
          <w:color w:val="auto"/>
          <w:sz w:val="32"/>
          <w:szCs w:val="32"/>
          <w:lang w:val="en-US" w:eastAsia="zh-CN"/>
        </w:rPr>
        <w:t>行数2000万元，预算执行率为100%，主要用于：道路建设施工</w:t>
      </w:r>
      <w:bookmarkStart w:id="2" w:name="_Toc68703829"/>
      <w:r>
        <w:rPr>
          <w:rFonts w:hint="eastAsia"/>
          <w:color w:val="auto"/>
          <w:sz w:val="32"/>
          <w:szCs w:val="32"/>
          <w:lang w:val="en-US" w:eastAsia="zh-CN"/>
        </w:rPr>
        <w:t>。</w:t>
      </w:r>
    </w:p>
    <w:p>
      <w:pPr>
        <w:spacing w:line="560" w:lineRule="exact"/>
        <w:rPr>
          <w:color w:val="FF0000"/>
          <w:sz w:val="32"/>
          <w:szCs w:val="32"/>
        </w:rPr>
      </w:pPr>
      <w:r>
        <w:rPr>
          <w:rFonts w:hint="eastAsia" w:ascii="Times New Roman" w:hAnsi="Times New Roman" w:eastAsia="楷体_GB2312" w:cs="Times New Roman"/>
          <w:b/>
          <w:bCs/>
          <w:sz w:val="32"/>
          <w:szCs w:val="32"/>
          <w:lang w:eastAsia="zh-CN"/>
        </w:rPr>
        <w:t>（二）项目绩效目标</w:t>
      </w:r>
      <w:bookmarkEnd w:id="2"/>
    </w:p>
    <w:p>
      <w:pPr>
        <w:spacing w:line="560" w:lineRule="exact"/>
        <w:ind w:firstLine="640"/>
        <w:rPr>
          <w:rFonts w:hint="eastAsia"/>
          <w:b w:val="0"/>
          <w:bCs w:val="0"/>
          <w:color w:val="auto"/>
          <w:sz w:val="32"/>
          <w:szCs w:val="32"/>
          <w:lang w:val="en-US" w:eastAsia="zh-CN"/>
        </w:rPr>
      </w:pPr>
      <w:r>
        <w:rPr>
          <w:rFonts w:hint="eastAsia" w:ascii="Times New Roman" w:hAnsi="Times New Roman" w:eastAsia="仿宋_GB2312" w:cs="Times New Roman"/>
          <w:b w:val="0"/>
          <w:bCs w:val="0"/>
          <w:sz w:val="32"/>
          <w:szCs w:val="32"/>
          <w:lang w:val="en-US" w:eastAsia="zh-CN"/>
        </w:rPr>
        <w:t>1.总体目标：根据清水河配套园区建设工程项目管理相关职能，依据《霍尔果斯经济开发区清水河配套园区新材料产业园道路建设项目》合同约定，该项目于2022年11月开工，建新材料产业园内道路13.88千米，红线宽度20米及其配套附属设施；</w:t>
      </w:r>
      <w:r>
        <w:rPr>
          <w:rFonts w:hint="eastAsia" w:cs="Times New Roman"/>
          <w:b w:val="0"/>
          <w:bCs w:val="0"/>
          <w:sz w:val="32"/>
          <w:szCs w:val="32"/>
          <w:lang w:val="en-US" w:eastAsia="zh-CN"/>
        </w:rPr>
        <w:t>截至2022年</w:t>
      </w:r>
      <w:r>
        <w:rPr>
          <w:rFonts w:hint="eastAsia" w:ascii="Times New Roman" w:hAnsi="Times New Roman" w:eastAsia="仿宋_GB2312" w:cs="Times New Roman"/>
          <w:b w:val="0"/>
          <w:bCs w:val="0"/>
          <w:sz w:val="32"/>
          <w:szCs w:val="32"/>
          <w:lang w:val="en-US" w:eastAsia="zh-CN"/>
        </w:rPr>
        <w:t>底已完成总工程量44%，剩余新材料产业园内道路及附属设施未完成总体验收。该项目总投资13500万元，此次申请2000万元，用于支付该项目工程进度款，该项目计划于2023年3月开工完成剩余56%。项目并计划于2023年12月完成办理该项目的竣工验收，投入使用。项目符合有关法律、法规、政策、制度等规定的要求。项目完成后配套园区内生态环境将有效改善，营商环境将有效提升，为园区招商引资工作建立良好基础。</w:t>
      </w:r>
      <w:r>
        <w:rPr>
          <w:rFonts w:hint="eastAsia"/>
          <w:b w:val="0"/>
          <w:bCs w:val="0"/>
          <w:color w:val="auto"/>
          <w:sz w:val="32"/>
          <w:szCs w:val="32"/>
          <w:lang w:eastAsia="zh-CN"/>
        </w:rPr>
        <w:t>　</w:t>
      </w:r>
      <w:r>
        <w:rPr>
          <w:rFonts w:hint="eastAsia"/>
          <w:b w:val="0"/>
          <w:bCs w:val="0"/>
          <w:color w:val="auto"/>
          <w:sz w:val="32"/>
          <w:szCs w:val="32"/>
          <w:lang w:val="en-US" w:eastAsia="zh-CN"/>
        </w:rPr>
        <w:t xml:space="preserve"> </w:t>
      </w:r>
    </w:p>
    <w:p>
      <w:pPr>
        <w:spacing w:line="560" w:lineRule="exact"/>
        <w:ind w:firstLine="640"/>
        <w:rPr>
          <w:rFonts w:hint="eastAsia" w:eastAsia="仿宋_GB2312"/>
          <w:color w:val="auto"/>
          <w:sz w:val="32"/>
          <w:szCs w:val="32"/>
          <w:lang w:eastAsia="zh-CN"/>
        </w:rPr>
      </w:pPr>
      <w:r>
        <w:rPr>
          <w:rFonts w:hint="eastAsia"/>
          <w:b w:val="0"/>
          <w:bCs w:val="0"/>
          <w:color w:val="auto"/>
          <w:sz w:val="32"/>
          <w:szCs w:val="32"/>
          <w:lang w:val="en-US" w:eastAsia="zh-CN"/>
        </w:rPr>
        <w:t xml:space="preserve"> </w:t>
      </w:r>
      <w:r>
        <w:rPr>
          <w:rFonts w:hint="eastAsia" w:ascii="Times New Roman" w:hAnsi="Times New Roman" w:eastAsia="仿宋_GB2312" w:cs="Times New Roman"/>
          <w:b w:val="0"/>
          <w:bCs w:val="0"/>
          <w:color w:val="auto"/>
          <w:sz w:val="32"/>
          <w:szCs w:val="32"/>
          <w:lang w:val="en-US" w:eastAsia="zh-CN"/>
        </w:rPr>
        <w:t>2.阶段性目标：</w:t>
      </w:r>
      <w:bookmarkStart w:id="3" w:name="_Toc68703830"/>
      <w:r>
        <w:rPr>
          <w:rFonts w:hint="eastAsia" w:ascii="Times New Roman" w:hAnsi="Times New Roman" w:eastAsia="仿宋_GB2312" w:cs="Times New Roman"/>
          <w:b w:val="0"/>
          <w:bCs w:val="0"/>
          <w:color w:val="auto"/>
          <w:sz w:val="32"/>
          <w:szCs w:val="32"/>
          <w:lang w:val="en-US" w:eastAsia="zh-CN"/>
        </w:rPr>
        <w:t>新建新材料产业园内道路13.88 千米，红线宽度 20 米，主路面 10米及其配套附属设施施工完毕，并具备使用条件，优化清水河配套园区营商环境，打造园区亮点，吸引企业入驻。</w:t>
      </w:r>
      <w:r>
        <w:rPr>
          <w:rFonts w:hint="eastAsia"/>
          <w:color w:val="auto"/>
          <w:sz w:val="32"/>
          <w:szCs w:val="32"/>
          <w:lang w:val="en-US" w:eastAsia="zh-CN"/>
        </w:rPr>
        <w:t>该项目计划于2023年3月开工完成剩余56%。项目并于2023年12月完成办理该项目的竣工验收，投入使用</w:t>
      </w:r>
      <w:r>
        <w:rPr>
          <w:rFonts w:hint="eastAsia" w:ascii="仿宋_GB2312"/>
          <w:sz w:val="32"/>
          <w:szCs w:val="32"/>
          <w:lang w:eastAsia="zh-CN"/>
        </w:rPr>
        <w:t>。</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color w:val="FF0000"/>
          <w:sz w:val="32"/>
          <w:szCs w:val="32"/>
        </w:rPr>
      </w:pPr>
      <w:r>
        <w:rPr>
          <w:rFonts w:hint="eastAsia" w:ascii="仿宋_GB2312" w:hAnsi="仿宋_GB2312" w:cs="仿宋_GB2312"/>
          <w:sz w:val="32"/>
          <w:szCs w:val="32"/>
          <w:lang w:eastAsia="zh-CN"/>
        </w:rPr>
        <w:t>霍尔果斯经济开发区清水河配套园区新材料产业园道路建设项目</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w:t>
      </w:r>
      <w:r>
        <w:rPr>
          <w:rFonts w:hint="eastAsia" w:ascii="Times New Roman" w:hAnsi="Times New Roman" w:cs="Times New Roman"/>
          <w:color w:val="auto"/>
          <w:sz w:val="32"/>
          <w:szCs w:val="32"/>
        </w:rPr>
        <w:t>目效益四个维度进行</w:t>
      </w:r>
      <w:r>
        <w:rPr>
          <w:rFonts w:hint="eastAsia" w:cs="Times New Roman"/>
          <w:color w:val="auto"/>
          <w:sz w:val="32"/>
          <w:szCs w:val="32"/>
          <w:lang w:eastAsia="zh-CN"/>
        </w:rPr>
        <w:t>霍尔果斯经济开发区清水河配套园区新材料产业园道路建设项目</w:t>
      </w:r>
      <w:r>
        <w:rPr>
          <w:rFonts w:hint="eastAsia" w:ascii="Times New Roman" w:hAnsi="Times New Roman" w:cs="Times New Roman"/>
          <w:color w:val="auto"/>
          <w:sz w:val="32"/>
          <w:szCs w:val="32"/>
        </w:rPr>
        <w:t>评价，评价核心为资金的支出完成</w:t>
      </w:r>
      <w:r>
        <w:rPr>
          <w:rFonts w:hint="eastAsia"/>
          <w:color w:val="auto"/>
          <w:sz w:val="32"/>
          <w:szCs w:val="32"/>
        </w:rPr>
        <w:t>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widowControl w:val="0"/>
        <w:kinsoku/>
        <w:wordWrap/>
        <w:overflowPunct/>
        <w:topLinePunct w:val="0"/>
        <w:autoSpaceDE/>
        <w:autoSpaceDN/>
        <w:bidi w:val="0"/>
        <w:adjustRightInd/>
        <w:snapToGrid/>
        <w:spacing w:line="560" w:lineRule="exact"/>
        <w:textAlignment w:val="auto"/>
        <w:rPr>
          <w:rFonts w:hint="eastAsia" w:eastAsia="仿宋_GB2312"/>
          <w:bCs/>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bCs/>
          <w:color w:val="auto"/>
          <w:sz w:val="32"/>
          <w:szCs w:val="32"/>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（一）成本效益分析法。是指将投入与产出、效益进行关联性分析的</w:t>
      </w:r>
      <w:r>
        <w:rPr>
          <w:bCs/>
          <w:color w:val="auto"/>
          <w:sz w:val="32"/>
          <w:szCs w:val="32"/>
        </w:rPr>
        <w:t>方法</w:t>
      </w:r>
      <w:r>
        <w:rPr>
          <w:rFonts w:hint="eastAsia"/>
          <w:bCs/>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（二）比较法。是指将实施情况与绩效目标、历史情况、不同部门和地区同类支出情况进行比较的</w:t>
      </w:r>
      <w:r>
        <w:rPr>
          <w:bCs/>
          <w:color w:val="auto"/>
          <w:sz w:val="32"/>
          <w:szCs w:val="32"/>
        </w:rPr>
        <w:t>方法</w:t>
      </w:r>
      <w:r>
        <w:rPr>
          <w:rFonts w:hint="eastAsia"/>
          <w:bCs/>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（三）因素分析法。是指综合分析影响绩效目标实现、实施效果的内外部因素的</w:t>
      </w:r>
      <w:r>
        <w:rPr>
          <w:bCs/>
          <w:color w:val="auto"/>
          <w:sz w:val="32"/>
          <w:szCs w:val="32"/>
        </w:rPr>
        <w:t>方法</w:t>
      </w:r>
      <w:r>
        <w:rPr>
          <w:rFonts w:hint="eastAsia"/>
          <w:bCs/>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w:t>
      </w:r>
      <w:r>
        <w:rPr>
          <w:rFonts w:hint="eastAsia"/>
          <w:bCs/>
          <w:color w:val="auto"/>
          <w:sz w:val="32"/>
          <w:szCs w:val="32"/>
          <w:lang w:val="en-US" w:eastAsia="zh-CN"/>
        </w:rPr>
        <w:t>四</w:t>
      </w:r>
      <w:r>
        <w:rPr>
          <w:rFonts w:hint="eastAsia"/>
          <w:bCs/>
          <w:color w:val="auto"/>
          <w:sz w:val="32"/>
          <w:szCs w:val="32"/>
        </w:rPr>
        <w:t>）公众评判法。是指通过专家评估、公众问卷及抽样调查等方式进行评判的</w:t>
      </w:r>
      <w:r>
        <w:rPr>
          <w:bCs/>
          <w:color w:val="auto"/>
          <w:sz w:val="32"/>
          <w:szCs w:val="32"/>
        </w:rPr>
        <w:t>方法</w:t>
      </w:r>
      <w:r>
        <w:rPr>
          <w:rFonts w:hint="eastAsia"/>
          <w:bCs/>
          <w:color w:val="auto"/>
          <w:sz w:val="32"/>
          <w:szCs w:val="32"/>
        </w:rPr>
        <w:t>。</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auto"/>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w:t>
      </w:r>
      <w:r>
        <w:rPr>
          <w:rFonts w:hint="eastAsia"/>
          <w:bCs/>
          <w:color w:val="auto"/>
          <w:sz w:val="32"/>
          <w:szCs w:val="32"/>
          <w:lang w:val="en-US" w:eastAsia="zh-CN"/>
        </w:rPr>
        <w:t>划</w:t>
      </w:r>
      <w:r>
        <w:rPr>
          <w:rFonts w:hint="eastAsia"/>
          <w:bCs/>
          <w:color w:val="auto"/>
          <w:sz w:val="32"/>
          <w:szCs w:val="32"/>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计划标准</w:t>
      </w:r>
      <w:r>
        <w:rPr>
          <w:rFonts w:hint="eastAsia"/>
          <w:bCs/>
          <w:color w:val="auto"/>
          <w:sz w:val="32"/>
          <w:szCs w:val="32"/>
          <w:lang w:eastAsia="zh-CN"/>
        </w:rPr>
        <w:t>：</w:t>
      </w:r>
      <w:r>
        <w:rPr>
          <w:rFonts w:hint="eastAsia"/>
          <w:bCs/>
          <w:color w:val="auto"/>
          <w:sz w:val="32"/>
          <w:szCs w:val="32"/>
        </w:rPr>
        <w:t>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highlight w:val="none"/>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w:t>
      </w:r>
      <w:r>
        <w:rPr>
          <w:rFonts w:hint="eastAsia" w:ascii="Times New Roman" w:hAnsi="Times New Roman" w:eastAsia="仿宋_GB2312"/>
          <w:b w:val="0"/>
          <w:bCs w:val="0"/>
          <w:highlight w:val="none"/>
        </w:rPr>
        <w:t>果：总得分为</w:t>
      </w:r>
      <w:r>
        <w:rPr>
          <w:rFonts w:hint="eastAsia" w:ascii="Times New Roman" w:hAnsi="Times New Roman" w:eastAsia="仿宋_GB2312"/>
          <w:b w:val="0"/>
          <w:bCs w:val="0"/>
          <w:color w:val="auto"/>
          <w:highlight w:val="none"/>
          <w:lang w:val="en-US" w:eastAsia="zh-CN"/>
        </w:rPr>
        <w:t>88</w:t>
      </w:r>
      <w:r>
        <w:rPr>
          <w:rFonts w:hint="eastAsia" w:ascii="Times New Roman" w:hAnsi="Times New Roman" w:eastAsia="仿宋_GB2312"/>
          <w:b w:val="0"/>
          <w:bCs w:val="0"/>
          <w:highlight w:val="none"/>
        </w:rPr>
        <w:t xml:space="preserve">分，属于“良”。其中，项目决策类指标权重为20分，得分为 </w:t>
      </w:r>
      <w:r>
        <w:rPr>
          <w:rFonts w:hint="eastAsia" w:ascii="Times New Roman" w:hAnsi="Times New Roman" w:eastAsia="仿宋_GB2312"/>
          <w:b w:val="0"/>
          <w:bCs w:val="0"/>
          <w:highlight w:val="none"/>
          <w:lang w:val="en-US" w:eastAsia="zh-CN"/>
        </w:rPr>
        <w:t>18</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10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50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88</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项目决策类指标包括项目立项、绩效目标和资金投入三方面的内容，由6个三级指标构成，权重分值为20分，实际得分18分，得分率为90%。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w:t>
      </w:r>
      <w:r>
        <w:rPr>
          <w:rFonts w:hint="eastAsia" w:ascii="仿宋_GB2312" w:hAnsi="仿宋_GB2312" w:eastAsia="仿宋_GB2312" w:cs="仿宋_GB2312"/>
          <w:sz w:val="32"/>
          <w:szCs w:val="32"/>
          <w:highlight w:val="none"/>
          <w:lang w:val="en-US" w:eastAsia="zh-CN"/>
        </w:rPr>
        <w:t>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highlight w:val="none"/>
          <w:lang w:val="en-US" w:eastAsia="zh-CN"/>
        </w:rPr>
        <w:t>）资金到位率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2000万</w:t>
      </w:r>
      <w:r>
        <w:rPr>
          <w:rFonts w:hint="eastAsia" w:ascii="仿宋_GB2312" w:hAnsi="仿宋_GB2312" w:eastAsia="仿宋_GB2312" w:cs="仿宋_GB2312"/>
          <w:sz w:val="32"/>
          <w:szCs w:val="32"/>
          <w:highlight w:val="none"/>
          <w:lang w:val="en-US" w:eastAsia="zh-CN"/>
        </w:rPr>
        <w:t>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2000万</w:t>
      </w:r>
      <w:r>
        <w:rPr>
          <w:rFonts w:hint="eastAsia" w:ascii="仿宋_GB2312" w:hAnsi="仿宋_GB2312" w:eastAsia="仿宋_GB2312" w:cs="仿宋_GB2312"/>
          <w:sz w:val="32"/>
          <w:szCs w:val="32"/>
          <w:highlight w:val="none"/>
          <w:lang w:val="en-US" w:eastAsia="zh-CN"/>
        </w:rPr>
        <w:t>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w:t>
      </w:r>
      <w:r>
        <w:rPr>
          <w:rFonts w:hint="eastAsia" w:ascii="仿宋_GB2312" w:hAnsi="仿宋_GB2312" w:eastAsia="仿宋_GB2312" w:cs="仿宋_GB2312"/>
          <w:sz w:val="32"/>
          <w:szCs w:val="32"/>
          <w:highlight w:val="none"/>
          <w:lang w:val="en-US" w:eastAsia="zh-CN"/>
        </w:rPr>
        <w:t>产出质量、产出时效、产出成本四方面的内容，由</w:t>
      </w:r>
      <w:r>
        <w:rPr>
          <w:rFonts w:hint="eastAsia" w:ascii="仿宋_GB2312" w:hAnsi="仿宋_GB2312" w:cs="仿宋_GB2312"/>
          <w:sz w:val="32"/>
          <w:szCs w:val="32"/>
          <w:highlight w:val="none"/>
          <w:lang w:val="en-US" w:eastAsia="zh-CN"/>
        </w:rPr>
        <w:t>9</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highlight w:val="none"/>
        </w:rPr>
        <w:t>指标1：</w:t>
      </w:r>
      <w:r>
        <w:rPr>
          <w:rFonts w:hint="eastAsia"/>
          <w:color w:val="auto"/>
          <w:sz w:val="32"/>
          <w:szCs w:val="32"/>
          <w:highlight w:val="none"/>
          <w:lang w:val="en-US" w:eastAsia="zh-CN"/>
        </w:rPr>
        <w:t>新建道路工程量</w:t>
      </w:r>
      <w:r>
        <w:rPr>
          <w:rFonts w:hint="eastAsia"/>
          <w:color w:val="auto"/>
          <w:sz w:val="32"/>
          <w:szCs w:val="32"/>
          <w:highlight w:val="none"/>
        </w:rPr>
        <w:t>，指标值：</w:t>
      </w:r>
      <w:r>
        <w:rPr>
          <w:rFonts w:hint="eastAsia"/>
          <w:color w:val="auto"/>
          <w:sz w:val="32"/>
          <w:szCs w:val="32"/>
          <w:highlight w:val="none"/>
          <w:lang w:val="en-US" w:eastAsia="zh-CN"/>
        </w:rPr>
        <w:t>≥13.88</w:t>
      </w:r>
      <w:r>
        <w:rPr>
          <w:rFonts w:hint="eastAsia"/>
          <w:color w:val="auto"/>
          <w:sz w:val="32"/>
          <w:szCs w:val="32"/>
          <w:lang w:val="en-US" w:eastAsia="zh-CN"/>
        </w:rPr>
        <w:t>千米</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13.88千米</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指标2：</w:t>
      </w:r>
      <w:r>
        <w:rPr>
          <w:rFonts w:hint="eastAsia"/>
          <w:color w:val="auto"/>
          <w:sz w:val="32"/>
          <w:szCs w:val="32"/>
          <w:lang w:val="en-US" w:eastAsia="zh-CN"/>
        </w:rPr>
        <w:t>新建红线宽度</w:t>
      </w:r>
      <w:r>
        <w:rPr>
          <w:rFonts w:hint="eastAsia"/>
          <w:color w:val="auto"/>
          <w:sz w:val="32"/>
          <w:szCs w:val="32"/>
        </w:rPr>
        <w:t>，指标值：</w:t>
      </w:r>
      <w:r>
        <w:rPr>
          <w:rFonts w:hint="eastAsia"/>
          <w:color w:val="auto"/>
          <w:sz w:val="32"/>
          <w:szCs w:val="32"/>
          <w:lang w:eastAsia="zh-CN"/>
        </w:rPr>
        <w:t>≥</w:t>
      </w:r>
      <w:r>
        <w:rPr>
          <w:rFonts w:hint="eastAsia"/>
          <w:color w:val="auto"/>
          <w:sz w:val="32"/>
          <w:szCs w:val="32"/>
          <w:lang w:val="en-US" w:eastAsia="zh-CN"/>
        </w:rPr>
        <w:t>20米</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20米</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w:t>
      </w:r>
      <w:r>
        <w:rPr>
          <w:rFonts w:hint="eastAsia"/>
          <w:color w:val="auto"/>
          <w:sz w:val="32"/>
          <w:szCs w:val="32"/>
          <w:lang w:val="en-US" w:eastAsia="zh-CN"/>
        </w:rPr>
        <w:t>新建道路工程数量</w:t>
      </w:r>
      <w:r>
        <w:rPr>
          <w:rFonts w:hint="eastAsia"/>
          <w:color w:val="auto"/>
          <w:sz w:val="32"/>
          <w:szCs w:val="32"/>
        </w:rPr>
        <w:t>，指标值：</w:t>
      </w:r>
      <w:r>
        <w:rPr>
          <w:rFonts w:hint="eastAsia"/>
          <w:color w:val="auto"/>
          <w:sz w:val="32"/>
          <w:szCs w:val="32"/>
          <w:lang w:eastAsia="zh-CN"/>
        </w:rPr>
        <w:t>≥</w:t>
      </w:r>
      <w:r>
        <w:rPr>
          <w:rFonts w:hint="eastAsia"/>
          <w:color w:val="auto"/>
          <w:sz w:val="32"/>
          <w:szCs w:val="32"/>
          <w:lang w:val="en-US" w:eastAsia="zh-CN"/>
        </w:rPr>
        <w:t>6条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6条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eastAsia="zh-CN"/>
        </w:rPr>
      </w:pPr>
      <w:r>
        <w:rPr>
          <w:rFonts w:hint="eastAsia"/>
          <w:color w:val="auto"/>
          <w:sz w:val="32"/>
          <w:szCs w:val="32"/>
        </w:rPr>
        <w:t>指标1：</w:t>
      </w:r>
      <w:r>
        <w:rPr>
          <w:rFonts w:hint="eastAsia"/>
          <w:color w:val="auto"/>
          <w:sz w:val="32"/>
          <w:szCs w:val="32"/>
          <w:lang w:val="en-US" w:eastAsia="zh-CN"/>
        </w:rPr>
        <w:t>项目资金支付率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bookmarkStart w:id="14" w:name="_Toc68703841"/>
      <w:r>
        <w:rPr>
          <w:rFonts w:hint="eastAsia"/>
          <w:color w:val="auto"/>
          <w:sz w:val="32"/>
          <w:szCs w:val="32"/>
          <w:highlight w:val="none"/>
        </w:rPr>
        <w:t>指标1：</w:t>
      </w:r>
      <w:r>
        <w:rPr>
          <w:rFonts w:hint="eastAsia"/>
          <w:color w:val="auto"/>
          <w:sz w:val="32"/>
          <w:szCs w:val="32"/>
          <w:highlight w:val="none"/>
          <w:lang w:eastAsia="zh-CN"/>
        </w:rPr>
        <w:t>项目</w:t>
      </w:r>
      <w:r>
        <w:rPr>
          <w:rFonts w:hint="eastAsia"/>
          <w:color w:val="auto"/>
          <w:sz w:val="32"/>
          <w:szCs w:val="32"/>
          <w:highlight w:val="none"/>
          <w:lang w:val="en-US" w:eastAsia="zh-CN"/>
        </w:rPr>
        <w:t>按计划开工时间</w:t>
      </w:r>
      <w:r>
        <w:rPr>
          <w:rFonts w:hint="eastAsia"/>
          <w:color w:val="auto"/>
          <w:sz w:val="32"/>
          <w:szCs w:val="32"/>
          <w:highlight w:val="none"/>
          <w:lang w:eastAsia="zh-CN"/>
        </w:rPr>
        <w:t>，</w:t>
      </w:r>
      <w:r>
        <w:rPr>
          <w:rFonts w:hint="eastAsia"/>
          <w:color w:val="auto"/>
          <w:sz w:val="32"/>
          <w:szCs w:val="32"/>
        </w:rPr>
        <w:t>指标值：</w:t>
      </w:r>
      <w:r>
        <w:rPr>
          <w:rFonts w:hint="eastAsia"/>
          <w:color w:val="auto"/>
          <w:sz w:val="32"/>
          <w:szCs w:val="32"/>
          <w:lang w:val="en-US" w:eastAsia="zh-CN"/>
        </w:rPr>
        <w:t>2023年3月20日</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2023年3月20日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Style w:val="5"/>
        <w:ind w:firstLine="960" w:firstLineChars="300"/>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cs="Times New Roman"/>
          <w:b w:val="0"/>
          <w:bCs w:val="0"/>
          <w:color w:val="auto"/>
          <w:kern w:val="2"/>
          <w:sz w:val="32"/>
          <w:szCs w:val="32"/>
          <w:highlight w:val="none"/>
          <w:lang w:val="en-US" w:eastAsia="zh-CN" w:bidi="ar-SA"/>
        </w:rPr>
        <w:t>1</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cs="Times New Roman"/>
          <w:b w:val="0"/>
          <w:bCs w:val="0"/>
          <w:color w:val="auto"/>
          <w:kern w:val="2"/>
          <w:sz w:val="32"/>
          <w:szCs w:val="32"/>
          <w:highlight w:val="none"/>
          <w:lang w:val="en-US" w:eastAsia="zh-CN" w:bidi="ar-SA"/>
        </w:rPr>
        <w:t>管沟开挖成本</w:t>
      </w:r>
      <w:r>
        <w:rPr>
          <w:rFonts w:hint="eastAsia" w:ascii="Times New Roman" w:hAnsi="Times New Roman" w:eastAsia="仿宋_GB2312" w:cs="Times New Roman"/>
          <w:b w:val="0"/>
          <w:bCs w:val="0"/>
          <w:color w:val="auto"/>
          <w:kern w:val="2"/>
          <w:sz w:val="32"/>
          <w:szCs w:val="32"/>
          <w:highlight w:val="none"/>
          <w:lang w:val="en-US" w:eastAsia="zh-CN" w:bidi="ar-SA"/>
        </w:rPr>
        <w:t>，指标值：≤</w:t>
      </w:r>
      <w:r>
        <w:rPr>
          <w:rFonts w:hint="eastAsia" w:cs="Times New Roman"/>
          <w:b w:val="0"/>
          <w:bCs w:val="0"/>
          <w:color w:val="auto"/>
          <w:kern w:val="2"/>
          <w:sz w:val="32"/>
          <w:szCs w:val="32"/>
          <w:highlight w:val="none"/>
          <w:lang w:val="en-US" w:eastAsia="zh-CN" w:bidi="ar-SA"/>
        </w:rPr>
        <w:t>650</w:t>
      </w:r>
      <w:r>
        <w:rPr>
          <w:rFonts w:hint="eastAsia" w:ascii="Times New Roman" w:hAnsi="Times New Roman" w:eastAsia="仿宋_GB2312" w:cs="Times New Roman"/>
          <w:b w:val="0"/>
          <w:bCs w:val="0"/>
          <w:color w:val="auto"/>
          <w:kern w:val="2"/>
          <w:sz w:val="32"/>
          <w:szCs w:val="32"/>
          <w:highlight w:val="none"/>
          <w:lang w:val="en-US" w:eastAsia="zh-CN" w:bidi="ar-SA"/>
        </w:rPr>
        <w:t>万元，实际完成值：</w:t>
      </w:r>
      <w:r>
        <w:rPr>
          <w:rFonts w:hint="eastAsia" w:cs="Times New Roman"/>
          <w:b w:val="0"/>
          <w:bCs w:val="0"/>
          <w:color w:val="auto"/>
          <w:kern w:val="2"/>
          <w:sz w:val="32"/>
          <w:szCs w:val="32"/>
          <w:highlight w:val="none"/>
          <w:lang w:val="en-US" w:eastAsia="zh-CN" w:bidi="ar-SA"/>
        </w:rPr>
        <w:t>650</w:t>
      </w:r>
      <w:r>
        <w:rPr>
          <w:rFonts w:hint="eastAsia" w:ascii="Times New Roman" w:hAnsi="Times New Roman" w:eastAsia="仿宋_GB2312" w:cs="Times New Roman"/>
          <w:b w:val="0"/>
          <w:bCs w:val="0"/>
          <w:color w:val="auto"/>
          <w:kern w:val="2"/>
          <w:sz w:val="32"/>
          <w:szCs w:val="32"/>
          <w:highlight w:val="none"/>
          <w:lang w:val="en-US" w:eastAsia="zh-CN" w:bidi="ar-SA"/>
        </w:rPr>
        <w:t>万元，指标完成率100%。</w:t>
      </w:r>
    </w:p>
    <w:p>
      <w:pPr>
        <w:pStyle w:val="5"/>
        <w:ind w:firstLine="960" w:firstLineChars="300"/>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w:t>
      </w:r>
      <w:r>
        <w:rPr>
          <w:rFonts w:hint="eastAsia" w:cs="Times New Roman"/>
          <w:b w:val="0"/>
          <w:bCs w:val="0"/>
          <w:color w:val="auto"/>
          <w:kern w:val="2"/>
          <w:sz w:val="32"/>
          <w:szCs w:val="32"/>
          <w:highlight w:val="none"/>
          <w:lang w:val="en-US" w:eastAsia="zh-CN" w:bidi="ar-SA"/>
        </w:rPr>
        <w:t>2</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cs="Times New Roman"/>
          <w:b w:val="0"/>
          <w:bCs w:val="0"/>
          <w:color w:val="auto"/>
          <w:kern w:val="2"/>
          <w:sz w:val="32"/>
          <w:szCs w:val="32"/>
          <w:highlight w:val="none"/>
          <w:lang w:val="en-US" w:eastAsia="zh-CN" w:bidi="ar-SA"/>
        </w:rPr>
        <w:t>管线成本</w:t>
      </w:r>
      <w:r>
        <w:rPr>
          <w:rFonts w:hint="eastAsia" w:ascii="Times New Roman" w:hAnsi="Times New Roman" w:eastAsia="仿宋_GB2312" w:cs="Times New Roman"/>
          <w:b w:val="0"/>
          <w:bCs w:val="0"/>
          <w:color w:val="auto"/>
          <w:kern w:val="2"/>
          <w:sz w:val="32"/>
          <w:szCs w:val="32"/>
          <w:highlight w:val="none"/>
          <w:lang w:val="en-US" w:eastAsia="zh-CN" w:bidi="ar-SA"/>
        </w:rPr>
        <w:t>，指标值：≤</w:t>
      </w:r>
      <w:r>
        <w:rPr>
          <w:rFonts w:hint="eastAsia" w:cs="Times New Roman"/>
          <w:b w:val="0"/>
          <w:bCs w:val="0"/>
          <w:color w:val="auto"/>
          <w:kern w:val="2"/>
          <w:sz w:val="32"/>
          <w:szCs w:val="32"/>
          <w:highlight w:val="none"/>
          <w:lang w:val="en-US" w:eastAsia="zh-CN" w:bidi="ar-SA"/>
        </w:rPr>
        <w:t>350</w:t>
      </w:r>
      <w:r>
        <w:rPr>
          <w:rFonts w:hint="eastAsia" w:ascii="Times New Roman" w:hAnsi="Times New Roman" w:eastAsia="仿宋_GB2312" w:cs="Times New Roman"/>
          <w:b w:val="0"/>
          <w:bCs w:val="0"/>
          <w:color w:val="auto"/>
          <w:kern w:val="2"/>
          <w:sz w:val="32"/>
          <w:szCs w:val="32"/>
          <w:highlight w:val="none"/>
          <w:lang w:val="en-US" w:eastAsia="zh-CN" w:bidi="ar-SA"/>
        </w:rPr>
        <w:t>万元，实际完成值：</w:t>
      </w:r>
      <w:r>
        <w:rPr>
          <w:rFonts w:hint="eastAsia" w:cs="Times New Roman"/>
          <w:b w:val="0"/>
          <w:bCs w:val="0"/>
          <w:color w:val="auto"/>
          <w:kern w:val="2"/>
          <w:sz w:val="32"/>
          <w:szCs w:val="32"/>
          <w:highlight w:val="none"/>
          <w:lang w:val="en-US" w:eastAsia="zh-CN" w:bidi="ar-SA"/>
        </w:rPr>
        <w:t>350</w:t>
      </w:r>
      <w:r>
        <w:rPr>
          <w:rFonts w:hint="eastAsia" w:ascii="Times New Roman" w:hAnsi="Times New Roman" w:eastAsia="仿宋_GB2312" w:cs="Times New Roman"/>
          <w:b w:val="0"/>
          <w:bCs w:val="0"/>
          <w:color w:val="auto"/>
          <w:kern w:val="2"/>
          <w:sz w:val="32"/>
          <w:szCs w:val="32"/>
          <w:highlight w:val="none"/>
          <w:lang w:val="en-US" w:eastAsia="zh-CN" w:bidi="ar-SA"/>
        </w:rPr>
        <w:t>万元，指标完成率100%。</w:t>
      </w:r>
    </w:p>
    <w:p>
      <w:pPr>
        <w:pStyle w:val="5"/>
        <w:ind w:firstLine="960" w:firstLineChars="300"/>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w:t>
      </w:r>
      <w:r>
        <w:rPr>
          <w:rFonts w:hint="eastAsia"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cs="Times New Roman"/>
          <w:b w:val="0"/>
          <w:bCs w:val="0"/>
          <w:color w:val="auto"/>
          <w:kern w:val="2"/>
          <w:sz w:val="32"/>
          <w:szCs w:val="32"/>
          <w:highlight w:val="none"/>
          <w:lang w:val="en-US" w:eastAsia="zh-CN" w:bidi="ar-SA"/>
        </w:rPr>
        <w:t>沥青铺摊成本</w:t>
      </w:r>
      <w:r>
        <w:rPr>
          <w:rFonts w:hint="eastAsia" w:ascii="Times New Roman" w:hAnsi="Times New Roman" w:eastAsia="仿宋_GB2312" w:cs="Times New Roman"/>
          <w:b w:val="0"/>
          <w:bCs w:val="0"/>
          <w:color w:val="auto"/>
          <w:kern w:val="2"/>
          <w:sz w:val="32"/>
          <w:szCs w:val="32"/>
          <w:highlight w:val="none"/>
          <w:lang w:val="en-US" w:eastAsia="zh-CN" w:bidi="ar-SA"/>
        </w:rPr>
        <w:t>，指标值：≤</w:t>
      </w:r>
      <w:r>
        <w:rPr>
          <w:rFonts w:hint="eastAsia" w:cs="Times New Roman"/>
          <w:b w:val="0"/>
          <w:bCs w:val="0"/>
          <w:color w:val="auto"/>
          <w:kern w:val="2"/>
          <w:sz w:val="32"/>
          <w:szCs w:val="32"/>
          <w:highlight w:val="none"/>
          <w:lang w:val="en-US" w:eastAsia="zh-CN" w:bidi="ar-SA"/>
        </w:rPr>
        <w:t>900</w:t>
      </w:r>
      <w:r>
        <w:rPr>
          <w:rFonts w:hint="eastAsia" w:ascii="Times New Roman" w:hAnsi="Times New Roman" w:eastAsia="仿宋_GB2312" w:cs="Times New Roman"/>
          <w:b w:val="0"/>
          <w:bCs w:val="0"/>
          <w:color w:val="auto"/>
          <w:kern w:val="2"/>
          <w:sz w:val="32"/>
          <w:szCs w:val="32"/>
          <w:highlight w:val="none"/>
          <w:lang w:val="en-US" w:eastAsia="zh-CN" w:bidi="ar-SA"/>
        </w:rPr>
        <w:t>万元，实际完成值：</w:t>
      </w:r>
      <w:r>
        <w:rPr>
          <w:rFonts w:hint="eastAsia" w:cs="Times New Roman"/>
          <w:b w:val="0"/>
          <w:bCs w:val="0"/>
          <w:color w:val="auto"/>
          <w:kern w:val="2"/>
          <w:sz w:val="32"/>
          <w:szCs w:val="32"/>
          <w:highlight w:val="none"/>
          <w:lang w:val="en-US" w:eastAsia="zh-CN" w:bidi="ar-SA"/>
        </w:rPr>
        <w:t>900</w:t>
      </w:r>
      <w:r>
        <w:rPr>
          <w:rFonts w:hint="eastAsia" w:ascii="Times New Roman" w:hAnsi="Times New Roman" w:eastAsia="仿宋_GB2312" w:cs="Times New Roman"/>
          <w:b w:val="0"/>
          <w:bCs w:val="0"/>
          <w:color w:val="auto"/>
          <w:kern w:val="2"/>
          <w:sz w:val="32"/>
          <w:szCs w:val="32"/>
          <w:highlight w:val="none"/>
          <w:lang w:val="en-US" w:eastAsia="zh-CN" w:bidi="ar-SA"/>
        </w:rPr>
        <w:t>万元，指标完成率100%。</w:t>
      </w:r>
    </w:p>
    <w:p>
      <w:pPr>
        <w:pStyle w:val="5"/>
        <w:ind w:firstLine="960" w:firstLineChars="300"/>
        <w:rPr>
          <w:rFonts w:hint="eastAsia"/>
          <w:lang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指标</w:t>
      </w:r>
      <w:r>
        <w:rPr>
          <w:rFonts w:hint="eastAsia" w:cs="Times New Roman"/>
          <w:b w:val="0"/>
          <w:bCs w:val="0"/>
          <w:color w:val="auto"/>
          <w:kern w:val="2"/>
          <w:sz w:val="32"/>
          <w:szCs w:val="32"/>
          <w:highlight w:val="none"/>
          <w:lang w:val="en-US" w:eastAsia="zh-CN" w:bidi="ar-SA"/>
        </w:rPr>
        <w:t>4</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cs="Times New Roman"/>
          <w:b w:val="0"/>
          <w:bCs w:val="0"/>
          <w:color w:val="auto"/>
          <w:kern w:val="2"/>
          <w:sz w:val="32"/>
          <w:szCs w:val="32"/>
          <w:highlight w:val="none"/>
          <w:lang w:val="en-US" w:eastAsia="zh-CN" w:bidi="ar-SA"/>
        </w:rPr>
        <w:t>混泥土成本</w:t>
      </w:r>
      <w:r>
        <w:rPr>
          <w:rFonts w:hint="eastAsia" w:ascii="Times New Roman" w:hAnsi="Times New Roman" w:eastAsia="仿宋_GB2312" w:cs="Times New Roman"/>
          <w:b w:val="0"/>
          <w:bCs w:val="0"/>
          <w:color w:val="auto"/>
          <w:kern w:val="2"/>
          <w:sz w:val="32"/>
          <w:szCs w:val="32"/>
          <w:highlight w:val="none"/>
          <w:lang w:val="en-US" w:eastAsia="zh-CN" w:bidi="ar-SA"/>
        </w:rPr>
        <w:t>，指标值：≤</w:t>
      </w:r>
      <w:r>
        <w:rPr>
          <w:rFonts w:hint="eastAsia" w:cs="Times New Roman"/>
          <w:b w:val="0"/>
          <w:bCs w:val="0"/>
          <w:color w:val="auto"/>
          <w:kern w:val="2"/>
          <w:sz w:val="32"/>
          <w:szCs w:val="32"/>
          <w:highlight w:val="none"/>
          <w:lang w:val="en-US" w:eastAsia="zh-CN" w:bidi="ar-SA"/>
        </w:rPr>
        <w:t>100</w:t>
      </w:r>
      <w:r>
        <w:rPr>
          <w:rFonts w:hint="eastAsia" w:ascii="Times New Roman" w:hAnsi="Times New Roman" w:eastAsia="仿宋_GB2312" w:cs="Times New Roman"/>
          <w:b w:val="0"/>
          <w:bCs w:val="0"/>
          <w:color w:val="auto"/>
          <w:kern w:val="2"/>
          <w:sz w:val="32"/>
          <w:szCs w:val="32"/>
          <w:highlight w:val="none"/>
          <w:lang w:val="en-US" w:eastAsia="zh-CN" w:bidi="ar-SA"/>
        </w:rPr>
        <w:t>万元，实际完成值：</w:t>
      </w:r>
      <w:r>
        <w:rPr>
          <w:rFonts w:hint="eastAsia" w:cs="Times New Roman"/>
          <w:b w:val="0"/>
          <w:bCs w:val="0"/>
          <w:color w:val="auto"/>
          <w:kern w:val="2"/>
          <w:sz w:val="32"/>
          <w:szCs w:val="32"/>
          <w:highlight w:val="none"/>
          <w:lang w:val="en-US" w:eastAsia="zh-CN" w:bidi="ar-SA"/>
        </w:rPr>
        <w:t>100</w:t>
      </w:r>
      <w:r>
        <w:rPr>
          <w:rFonts w:hint="eastAsia" w:ascii="Times New Roman" w:hAnsi="Times New Roman" w:eastAsia="仿宋_GB2312" w:cs="Times New Roman"/>
          <w:b w:val="0"/>
          <w:bCs w:val="0"/>
          <w:color w:val="auto"/>
          <w:kern w:val="2"/>
          <w:sz w:val="32"/>
          <w:szCs w:val="32"/>
          <w:highlight w:val="none"/>
          <w:lang w:val="en-US" w:eastAsia="zh-CN" w:bidi="ar-SA"/>
        </w:rPr>
        <w:t>万元，指标完成率100%。</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0"/>
        <w:rPr>
          <w:rFonts w:hint="eastAsia"/>
          <w:highlight w:val="none"/>
          <w:lang w:val="en-US" w:eastAsia="zh-CN"/>
        </w:rPr>
      </w:pPr>
      <w:r>
        <w:rPr>
          <w:rFonts w:hint="eastAsia" w:ascii="仿宋_GB2312" w:hAnsi="仿宋_GB2312" w:eastAsia="仿宋_GB2312" w:cs="仿宋_GB2312"/>
          <w:sz w:val="32"/>
          <w:szCs w:val="32"/>
          <w:lang w:val="en-US" w:eastAsia="zh-CN"/>
        </w:rPr>
        <w:t>项目效益类指标包括项目</w:t>
      </w:r>
      <w:r>
        <w:rPr>
          <w:rFonts w:hint="eastAsia" w:ascii="仿宋_GB2312" w:hAnsi="仿宋_GB2312" w:eastAsia="仿宋_GB2312" w:cs="仿宋_GB2312"/>
          <w:sz w:val="32"/>
          <w:szCs w:val="32"/>
          <w:highlight w:val="none"/>
          <w:lang w:val="en-US" w:eastAsia="zh-CN"/>
        </w:rPr>
        <w:t>实施效益和满意度两方面的内容，由</w:t>
      </w:r>
      <w:r>
        <w:rPr>
          <w:rFonts w:hint="eastAsia" w:ascii="仿宋_GB2312" w:hAnsi="仿宋_GB2312" w:cs="仿宋_GB2312"/>
          <w:sz w:val="32"/>
          <w:szCs w:val="32"/>
          <w:highlight w:val="none"/>
          <w:lang w:val="en-US" w:eastAsia="zh-CN"/>
        </w:rPr>
        <w:t>0</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50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1.实施效益</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b w:val="0"/>
          <w:bCs w:val="0"/>
          <w:kern w:val="2"/>
          <w:sz w:val="32"/>
          <w:szCs w:val="32"/>
          <w:highlight w:val="none"/>
          <w:lang w:val="en-US" w:eastAsia="zh-CN" w:bidi="ar-SA"/>
        </w:rPr>
        <w:t>无</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cs="Times New Roman"/>
          <w:b w:val="0"/>
          <w:bCs w:val="0"/>
          <w:color w:val="auto"/>
          <w:kern w:val="2"/>
          <w:sz w:val="32"/>
          <w:szCs w:val="32"/>
          <w:highlight w:val="none"/>
          <w:lang w:val="en-US" w:eastAsia="zh-CN" w:bidi="ar-SA"/>
        </w:rPr>
        <w:t>无</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pacing w:line="560" w:lineRule="exact"/>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霍尔果斯经济开发区清水河配套园区新材料产业园道路建设项目</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2000万</w:t>
      </w:r>
      <w:r>
        <w:rPr>
          <w:rFonts w:hint="eastAsia" w:ascii="仿宋_GB2312" w:hAnsi="仿宋_GB2312" w:eastAsia="仿宋_GB2312" w:cs="仿宋_GB2312"/>
          <w:color w:val="auto"/>
          <w:kern w:val="2"/>
          <w:sz w:val="32"/>
          <w:szCs w:val="32"/>
          <w:lang w:val="en-US" w:eastAsia="zh-CN" w:bidi="ar-SA"/>
        </w:rPr>
        <w:t>元，全年预算</w:t>
      </w:r>
      <w:r>
        <w:rPr>
          <w:rFonts w:hint="eastAsia" w:ascii="仿宋_GB2312" w:hAnsi="仿宋_GB2312" w:cs="仿宋_GB2312"/>
          <w:color w:val="auto"/>
          <w:kern w:val="2"/>
          <w:sz w:val="32"/>
          <w:szCs w:val="32"/>
          <w:lang w:val="en-US" w:eastAsia="zh-CN" w:bidi="ar-SA"/>
        </w:rPr>
        <w:t>2000万</w:t>
      </w:r>
      <w:r>
        <w:rPr>
          <w:rFonts w:hint="eastAsia" w:ascii="仿宋_GB2312" w:hAnsi="仿宋_GB2312" w:eastAsia="仿宋_GB2312" w:cs="仿宋_GB2312"/>
          <w:color w:val="auto"/>
          <w:kern w:val="2"/>
          <w:sz w:val="32"/>
          <w:szCs w:val="32"/>
          <w:lang w:val="en-US" w:eastAsia="zh-CN" w:bidi="ar-SA"/>
        </w:rPr>
        <w:t>元，实际支出</w:t>
      </w:r>
      <w:r>
        <w:rPr>
          <w:rFonts w:hint="eastAsia" w:ascii="仿宋_GB2312" w:hAnsi="仿宋_GB2312" w:cs="仿宋_GB2312"/>
          <w:color w:val="auto"/>
          <w:kern w:val="2"/>
          <w:sz w:val="32"/>
          <w:szCs w:val="32"/>
          <w:lang w:val="en-US" w:eastAsia="zh-CN" w:bidi="ar-SA"/>
        </w:rPr>
        <w:t>2000万</w:t>
      </w:r>
      <w:r>
        <w:rPr>
          <w:rFonts w:hint="eastAsia" w:ascii="仿宋_GB2312" w:hAnsi="仿宋_GB2312" w:eastAsia="仿宋_GB2312" w:cs="仿宋_GB2312"/>
          <w:color w:val="auto"/>
          <w:kern w:val="2"/>
          <w:sz w:val="32"/>
          <w:szCs w:val="32"/>
          <w:lang w:val="en-US" w:eastAsia="zh-CN" w:bidi="ar-SA"/>
        </w:rPr>
        <w:t>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bookmarkStart w:id="15" w:name="_Toc68703842"/>
      <w:r>
        <w:rPr>
          <w:rFonts w:hint="eastAsia" w:ascii="仿宋_GB2312" w:hAnsi="仿宋_GB2312" w:cs="仿宋_GB2312"/>
          <w:color w:val="auto"/>
          <w:kern w:val="2"/>
          <w:sz w:val="32"/>
          <w:szCs w:val="32"/>
          <w:lang w:val="en-US" w:eastAsia="zh-CN" w:bidi="ar-SA"/>
        </w:rPr>
        <w:t>。</w:t>
      </w:r>
      <w:r>
        <w:rPr>
          <w:rFonts w:hint="eastAsia" w:eastAsia="仿宋_GB2312"/>
          <w:kern w:val="2"/>
          <w:sz w:val="32"/>
          <w:szCs w:val="32"/>
        </w:rPr>
        <w:t>项目绩效指标总体完成率为</w:t>
      </w:r>
      <w:r>
        <w:rPr>
          <w:rFonts w:hint="eastAsia"/>
          <w:kern w:val="2"/>
          <w:sz w:val="32"/>
          <w:szCs w:val="32"/>
          <w:lang w:val="en-US" w:eastAsia="zh-CN"/>
        </w:rPr>
        <w:t>100</w:t>
      </w:r>
      <w:r>
        <w:rPr>
          <w:rFonts w:hint="eastAsia" w:eastAsia="仿宋_GB2312"/>
          <w:kern w:val="2"/>
          <w:sz w:val="32"/>
          <w:szCs w:val="32"/>
        </w:rPr>
        <w:t>%，</w:t>
      </w:r>
      <w:r>
        <w:rPr>
          <w:rFonts w:hint="eastAsia" w:eastAsia="仿宋_GB2312"/>
          <w:kern w:val="2"/>
          <w:sz w:val="32"/>
          <w:szCs w:val="32"/>
          <w:lang w:eastAsia="zh-Hans"/>
        </w:rPr>
        <w:t>总体</w:t>
      </w:r>
      <w:r>
        <w:rPr>
          <w:rFonts w:hint="eastAsia" w:eastAsia="仿宋_GB2312"/>
          <w:kern w:val="2"/>
          <w:sz w:val="32"/>
          <w:szCs w:val="32"/>
        </w:rPr>
        <w:t>偏差率为</w:t>
      </w:r>
      <w:r>
        <w:rPr>
          <w:rFonts w:hint="eastAsia"/>
          <w:kern w:val="2"/>
          <w:sz w:val="32"/>
          <w:szCs w:val="32"/>
          <w:lang w:val="en-US" w:eastAsia="zh-CN"/>
        </w:rPr>
        <w:t>0</w:t>
      </w:r>
      <w:r>
        <w:rPr>
          <w:rFonts w:hint="eastAsia" w:eastAsia="仿宋_GB2312"/>
          <w:kern w:val="2"/>
          <w:sz w:val="32"/>
          <w:szCs w:val="32"/>
        </w:rPr>
        <w:t>%,</w:t>
      </w:r>
      <w:r>
        <w:rPr>
          <w:rFonts w:hint="eastAsia" w:eastAsia="仿宋_GB2312"/>
          <w:kern w:val="2"/>
          <w:sz w:val="32"/>
          <w:szCs w:val="32"/>
          <w:lang w:eastAsia="zh-Hans"/>
        </w:rPr>
        <w:t>偏差</w:t>
      </w:r>
      <w:r>
        <w:rPr>
          <w:rFonts w:hint="eastAsia" w:eastAsia="仿宋_GB2312"/>
          <w:kern w:val="2"/>
          <w:sz w:val="32"/>
          <w:szCs w:val="32"/>
        </w:rPr>
        <w:t>原因</w:t>
      </w:r>
      <w:r>
        <w:rPr>
          <w:rFonts w:hint="eastAsia"/>
          <w:kern w:val="2"/>
          <w:sz w:val="32"/>
          <w:szCs w:val="32"/>
          <w:lang w:eastAsia="zh-CN"/>
        </w:rPr>
        <w:t>无</w:t>
      </w:r>
      <w:r>
        <w:rPr>
          <w:rFonts w:hint="eastAsia" w:eastAsia="仿宋_GB2312"/>
          <w:kern w:val="2"/>
          <w:sz w:val="32"/>
          <w:szCs w:val="32"/>
        </w:rPr>
        <w:t>，</w:t>
      </w:r>
      <w:r>
        <w:rPr>
          <w:rFonts w:hint="eastAsia" w:eastAsia="仿宋_GB2312"/>
          <w:kern w:val="2"/>
          <w:sz w:val="32"/>
          <w:szCs w:val="32"/>
          <w:lang w:eastAsia="zh-Hans"/>
        </w:rPr>
        <w:t>改进</w:t>
      </w:r>
      <w:r>
        <w:rPr>
          <w:rFonts w:hint="eastAsia" w:eastAsia="仿宋_GB2312"/>
          <w:kern w:val="2"/>
          <w:sz w:val="32"/>
          <w:szCs w:val="32"/>
        </w:rPr>
        <w:t>措施</w:t>
      </w:r>
      <w:r>
        <w:rPr>
          <w:rFonts w:hint="eastAsia"/>
          <w:kern w:val="2"/>
          <w:sz w:val="32"/>
          <w:szCs w:val="32"/>
          <w:lang w:eastAsia="zh-CN"/>
        </w:rPr>
        <w:t>无</w:t>
      </w:r>
      <w:r>
        <w:rPr>
          <w:rFonts w:hint="eastAsia" w:eastAsia="仿宋_GB2312"/>
          <w:kern w:val="2"/>
          <w:sz w:val="32"/>
          <w:szCs w:val="32"/>
        </w:rPr>
        <w:t>。</w:t>
      </w:r>
    </w:p>
    <w:p>
      <w:pPr>
        <w:spacing w:line="560" w:lineRule="exact"/>
        <w:rPr>
          <w:rFonts w:hint="eastAsia" w:ascii="Times New Roman" w:hAnsi="Times New Roman" w:eastAsia="黑体" w:cs="Times New Roman"/>
          <w:bCs/>
          <w:color w:val="auto"/>
          <w:sz w:val="32"/>
          <w:szCs w:val="32"/>
          <w:lang w:val="en-US" w:eastAsia="zh-CN"/>
        </w:rPr>
      </w:pPr>
      <w:r>
        <w:rPr>
          <w:rFonts w:hint="eastAsia" w:eastAsia="黑体" w:cs="Times New Roman"/>
          <w:bCs/>
          <w:color w:val="auto"/>
          <w:sz w:val="32"/>
          <w:szCs w:val="32"/>
          <w:lang w:val="en-US" w:eastAsia="zh-CN"/>
        </w:rPr>
        <w:t>六</w:t>
      </w:r>
      <w:r>
        <w:rPr>
          <w:rFonts w:hint="eastAsia" w:ascii="Times New Roman" w:hAnsi="Times New Roman" w:eastAsia="黑体" w:cs="Times New Roman"/>
          <w:bCs/>
          <w:color w:val="auto"/>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1.在编制绩效项目支出绩效工作过程中，预算编制工作有待细化，预算编制不够明确和细化，整体绩效预算编制的合理性需要提高，预算执行力度还要进一步加强。</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2.相关工作人员经验不足，绩效管理意识不高，对于指标的编制还不够完善。</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1.在项目实施前召开项目决策会议，利用集体决策的意见确定是否实施该项目，做到项目支出费用预测精准，能保证支持完成该项目内容，留足项目发行资料的审核时间。</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Style w:val="2"/>
        <w:jc w:val="both"/>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Hans" w:bidi="ar-SA"/>
        </w:rPr>
        <w:t>本项目无其他需说明的问题</w:t>
      </w:r>
      <w:r>
        <w:rPr>
          <w:rFonts w:hint="eastAsia" w:ascii="仿宋_GB2312" w:hAnsi="仿宋_GB2312" w:eastAsia="仿宋_GB2312" w:cs="仿宋_GB2312"/>
          <w:b w:val="0"/>
          <w:bCs w:val="0"/>
          <w:kern w:val="2"/>
          <w:sz w:val="32"/>
          <w:szCs w:val="32"/>
          <w:highlight w:val="none"/>
          <w:lang w:val="en-US" w:eastAsia="zh-CN" w:bidi="ar-SA"/>
        </w:rPr>
        <w:t>。</w:t>
      </w: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tbl>
      <w:tblPr>
        <w:tblStyle w:val="12"/>
        <w:tblW w:w="9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79"/>
        <w:gridCol w:w="814"/>
        <w:gridCol w:w="820"/>
        <w:gridCol w:w="834"/>
        <w:gridCol w:w="776"/>
        <w:gridCol w:w="487"/>
        <w:gridCol w:w="1145"/>
        <w:gridCol w:w="1021"/>
        <w:gridCol w:w="475"/>
        <w:gridCol w:w="365"/>
        <w:gridCol w:w="465"/>
        <w:gridCol w:w="475"/>
        <w:gridCol w:w="333"/>
        <w:gridCol w:w="5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912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912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72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霍尔果斯经济开发区清水河配套园区新材料产业园道路建设项目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0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霍尔果斯经济开发区清水河配套园区管理委员会</w:t>
            </w:r>
          </w:p>
        </w:tc>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16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霍尔果斯经济开发区清水河配套园区管理委员会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3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2000.00</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87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66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2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7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清水河配套园区建设工程项目管理相关职能，依据《霍尔果斯经济开发区清水河配套园区新材料产业园道路建设项目》合同约定，该项目于2022年11月开工，建新材料产业园内道路13.88千米，红线宽度20米及其配套附属设施；</w:t>
            </w:r>
            <w:bookmarkStart w:id="22" w:name="_GoBack"/>
            <w:bookmarkEnd w:id="22"/>
            <w:r>
              <w:rPr>
                <w:rFonts w:hint="eastAsia" w:ascii="宋体" w:hAnsi="宋体" w:eastAsia="宋体" w:cs="宋体"/>
                <w:i w:val="0"/>
                <w:color w:val="000000"/>
                <w:kern w:val="0"/>
                <w:sz w:val="18"/>
                <w:szCs w:val="18"/>
                <w:u w:val="none"/>
                <w:lang w:val="en-US" w:eastAsia="zh-CN" w:bidi="ar"/>
              </w:rPr>
              <w:t>截至2022年底已完成总工程量44%，剩余新材料产业园内道路及附属设施未完成总体验收。该项目总投资13500万元，此次申请2000万元，用于支付该项目工程进度款，该项目计划于2023年3月开工完成剩余56%。项目并计划于2023年12月完成办理该项目的竣工验收，投入使用。项目符合有关法律、法规、政策、制度等规定的要求。项目完成后配套园区内生态环境将有效改善，营商环境将有效提升，为园区招商引资工作建立良好基础。</w:t>
            </w:r>
          </w:p>
        </w:tc>
        <w:tc>
          <w:tcPr>
            <w:tcW w:w="366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新建新材料产业园内道路 13.88 千米，红线宽度 20 米，主路面 10 米及其配套附属设施施工完毕，并具备使用条件，优化清水河配套园区营商环境，打造园区亮点，吸引企业入驻。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9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0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9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新建道路工程量</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&gt;=13.88千米</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13.88千米</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新建红线宽度</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&gt;=20米</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20米</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新建道路工程数量</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&gt;=6条</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6条</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项目资金支付率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项目按计划开工时间</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=2023年3月20日之前</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2023年3月20日之前</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管沟开挖成本</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&lt;=650万元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650万元</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管线成本</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&lt;=350万元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350万元</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沥青铺摊成本</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&lt;=900万元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900万元</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9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混凝土成本</w:t>
            </w:r>
          </w:p>
        </w:tc>
        <w:tc>
          <w:tcPr>
            <w:tcW w:w="1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100万元</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647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jc w:val="both"/>
        <w:rPr>
          <w:rFonts w:hint="eastAsia"/>
          <w:lang w:val="en-US" w:eastAsia="zh-CN"/>
        </w:rPr>
        <w:sectPr>
          <w:headerReference r:id="rId3" w:type="default"/>
          <w:pgSz w:w="11910" w:h="16830"/>
          <w:pgMar w:top="1531" w:right="1984" w:bottom="1531" w:left="2098" w:header="0" w:footer="0" w:gutter="0"/>
          <w:cols w:space="720" w:num="1"/>
        </w:sectPr>
      </w:pPr>
    </w:p>
    <w:p/>
    <w:p>
      <w:pPr>
        <w:jc w:val="center"/>
        <w:rPr>
          <w:rFonts w:hint="eastAsia"/>
          <w:b/>
          <w:bCs/>
          <w:sz w:val="28"/>
          <w:szCs w:val="40"/>
        </w:rPr>
      </w:pPr>
      <w:bookmarkStart w:id="20" w:name="_Toc26499_WPSOffice_Level2"/>
      <w:bookmarkStart w:id="21" w:name="_Toc30064_WPSOffice_Level1"/>
      <w:r>
        <w:rPr>
          <w:rFonts w:hint="eastAsia"/>
          <w:b/>
          <w:bCs/>
          <w:sz w:val="28"/>
          <w:szCs w:val="40"/>
          <w:lang w:val="en-US" w:eastAsia="zh-CN"/>
        </w:rPr>
        <w:t>霍尔果斯经济开发区清水河配套园区新材料产业园道路建设项目</w:t>
      </w:r>
      <w:r>
        <w:rPr>
          <w:rFonts w:hint="eastAsia"/>
          <w:b/>
          <w:bCs/>
          <w:sz w:val="28"/>
          <w:szCs w:val="40"/>
        </w:rPr>
        <w:t>绩效评价指标体系及综合评分表</w:t>
      </w:r>
      <w:bookmarkEnd w:id="20"/>
      <w:bookmarkEnd w:id="21"/>
    </w:p>
    <w:p>
      <w:pPr>
        <w:spacing w:before="91" w:line="217" w:lineRule="auto"/>
        <w:ind w:left="3578"/>
        <w:rPr>
          <w:rFonts w:ascii="宋体" w:hAnsi="宋体" w:eastAsia="宋体" w:cs="宋体"/>
          <w:sz w:val="28"/>
          <w:szCs w:val="28"/>
        </w:rPr>
      </w:pPr>
    </w:p>
    <w:tbl>
      <w:tblPr>
        <w:tblStyle w:val="29"/>
        <w:tblW w:w="127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10"/>
        <w:gridCol w:w="1"/>
        <w:gridCol w:w="9"/>
        <w:gridCol w:w="749"/>
        <w:gridCol w:w="1"/>
        <w:gridCol w:w="10"/>
        <w:gridCol w:w="869"/>
        <w:gridCol w:w="10"/>
        <w:gridCol w:w="20"/>
        <w:gridCol w:w="2348"/>
        <w:gridCol w:w="10"/>
        <w:gridCol w:w="5196"/>
        <w:gridCol w:w="10"/>
        <w:gridCol w:w="1309"/>
        <w:gridCol w:w="10"/>
        <w:gridCol w:w="1364"/>
        <w:gridCol w:w="10"/>
        <w:gridCol w:w="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684" w:hRule="atLeast"/>
        </w:trPr>
        <w:tc>
          <w:tcPr>
            <w:tcW w:w="824"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一级</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指标</w:t>
            </w:r>
          </w:p>
        </w:tc>
        <w:tc>
          <w:tcPr>
            <w:tcW w:w="770" w:type="dxa"/>
            <w:gridSpan w:val="5"/>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二级</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指标</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三级</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指标</w:t>
            </w:r>
          </w:p>
        </w:tc>
        <w:tc>
          <w:tcPr>
            <w:tcW w:w="2388" w:type="dxa"/>
            <w:gridSpan w:val="4"/>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指标解释</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指标说明</w:t>
            </w:r>
          </w:p>
        </w:tc>
        <w:tc>
          <w:tcPr>
            <w:tcW w:w="1309"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权重</w:t>
            </w:r>
          </w:p>
        </w:tc>
        <w:tc>
          <w:tcPr>
            <w:tcW w:w="1384"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2916" w:hRule="atLeast"/>
        </w:trPr>
        <w:tc>
          <w:tcPr>
            <w:tcW w:w="824" w:type="dxa"/>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决策</w:t>
            </w:r>
          </w:p>
        </w:tc>
        <w:tc>
          <w:tcPr>
            <w:tcW w:w="770" w:type="dxa"/>
            <w:gridSpan w:val="5"/>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 目 立项</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88"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  律法规、相关政策、发 展规划以及部门职责，</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用以反映和考核项目 立项依据情况.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①项目立项是否符合国家法律法规、国民经济发展规 划和相关政策；</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②项目立项是否符合行业发展规划和政策要求；</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③项目立项是否与部门职责范围相符，属于部门履职 所 雷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④项目是否属于公共财政支持范围，是否符合中央， 地方事权支出责任划分原则：</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⑤项目是否与相关部门同类项目或部门内部相关项 目重复。</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138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1428" w:hRule="atLeast"/>
        </w:trPr>
        <w:tc>
          <w:tcPr>
            <w:tcW w:w="824" w:type="dxa"/>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70" w:type="dxa"/>
            <w:gridSpan w:val="5"/>
            <w:vMerge w:val="continue"/>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88" w:type="dxa"/>
            <w:gridSpan w:val="4"/>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 否符合相关要求，用以</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反映和考核项目立项 的规范情况。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①项目是否按照规定的程序申请设立；</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②审批文件，材料是否符合相关要求；</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③事前是否已经过必要的可行性研究、专家论证、风 险评估、绩效评估、集体决策。</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138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2282" w:hRule="atLeast"/>
        </w:trPr>
        <w:tc>
          <w:tcPr>
            <w:tcW w:w="824" w:type="dxa"/>
            <w:vMerge w:val="continue"/>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770" w:type="dxa"/>
            <w:gridSpan w:val="5"/>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目标</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88"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 标是否依据充分，是否 符合客观实际，用以反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映和考核项目绩效目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标与项目实施的相符 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(如未设定预算绩效目标，也可考核其他工作任务目 标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①项目是否有绩效目标；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②项目绩效目标与实际工作内容是否具有相关性； ③项目预期产出效益和效果是否符合正常的业绩水  平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④是否与预算确定的项目投资额或资金量相匹配，</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138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eastAsia"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8" w:hRule="atLeast"/>
        </w:trPr>
        <w:tc>
          <w:tcPr>
            <w:tcW w:w="844" w:type="dxa"/>
            <w:gridSpan w:val="4"/>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60" w:type="dxa"/>
            <w:gridSpan w:val="3"/>
            <w:vAlign w:val="top"/>
          </w:tcPr>
          <w:p>
            <w:pPr>
              <w:widowControl/>
              <w:spacing w:line="0" w:lineRule="atLeast"/>
              <w:jc w:val="center"/>
              <w:rPr>
                <w:rFonts w:ascii="Times New Roman" w:hAnsi="Times New Roman" w:cs="Times New Roman"/>
                <w:color w:val="000000"/>
                <w:kern w:val="0"/>
                <w:sz w:val="22"/>
                <w:szCs w:val="22"/>
              </w:rPr>
            </w:pPr>
          </w:p>
        </w:tc>
        <w:tc>
          <w:tcPr>
            <w:tcW w:w="899"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48"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  绩效指标是否清晰、细 化、可衡量等，用以反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映和考核项目绩效目 标的明细化情况。</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①是否将项目绩效目标细化分解为具体的绩效指标 ②是否通过清晰、可衡量的指标值予以体现；</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③是否与项目目标任务数或计划数相对应，</w:t>
            </w:r>
          </w:p>
        </w:tc>
        <w:tc>
          <w:tcPr>
            <w:tcW w:w="131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eastAsia" w:ascii="Times New Roman" w:hAnsi="Times New Roman" w:cs="Times New Roman"/>
                <w:color w:val="000000"/>
                <w:kern w:val="0"/>
                <w:sz w:val="22"/>
                <w:szCs w:val="22"/>
                <w:lang w:eastAsia="zh-CN"/>
              </w:rPr>
            </w:pPr>
            <w:r>
              <w:rPr>
                <w:rFonts w:hint="eastAsia" w:ascii="Times New Roman" w:hAnsi="Times New Roman" w:cs="Times New Roman"/>
                <w:color w:val="000000"/>
                <w:kern w:val="0"/>
                <w:sz w:val="22"/>
                <w:szCs w:val="22"/>
                <w:lang w:val="en-US" w:eastAsia="zh-CN"/>
              </w:rPr>
              <w:t>3</w:t>
            </w:r>
          </w:p>
        </w:tc>
        <w:tc>
          <w:tcPr>
            <w:tcW w:w="139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08" w:hRule="atLeast"/>
        </w:trPr>
        <w:tc>
          <w:tcPr>
            <w:tcW w:w="844" w:type="dxa"/>
            <w:gridSpan w:val="4"/>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60" w:type="dxa"/>
            <w:gridSpan w:val="3"/>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 投入</w:t>
            </w:r>
          </w:p>
        </w:tc>
        <w:tc>
          <w:tcPr>
            <w:tcW w:w="89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48"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  过科学论证，有明确标 准，资金额度与年度目 标是否相适应，用以反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映和考核项目预算编 制的科学性、合理性情 况 ，</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①预算编制是否经过科学论证</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②预算内容与项目内容是否匹配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③预算额度测算依据是否充分，是否按照标准编制 ④预算确定的项目投资额或资金量是否与工作任务 相匹配。</w:t>
            </w:r>
          </w:p>
        </w:tc>
        <w:tc>
          <w:tcPr>
            <w:tcW w:w="131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eastAsia" w:ascii="Times New Roman" w:hAnsi="Times New Roman" w:cs="Times New Roman"/>
                <w:color w:val="000000"/>
                <w:kern w:val="0"/>
                <w:sz w:val="22"/>
                <w:szCs w:val="22"/>
                <w:lang w:eastAsia="zh-CN"/>
              </w:rPr>
            </w:pPr>
            <w:r>
              <w:rPr>
                <w:rFonts w:hint="eastAsia" w:ascii="Times New Roman" w:hAnsi="Times New Roman" w:cs="Times New Roman"/>
                <w:color w:val="000000"/>
                <w:kern w:val="0"/>
                <w:sz w:val="22"/>
                <w:szCs w:val="22"/>
                <w:lang w:val="en-US" w:eastAsia="zh-CN"/>
              </w:rPr>
              <w:t>4</w:t>
            </w:r>
          </w:p>
        </w:tc>
        <w:tc>
          <w:tcPr>
            <w:tcW w:w="139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27" w:hRule="atLeast"/>
        </w:trPr>
        <w:tc>
          <w:tcPr>
            <w:tcW w:w="844" w:type="dxa"/>
            <w:gridSpan w:val="4"/>
            <w:vMerge w:val="continue"/>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760" w:type="dxa"/>
            <w:gridSpan w:val="3"/>
            <w:vMerge w:val="continue"/>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89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48"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  否有测算依据，与补助</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单位或地方实际是否 相适应，用以反映和考</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核项目预算资金分配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的科学性、合理性情 况。</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①预算资金分配依据是否充分</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②资金分配额度是否合理，与项目单位或地方实际是 否相适应。</w:t>
            </w:r>
          </w:p>
        </w:tc>
        <w:tc>
          <w:tcPr>
            <w:tcW w:w="131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eastAsia" w:ascii="Times New Roman" w:hAnsi="Times New Roman" w:cs="Times New Roman"/>
                <w:color w:val="000000"/>
                <w:kern w:val="0"/>
                <w:sz w:val="22"/>
                <w:szCs w:val="22"/>
                <w:lang w:eastAsia="zh-CN"/>
              </w:rPr>
            </w:pPr>
            <w:r>
              <w:rPr>
                <w:rFonts w:hint="eastAsia" w:ascii="Times New Roman" w:hAnsi="Times New Roman" w:cs="Times New Roman"/>
                <w:color w:val="000000"/>
                <w:kern w:val="0"/>
                <w:sz w:val="22"/>
                <w:szCs w:val="22"/>
                <w:lang w:val="en-US" w:eastAsia="zh-CN"/>
              </w:rPr>
              <w:t>4</w:t>
            </w:r>
          </w:p>
        </w:tc>
        <w:tc>
          <w:tcPr>
            <w:tcW w:w="139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eastAsia"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23" w:hRule="atLeast"/>
        </w:trPr>
        <w:tc>
          <w:tcPr>
            <w:tcW w:w="844" w:type="dxa"/>
            <w:gridSpan w:val="4"/>
            <w:vAlign w:val="top"/>
          </w:tcPr>
          <w:p>
            <w:pPr>
              <w:widowControl/>
              <w:spacing w:line="0" w:lineRule="atLeast"/>
              <w:jc w:val="center"/>
              <w:rPr>
                <w:rFonts w:ascii="Times New Roman" w:hAnsi="Times New Roman" w:cs="Times New Roman"/>
                <w:color w:val="000000"/>
                <w:kern w:val="0"/>
                <w:sz w:val="22"/>
                <w:szCs w:val="22"/>
              </w:rPr>
            </w:pPr>
          </w:p>
        </w:tc>
        <w:tc>
          <w:tcPr>
            <w:tcW w:w="760"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 管理</w:t>
            </w:r>
          </w:p>
        </w:tc>
        <w:tc>
          <w:tcPr>
            <w:tcW w:w="89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到位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率</w:t>
            </w:r>
          </w:p>
        </w:tc>
        <w:tc>
          <w:tcPr>
            <w:tcW w:w="2348"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  资金的比率，用以反映</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和考核资金落实情况 对项目实施的总体保 障程度。</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资金到位率=(实际到位资金/预算资金)×100%。</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 一定时期(本年度或项目期)内落实 到具体项目的资金。</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 一定时期(本年度或项目期)内预算安排 到具体项目的资金。</w:t>
            </w:r>
          </w:p>
        </w:tc>
        <w:tc>
          <w:tcPr>
            <w:tcW w:w="131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1394"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1088" w:hRule="atLeast"/>
        </w:trPr>
        <w:tc>
          <w:tcPr>
            <w:tcW w:w="834" w:type="dxa"/>
            <w:gridSpan w:val="2"/>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59" w:type="dxa"/>
            <w:gridSpan w:val="3"/>
            <w:vAlign w:val="top"/>
          </w:tcPr>
          <w:p>
            <w:pPr>
              <w:widowControl/>
              <w:spacing w:line="0" w:lineRule="atLeast"/>
              <w:jc w:val="center"/>
              <w:rPr>
                <w:rFonts w:ascii="Times New Roman" w:hAnsi="Times New Roman" w:cs="Times New Roman"/>
                <w:color w:val="000000"/>
                <w:kern w:val="0"/>
                <w:sz w:val="22"/>
                <w:szCs w:val="22"/>
              </w:rPr>
            </w:pPr>
          </w:p>
        </w:tc>
        <w:tc>
          <w:tcPr>
            <w:tcW w:w="890" w:type="dxa"/>
            <w:gridSpan w:val="4"/>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率</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  照计划执行，用以反映</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或考核项目预算执行 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预算执行率=(实际支出资金/实际到位资金)×100%。 实际支出资金： 一定时期(本年度或项目期)内项目 实际拨付的资金，</w:t>
            </w:r>
          </w:p>
        </w:tc>
        <w:tc>
          <w:tcPr>
            <w:tcW w:w="132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lang w:val="en-US" w:eastAsia="en-US"/>
              </w:rPr>
            </w:pPr>
            <w:r>
              <w:rPr>
                <w:rFonts w:ascii="Times New Roman" w:hAnsi="Times New Roman" w:cs="Times New Roman"/>
                <w:color w:val="000000"/>
                <w:kern w:val="0"/>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1777" w:hRule="atLeast"/>
        </w:trPr>
        <w:tc>
          <w:tcPr>
            <w:tcW w:w="834" w:type="dxa"/>
            <w:gridSpan w:val="2"/>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5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 管理</w:t>
            </w:r>
          </w:p>
        </w:tc>
        <w:tc>
          <w:tcPr>
            <w:tcW w:w="890"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合相关的财务管理制 度规定，用以反映和考</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核项目资金的规范运 行情况。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①是否符合国家财经法规和财务管理制度以及有关 专项资金管理办法的规定；</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②资金的拨付是否有完整的审批程序和手续；</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③是否符合项目预算批复或合同规定的用途；</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④是否存在截留、挤占、挪用、虚列支出等情况。</w:t>
            </w:r>
          </w:p>
        </w:tc>
        <w:tc>
          <w:tcPr>
            <w:tcW w:w="132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lang w:val="en-US" w:eastAsia="en-US"/>
              </w:rPr>
            </w:pPr>
            <w:r>
              <w:rPr>
                <w:rFonts w:ascii="Times New Roman" w:hAnsi="Times New Roman" w:cs="Times New Roman"/>
                <w:color w:val="000000"/>
                <w:kern w:val="0"/>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1808" w:hRule="atLeast"/>
        </w:trPr>
        <w:tc>
          <w:tcPr>
            <w:tcW w:w="834" w:type="dxa"/>
            <w:gridSpan w:val="2"/>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59" w:type="dxa"/>
            <w:gridSpan w:val="3"/>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 实施</w:t>
            </w:r>
          </w:p>
        </w:tc>
        <w:tc>
          <w:tcPr>
            <w:tcW w:w="890"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  和业务管理制度是否  健全，用以反映和考核 财务和业务管理制度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对项目顺利实施的保 障情况。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①是否已制定或具有相应的财务和业务管理制度 ②财务和业务管理制度是否合法、合规，完整。</w:t>
            </w:r>
          </w:p>
        </w:tc>
        <w:tc>
          <w:tcPr>
            <w:tcW w:w="132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1"/>
          <w:wAfter w:w="20" w:type="dxa"/>
          <w:trHeight w:val="1983" w:hRule="atLeast"/>
        </w:trPr>
        <w:tc>
          <w:tcPr>
            <w:tcW w:w="834" w:type="dxa"/>
            <w:gridSpan w:val="2"/>
            <w:vMerge w:val="continue"/>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759" w:type="dxa"/>
            <w:gridSpan w:val="3"/>
            <w:vMerge w:val="continue"/>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890"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  关管理规定，用以反映</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和考核相关管理制度 的有效执行情况。</w:t>
            </w:r>
          </w:p>
        </w:tc>
        <w:tc>
          <w:tcPr>
            <w:tcW w:w="5206"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①是否遵守相关法律法规和相关管理规定 ②项目调整及支出调整手续是否完备；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③项目合同书、验收报告、技术鉴定等资料是否齐全 并及时归档；</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④项目实施的人员条件、场地设备，信息支撑等是否 落实到位。</w:t>
            </w:r>
          </w:p>
        </w:tc>
        <w:tc>
          <w:tcPr>
            <w:tcW w:w="1329"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2"/>
          <w:wAfter w:w="30" w:type="dxa"/>
          <w:trHeight w:val="1928" w:hRule="atLeast"/>
        </w:trPr>
        <w:tc>
          <w:tcPr>
            <w:tcW w:w="835" w:type="dxa"/>
            <w:gridSpan w:val="3"/>
            <w:vMerge w:val="restart"/>
            <w:tcBorders>
              <w:bottom w:val="nil"/>
            </w:tcBorders>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69"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 数量</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率</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数与计划产出数的比  率，用以反映和考核项</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目产出数量目标的实 现程度。</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实际完成率=(实际产出数/计划产出数)×100%,</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实际产出数： 一定时期(本年度或项目期)内项目实 际产出的产品或提供的服务数量。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计划产出数：项目绩效目标确定的在一定时期(本年 度或项目期)内计划产出的产品或提供的服务数量，</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eastAsia" w:ascii="Times New Roman" w:hAnsi="Times New Roman" w:cs="Times New Roman"/>
                <w:color w:val="000000"/>
                <w:kern w:val="0"/>
                <w:sz w:val="22"/>
                <w:szCs w:val="22"/>
                <w:lang w:eastAsia="zh-CN"/>
              </w:rPr>
            </w:pPr>
            <w:r>
              <w:rPr>
                <w:rFonts w:hint="eastAsia" w:ascii="Times New Roman" w:hAnsi="Times New Roman" w:cs="Times New Roman"/>
                <w:color w:val="000000"/>
                <w:kern w:val="0"/>
                <w:sz w:val="22"/>
                <w:szCs w:val="22"/>
                <w:lang w:val="en-US" w:eastAsia="zh-CN"/>
              </w:rPr>
              <w:t>5</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2"/>
          <w:wAfter w:w="30" w:type="dxa"/>
          <w:trHeight w:val="1708" w:hRule="atLeast"/>
        </w:trPr>
        <w:tc>
          <w:tcPr>
            <w:tcW w:w="835" w:type="dxa"/>
            <w:gridSpan w:val="3"/>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69"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 质量</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达标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率</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产出数与实际产出数  的比率，用以反映和考</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核项目产出质量目标 的实现程度。</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质量达标率=(质量达标产出数/实际产出数)×100%。 质量达标产出数：一定时期(本年度或项目期)内实  际达到既定质量标准的产品或服务数量。既定质量标 准是指项目实施单位设立绩效目标时依据计划标准，</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行业标准，历史标准或其他标准而设定的绩效指标 值。</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lang w:val="en-US" w:eastAsia="en-US"/>
              </w:rPr>
            </w:pPr>
            <w:r>
              <w:rPr>
                <w:rFonts w:ascii="Times New Roman" w:hAnsi="Times New Roman" w:cs="Times New Roman"/>
                <w:color w:val="000000"/>
                <w:kern w:val="0"/>
                <w:sz w:val="22"/>
                <w:szCs w:val="2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2"/>
          <w:wAfter w:w="30" w:type="dxa"/>
          <w:trHeight w:val="1518" w:hRule="atLeast"/>
        </w:trPr>
        <w:tc>
          <w:tcPr>
            <w:tcW w:w="835" w:type="dxa"/>
            <w:gridSpan w:val="3"/>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69"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 时效</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及时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性</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  计划完成时间的比较， 用以反映和考核项目  产出时效目标的实现  程度。</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 的时间</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计划完成时问：按照项目实施计划或相关规定完成该 项目所需的时间，</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15</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2"/>
          <w:wAfter w:w="30" w:type="dxa"/>
          <w:trHeight w:val="2062" w:hRule="atLeast"/>
        </w:trPr>
        <w:tc>
          <w:tcPr>
            <w:tcW w:w="835" w:type="dxa"/>
            <w:gridSpan w:val="3"/>
            <w:vMerge w:val="continue"/>
            <w:tcBorders>
              <w:top w:val="nil"/>
              <w:bottom w:val="nil"/>
            </w:tcBorders>
            <w:vAlign w:val="top"/>
          </w:tcPr>
          <w:p>
            <w:pPr>
              <w:widowControl/>
              <w:spacing w:line="0" w:lineRule="atLeast"/>
              <w:jc w:val="center"/>
              <w:rPr>
                <w:rFonts w:ascii="Times New Roman" w:hAnsi="Times New Roman" w:cs="Times New Roman"/>
                <w:color w:val="000000"/>
                <w:kern w:val="0"/>
                <w:sz w:val="22"/>
                <w:szCs w:val="22"/>
              </w:rPr>
            </w:pPr>
          </w:p>
        </w:tc>
        <w:tc>
          <w:tcPr>
            <w:tcW w:w="769" w:type="dxa"/>
            <w:gridSpan w:val="4"/>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 成本</w:t>
            </w:r>
          </w:p>
        </w:tc>
        <w:tc>
          <w:tcPr>
            <w:tcW w:w="879"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节约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率</w:t>
            </w:r>
          </w:p>
        </w:tc>
        <w:tc>
          <w:tcPr>
            <w:tcW w:w="2368"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标的实际节约成本与  计划成本的比率，用以</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反映和考核项目的成 本节约程度。</w:t>
            </w:r>
          </w:p>
        </w:tc>
        <w:tc>
          <w:tcPr>
            <w:tcW w:w="5216" w:type="dxa"/>
            <w:gridSpan w:val="3"/>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成本节约率=[(计划成本 - 实际成本)/计划成 本]×100%。</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实际成本；项目实施单位如期、保质、保量完成既定 工作目标实际所耗费的支出</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计划成本：项目实施单位为完成工作目标计划安排的 支出， 一般以项目预算为参考。</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w:t>
            </w:r>
          </w:p>
        </w:tc>
        <w:tc>
          <w:tcPr>
            <w:tcW w:w="1374" w:type="dxa"/>
            <w:gridSpan w:val="2"/>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gridAfter w:val="2"/>
          <w:wAfter w:w="30" w:type="dxa"/>
          <w:trHeight w:val="2062" w:hRule="atLeast"/>
        </w:trPr>
        <w:tc>
          <w:tcPr>
            <w:tcW w:w="835" w:type="dxa"/>
            <w:gridSpan w:val="3"/>
            <w:tcBorders>
              <w:top w:val="nil"/>
            </w:tcBorders>
            <w:vAlign w:val="center"/>
          </w:tcPr>
          <w:p>
            <w:pPr>
              <w:widowControl/>
              <w:spacing w:line="0" w:lineRule="atLeast"/>
              <w:jc w:val="center"/>
              <w:rPr>
                <w:rFonts w:ascii="Times New Roman" w:hAnsi="Times New Roman" w:cs="Times New Roman"/>
                <w:color w:val="000000"/>
                <w:kern w:val="0"/>
                <w:sz w:val="22"/>
                <w:szCs w:val="22"/>
              </w:rPr>
            </w:pPr>
            <w:r>
              <w:rPr>
                <w:color w:val="000000"/>
                <w:kern w:val="0"/>
                <w:sz w:val="22"/>
                <w:szCs w:val="22"/>
              </w:rPr>
              <w:t>效益　</w:t>
            </w:r>
          </w:p>
        </w:tc>
        <w:tc>
          <w:tcPr>
            <w:tcW w:w="769" w:type="dxa"/>
            <w:gridSpan w:val="4"/>
            <w:vAlign w:val="center"/>
          </w:tcPr>
          <w:p>
            <w:pPr>
              <w:widowControl/>
              <w:spacing w:line="0" w:lineRule="atLeast"/>
              <w:jc w:val="center"/>
              <w:rPr>
                <w:rFonts w:ascii="Times New Roman" w:hAnsi="Times New Roman" w:cs="Times New Roman"/>
                <w:color w:val="000000"/>
                <w:kern w:val="0"/>
                <w:sz w:val="22"/>
                <w:szCs w:val="22"/>
              </w:rPr>
            </w:pPr>
            <w:r>
              <w:rPr>
                <w:color w:val="000000"/>
                <w:kern w:val="0"/>
                <w:sz w:val="22"/>
                <w:szCs w:val="22"/>
              </w:rPr>
              <w:t>项目效益　</w:t>
            </w:r>
          </w:p>
        </w:tc>
        <w:tc>
          <w:tcPr>
            <w:tcW w:w="879" w:type="dxa"/>
            <w:gridSpan w:val="2"/>
            <w:vAlign w:val="center"/>
          </w:tcPr>
          <w:p>
            <w:pPr>
              <w:widowControl/>
              <w:spacing w:line="0" w:lineRule="atLeast"/>
              <w:jc w:val="center"/>
              <w:rPr>
                <w:rFonts w:ascii="Times New Roman" w:hAnsi="Times New Roman" w:cs="Times New Roman"/>
                <w:color w:val="000000"/>
                <w:kern w:val="0"/>
                <w:sz w:val="22"/>
                <w:szCs w:val="22"/>
              </w:rPr>
            </w:pPr>
            <w:r>
              <w:rPr>
                <w:color w:val="000000"/>
                <w:kern w:val="0"/>
                <w:sz w:val="22"/>
                <w:szCs w:val="22"/>
              </w:rPr>
              <w:t>实施效益</w:t>
            </w:r>
          </w:p>
        </w:tc>
        <w:tc>
          <w:tcPr>
            <w:tcW w:w="2368" w:type="dxa"/>
            <w:gridSpan w:val="2"/>
            <w:vAlign w:val="center"/>
          </w:tcPr>
          <w:p>
            <w:pPr>
              <w:widowControl/>
              <w:spacing w:line="0" w:lineRule="atLeast"/>
              <w:jc w:val="left"/>
              <w:rPr>
                <w:rFonts w:ascii="Times New Roman" w:hAnsi="Times New Roman" w:cs="Times New Roman"/>
                <w:color w:val="000000"/>
                <w:kern w:val="0"/>
                <w:sz w:val="22"/>
                <w:szCs w:val="22"/>
              </w:rPr>
            </w:pPr>
            <w:r>
              <w:rPr>
                <w:color w:val="000000"/>
                <w:kern w:val="0"/>
                <w:sz w:val="22"/>
                <w:szCs w:val="22"/>
              </w:rPr>
              <w:t>项目实施所产生的效益。</w:t>
            </w:r>
          </w:p>
        </w:tc>
        <w:tc>
          <w:tcPr>
            <w:tcW w:w="5216" w:type="dxa"/>
            <w:gridSpan w:val="3"/>
            <w:vAlign w:val="center"/>
          </w:tcPr>
          <w:p>
            <w:pPr>
              <w:widowControl/>
              <w:spacing w:line="0" w:lineRule="atLeast"/>
              <w:rPr>
                <w:rFonts w:ascii="Times New Roman" w:hAnsi="Times New Roman" w:cs="Times New Roman"/>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9" w:type="dxa"/>
            <w:vAlign w:val="center"/>
          </w:tcPr>
          <w:p>
            <w:pPr>
              <w:widowControl/>
              <w:spacing w:line="0" w:lineRule="atLeast"/>
              <w:jc w:val="center"/>
              <w:rPr>
                <w:rFonts w:ascii="Times New Roman" w:hAnsi="Times New Roman" w:cs="Times New Roman"/>
                <w:color w:val="000000"/>
                <w:kern w:val="0"/>
                <w:sz w:val="22"/>
                <w:szCs w:val="22"/>
              </w:rPr>
            </w:pPr>
            <w:r>
              <w:rPr>
                <w:b/>
                <w:bCs/>
                <w:color w:val="000000"/>
                <w:kern w:val="0"/>
                <w:sz w:val="22"/>
                <w:szCs w:val="22"/>
              </w:rPr>
              <w:t>10</w:t>
            </w:r>
          </w:p>
        </w:tc>
        <w:tc>
          <w:tcPr>
            <w:tcW w:w="1374" w:type="dxa"/>
            <w:gridSpan w:val="2"/>
            <w:vAlign w:val="center"/>
          </w:tcPr>
          <w:p>
            <w:pPr>
              <w:widowControl/>
              <w:spacing w:line="0" w:lineRule="atLeast"/>
              <w:jc w:val="center"/>
              <w:rPr>
                <w:rFonts w:ascii="Times New Roman" w:hAnsi="Times New Roman" w:cs="Times New Roman"/>
                <w:color w:val="000000"/>
                <w:kern w:val="0"/>
                <w:sz w:val="22"/>
                <w:szCs w:val="22"/>
              </w:rPr>
            </w:pPr>
            <w:r>
              <w:rPr>
                <w:rFonts w:hint="eastAsia"/>
                <w:b/>
                <w:bCs/>
                <w:color w:val="000000"/>
                <w:kern w:val="0"/>
                <w:sz w:val="22"/>
                <w:szCs w:val="22"/>
                <w:highlight w:val="none"/>
                <w:lang w:val="en-US" w:eastAsia="zh-CN"/>
              </w:rPr>
              <w:t>0</w:t>
            </w:r>
          </w:p>
        </w:tc>
      </w:tr>
    </w:tbl>
    <w:tbl>
      <w:tblPr>
        <w:tblStyle w:val="29"/>
        <w:tblpPr w:leftFromText="180" w:rightFromText="180" w:vertAnchor="text" w:horzAnchor="page" w:tblpX="1680" w:tblpY="2103"/>
        <w:tblOverlap w:val="never"/>
        <w:tblW w:w="127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770"/>
        <w:gridCol w:w="899"/>
        <w:gridCol w:w="2358"/>
        <w:gridCol w:w="5216"/>
        <w:gridCol w:w="1309"/>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6" w:hRule="atLeast"/>
        </w:trPr>
        <w:tc>
          <w:tcPr>
            <w:tcW w:w="824" w:type="dxa"/>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770" w:type="dxa"/>
            <w:tcBorders>
              <w:top w:val="nil"/>
            </w:tcBorders>
            <w:vAlign w:val="top"/>
          </w:tcPr>
          <w:p>
            <w:pPr>
              <w:widowControl/>
              <w:spacing w:line="0" w:lineRule="atLeast"/>
              <w:jc w:val="center"/>
              <w:rPr>
                <w:rFonts w:ascii="Times New Roman" w:hAnsi="Times New Roman" w:cs="Times New Roman"/>
                <w:color w:val="000000"/>
                <w:kern w:val="0"/>
                <w:sz w:val="22"/>
                <w:szCs w:val="22"/>
              </w:rPr>
            </w:pPr>
          </w:p>
        </w:tc>
        <w:tc>
          <w:tcPr>
            <w:tcW w:w="89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度</w:t>
            </w:r>
          </w:p>
        </w:tc>
        <w:tc>
          <w:tcPr>
            <w:tcW w:w="2358"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5216" w:type="dxa"/>
            <w:vAlign w:val="top"/>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 的部门(单位)、群体或个人。 一般采取社会调查的 方式。</w:t>
            </w:r>
          </w:p>
        </w:tc>
        <w:tc>
          <w:tcPr>
            <w:tcW w:w="1309"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w:t>
            </w:r>
          </w:p>
        </w:tc>
        <w:tc>
          <w:tcPr>
            <w:tcW w:w="1384" w:type="dxa"/>
            <w:vAlign w:val="top"/>
          </w:tcPr>
          <w:p>
            <w:pPr>
              <w:widowControl/>
              <w:spacing w:line="0" w:lineRule="atLeast"/>
              <w:jc w:val="center"/>
              <w:rPr>
                <w:rFonts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lang w:val="en-US" w:eastAsia="zh-CN"/>
              </w:rPr>
            </w:pPr>
            <w:r>
              <w:rPr>
                <w:rFonts w:ascii="Times New Roman" w:hAnsi="Times New Roman" w:cs="Times New Roman"/>
                <w:color w:val="000000"/>
                <w:kern w:val="0"/>
                <w:sz w:val="22"/>
                <w:szCs w:val="22"/>
              </w:rPr>
              <w:t>10</w:t>
            </w:r>
          </w:p>
        </w:tc>
      </w:tr>
    </w:tbl>
    <w:p>
      <w:pPr>
        <w:rPr>
          <w:rFonts w:hint="eastAsia"/>
          <w:b/>
          <w:bCs/>
          <w:sz w:val="28"/>
          <w:szCs w:val="40"/>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172A27"/>
    <w:rsid w:val="000D63FA"/>
    <w:rsid w:val="005B64E8"/>
    <w:rsid w:val="00614288"/>
    <w:rsid w:val="00670592"/>
    <w:rsid w:val="00792CFE"/>
    <w:rsid w:val="007D49C5"/>
    <w:rsid w:val="008175E0"/>
    <w:rsid w:val="008C631D"/>
    <w:rsid w:val="00A114ED"/>
    <w:rsid w:val="00B24331"/>
    <w:rsid w:val="0149402C"/>
    <w:rsid w:val="0155721B"/>
    <w:rsid w:val="036A7762"/>
    <w:rsid w:val="03EC0196"/>
    <w:rsid w:val="05253FFE"/>
    <w:rsid w:val="089716ED"/>
    <w:rsid w:val="09E62857"/>
    <w:rsid w:val="0A6F75BD"/>
    <w:rsid w:val="0C41127C"/>
    <w:rsid w:val="0C6224E0"/>
    <w:rsid w:val="0E2D3866"/>
    <w:rsid w:val="0E752FD6"/>
    <w:rsid w:val="0EFF3DE2"/>
    <w:rsid w:val="0F2A6BF7"/>
    <w:rsid w:val="109627EE"/>
    <w:rsid w:val="11AA0AAA"/>
    <w:rsid w:val="150D5603"/>
    <w:rsid w:val="17136327"/>
    <w:rsid w:val="181871E2"/>
    <w:rsid w:val="19166846"/>
    <w:rsid w:val="1A13384C"/>
    <w:rsid w:val="1A453514"/>
    <w:rsid w:val="1DDE2DCF"/>
    <w:rsid w:val="1F6231E3"/>
    <w:rsid w:val="20E92B23"/>
    <w:rsid w:val="21735CA5"/>
    <w:rsid w:val="23685060"/>
    <w:rsid w:val="28C14634"/>
    <w:rsid w:val="2EC724D4"/>
    <w:rsid w:val="2EE30257"/>
    <w:rsid w:val="2FCD4E0C"/>
    <w:rsid w:val="32F62E2B"/>
    <w:rsid w:val="34DA27CE"/>
    <w:rsid w:val="36411DC5"/>
    <w:rsid w:val="36B72533"/>
    <w:rsid w:val="37985945"/>
    <w:rsid w:val="37F74F24"/>
    <w:rsid w:val="38507FCD"/>
    <w:rsid w:val="3EB732F5"/>
    <w:rsid w:val="4057649F"/>
    <w:rsid w:val="450B6AE4"/>
    <w:rsid w:val="452E1696"/>
    <w:rsid w:val="4732582B"/>
    <w:rsid w:val="4A3E79AE"/>
    <w:rsid w:val="525E7A5F"/>
    <w:rsid w:val="5398723E"/>
    <w:rsid w:val="54873A1A"/>
    <w:rsid w:val="56796849"/>
    <w:rsid w:val="5B196F1D"/>
    <w:rsid w:val="5C80375D"/>
    <w:rsid w:val="5DA95371"/>
    <w:rsid w:val="60A800F7"/>
    <w:rsid w:val="65C704C5"/>
    <w:rsid w:val="686F7714"/>
    <w:rsid w:val="68CF6B69"/>
    <w:rsid w:val="6A3A2708"/>
    <w:rsid w:val="6A862BA8"/>
    <w:rsid w:val="6CCB67B4"/>
    <w:rsid w:val="6F6C3363"/>
    <w:rsid w:val="729E72A5"/>
    <w:rsid w:val="74671393"/>
    <w:rsid w:val="75FA041F"/>
    <w:rsid w:val="760F49BD"/>
    <w:rsid w:val="76E870A0"/>
    <w:rsid w:val="78A82F32"/>
    <w:rsid w:val="7DDF6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spacing w:before="120" w:after="120" w:line="560" w:lineRule="exact"/>
      <w:outlineLvl w:val="2"/>
    </w:pPr>
    <w:rPr>
      <w:b/>
      <w:bCs/>
      <w:sz w:val="30"/>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annotation text"/>
    <w:basedOn w:val="1"/>
    <w:qFormat/>
    <w:uiPriority w:val="0"/>
    <w:pPr>
      <w:jc w:val="left"/>
    </w:pPr>
  </w:style>
  <w:style w:type="paragraph" w:styleId="7">
    <w:name w:val="Body Text"/>
    <w:basedOn w:val="1"/>
    <w:semiHidden/>
    <w:qFormat/>
    <w:uiPriority w:val="0"/>
    <w:rPr>
      <w:rFonts w:ascii="Arial" w:hAnsi="Arial" w:eastAsia="Arial" w:cs="Arial"/>
      <w:sz w:val="21"/>
      <w:szCs w:val="21"/>
      <w:lang w:val="en-US" w:eastAsia="en-US" w:bidi="ar-SA"/>
    </w:rPr>
  </w:style>
  <w:style w:type="paragraph" w:styleId="8">
    <w:name w:val="footer"/>
    <w:basedOn w:val="1"/>
    <w:link w:val="19"/>
    <w:semiHidden/>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3"/>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3"/>
    <w:link w:val="9"/>
    <w:semiHidden/>
    <w:qFormat/>
    <w:uiPriority w:val="99"/>
    <w:rPr>
      <w:rFonts w:ascii="Times New Roman" w:hAnsi="Times New Roman" w:eastAsia="仿宋_GB2312" w:cs="Times New Roman"/>
      <w:sz w:val="18"/>
      <w:szCs w:val="18"/>
    </w:rPr>
  </w:style>
  <w:style w:type="character" w:customStyle="1" w:styleId="19">
    <w:name w:val="页脚 Char"/>
    <w:basedOn w:val="13"/>
    <w:link w:val="8"/>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font01"/>
    <w:basedOn w:val="13"/>
    <w:qFormat/>
    <w:uiPriority w:val="0"/>
    <w:rPr>
      <w:rFonts w:hint="default" w:ascii="Times New Roman" w:hAnsi="Times New Roman" w:cs="Times New Roman"/>
      <w:color w:val="000000"/>
      <w:sz w:val="24"/>
      <w:szCs w:val="24"/>
      <w:u w:val="none"/>
    </w:rPr>
  </w:style>
  <w:style w:type="character" w:customStyle="1" w:styleId="22">
    <w:name w:val="font21"/>
    <w:basedOn w:val="13"/>
    <w:qFormat/>
    <w:uiPriority w:val="0"/>
    <w:rPr>
      <w:rFonts w:hint="eastAsia" w:ascii="宋体" w:hAnsi="宋体" w:eastAsia="宋体" w:cs="宋体"/>
      <w:color w:val="000000"/>
      <w:sz w:val="24"/>
      <w:szCs w:val="24"/>
      <w:u w:val="none"/>
    </w:rPr>
  </w:style>
  <w:style w:type="character" w:customStyle="1" w:styleId="23">
    <w:name w:val="font51"/>
    <w:basedOn w:val="13"/>
    <w:qFormat/>
    <w:uiPriority w:val="0"/>
    <w:rPr>
      <w:rFonts w:hint="eastAsia" w:ascii="宋体" w:hAnsi="宋体" w:eastAsia="宋体" w:cs="宋体"/>
      <w:color w:val="000000"/>
      <w:sz w:val="24"/>
      <w:szCs w:val="24"/>
      <w:u w:val="none"/>
    </w:rPr>
  </w:style>
  <w:style w:type="character" w:customStyle="1" w:styleId="24">
    <w:name w:val="font11"/>
    <w:basedOn w:val="13"/>
    <w:qFormat/>
    <w:uiPriority w:val="0"/>
    <w:rPr>
      <w:rFonts w:hint="default" w:ascii="Times New Roman" w:hAnsi="Times New Roman" w:cs="Times New Roman"/>
      <w:color w:val="000000"/>
      <w:sz w:val="24"/>
      <w:szCs w:val="24"/>
      <w:u w:val="none"/>
    </w:rPr>
  </w:style>
  <w:style w:type="character" w:customStyle="1" w:styleId="25">
    <w:name w:val="font31"/>
    <w:basedOn w:val="13"/>
    <w:qFormat/>
    <w:uiPriority w:val="0"/>
    <w:rPr>
      <w:rFonts w:hint="eastAsia" w:ascii="宋体" w:hAnsi="宋体" w:eastAsia="宋体" w:cs="宋体"/>
      <w:color w:val="000000"/>
      <w:sz w:val="24"/>
      <w:szCs w:val="24"/>
      <w:u w:val="none"/>
    </w:rPr>
  </w:style>
  <w:style w:type="character" w:customStyle="1" w:styleId="26">
    <w:name w:val="font81"/>
    <w:basedOn w:val="13"/>
    <w:qFormat/>
    <w:uiPriority w:val="0"/>
    <w:rPr>
      <w:rFonts w:hint="default" w:ascii="Times New Roman" w:hAnsi="Times New Roman" w:cs="Times New Roman"/>
      <w:color w:val="000000"/>
      <w:sz w:val="24"/>
      <w:szCs w:val="24"/>
      <w:u w:val="none"/>
    </w:rPr>
  </w:style>
  <w:style w:type="character" w:customStyle="1" w:styleId="27">
    <w:name w:val="font41"/>
    <w:basedOn w:val="13"/>
    <w:qFormat/>
    <w:uiPriority w:val="0"/>
    <w:rPr>
      <w:rFonts w:hint="default" w:ascii="Times New Roman" w:hAnsi="Times New Roman" w:cs="Times New Roman"/>
      <w:color w:val="000000"/>
      <w:sz w:val="18"/>
      <w:szCs w:val="18"/>
      <w:u w:val="none"/>
    </w:rPr>
  </w:style>
  <w:style w:type="paragraph" w:customStyle="1" w:styleId="28">
    <w:name w:val="Table Text"/>
    <w:basedOn w:val="1"/>
    <w:semiHidden/>
    <w:qFormat/>
    <w:uiPriority w:val="0"/>
    <w:rPr>
      <w:rFonts w:ascii="宋体" w:hAnsi="宋体" w:eastAsia="宋体" w:cs="宋体"/>
      <w:sz w:val="22"/>
      <w:szCs w:val="22"/>
      <w:lang w:val="en-US" w:eastAsia="en-US" w:bidi="ar-SA"/>
    </w:rPr>
  </w:style>
  <w:style w:type="table" w:customStyle="1" w:styleId="29">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9689</Words>
  <Characters>10213</Characters>
  <Lines>37</Lines>
  <Paragraphs>10</Paragraphs>
  <TotalTime>2</TotalTime>
  <ScaleCrop>false</ScaleCrop>
  <LinksUpToDate>false</LinksUpToDate>
  <CharactersWithSpaces>10283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2026-07-02T05:21:20Z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FA86D30D03864884B79C273E8A281839_13</vt:lpwstr>
  </property>
</Properties>
</file>