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rPr>
        <w:t>农村妇女两癌检查</w:t>
      </w:r>
      <w:r>
        <w:rPr>
          <w:rFonts w:eastAsia="方正小标宋_GBK"/>
          <w:kern w:val="0"/>
          <w:sz w:val="48"/>
          <w:szCs w:val="48"/>
        </w:rPr>
        <w:t>项目支出绩效评价</w:t>
      </w:r>
    </w:p>
    <w:p>
      <w:pPr>
        <w:spacing w:line="540" w:lineRule="exact"/>
        <w:jc w:val="center"/>
        <w:rPr>
          <w:rFonts w:eastAsia="方正小标宋_GBK"/>
          <w:kern w:val="0"/>
          <w:sz w:val="48"/>
          <w:szCs w:val="48"/>
        </w:rPr>
      </w:pPr>
      <w:r>
        <w:rPr>
          <w:rFonts w:eastAsia="方正小标宋_GBK"/>
          <w:kern w:val="0"/>
          <w:sz w:val="48"/>
          <w:szCs w:val="48"/>
        </w:rPr>
        <w:t>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宋体"/>
          <w:b/>
          <w:bCs/>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宋体"/>
          <w:b/>
          <w:bCs/>
          <w:kern w:val="0"/>
          <w:sz w:val="32"/>
          <w:szCs w:val="32"/>
        </w:rPr>
        <w:t>农村妇女两癌检查</w:t>
      </w:r>
    </w:p>
    <w:p>
      <w:pPr>
        <w:spacing w:line="560" w:lineRule="exact"/>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霍尔果斯市妇幼保健计划生育服务中心</w:t>
      </w:r>
    </w:p>
    <w:p>
      <w:pPr>
        <w:spacing w:line="560" w:lineRule="exact"/>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霍尔果斯市妇幼保健计划生育服务中心</w:t>
      </w:r>
    </w:p>
    <w:p>
      <w:pPr>
        <w:spacing w:line="560" w:lineRule="exact"/>
        <w:ind w:firstLine="643" w:firstLineChars="2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王雅梅</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b/>
          <w:bCs/>
          <w:color w:val="000000"/>
          <w:kern w:val="0"/>
          <w:sz w:val="32"/>
          <w:szCs w:val="32"/>
          <w:lang w:eastAsia="zh-CN"/>
        </w:rPr>
        <w:t>202</w:t>
      </w:r>
      <w:r>
        <w:rPr>
          <w:rFonts w:hint="eastAsia" w:ascii="宋体" w:hAnsi="宋体" w:eastAsia="宋体" w:cs="仿宋_GB2312"/>
          <w:b/>
          <w:bCs/>
          <w:color w:val="000000"/>
          <w:kern w:val="0"/>
          <w:sz w:val="32"/>
          <w:szCs w:val="32"/>
          <w:lang w:val="en-US" w:eastAsia="zh-CN"/>
        </w:rPr>
        <w:t>4</w:t>
      </w:r>
      <w:r>
        <w:rPr>
          <w:rFonts w:hint="eastAsia" w:ascii="宋体" w:hAnsi="宋体" w:eastAsia="宋体" w:cs="仿宋_GB2312"/>
          <w:b/>
          <w:bCs/>
          <w:color w:val="000000"/>
          <w:kern w:val="0"/>
          <w:sz w:val="32"/>
          <w:szCs w:val="32"/>
          <w:lang w:eastAsia="zh-CN"/>
        </w:rPr>
        <w:t xml:space="preserve">年 </w:t>
      </w:r>
      <w:r>
        <w:rPr>
          <w:rFonts w:hint="eastAsia" w:ascii="宋体" w:hAnsi="宋体" w:eastAsia="宋体" w:cs="仿宋_GB2312"/>
          <w:b/>
          <w:bCs/>
          <w:color w:val="000000"/>
          <w:kern w:val="0"/>
          <w:sz w:val="32"/>
          <w:szCs w:val="32"/>
          <w:lang w:val="en-US" w:eastAsia="zh-CN"/>
        </w:rPr>
        <w:t>4</w:t>
      </w:r>
      <w:r>
        <w:rPr>
          <w:rFonts w:hint="eastAsia" w:ascii="宋体" w:hAnsi="宋体" w:eastAsia="宋体" w:cs="仿宋_GB2312"/>
          <w:b/>
          <w:bCs/>
          <w:color w:val="000000"/>
          <w:kern w:val="0"/>
          <w:sz w:val="32"/>
          <w:szCs w:val="32"/>
          <w:lang w:eastAsia="zh-CN"/>
        </w:rPr>
        <w:t xml:space="preserve"> 月 </w:t>
      </w:r>
      <w:r>
        <w:rPr>
          <w:rFonts w:hint="eastAsia" w:ascii="宋体" w:hAnsi="宋体" w:eastAsia="宋体" w:cs="仿宋_GB2312"/>
          <w:b/>
          <w:bCs/>
          <w:color w:val="000000"/>
          <w:kern w:val="0"/>
          <w:sz w:val="32"/>
          <w:szCs w:val="32"/>
          <w:lang w:val="en-US" w:eastAsia="zh-CN"/>
        </w:rPr>
        <w:t>20</w:t>
      </w:r>
      <w:r>
        <w:rPr>
          <w:rFonts w:hint="eastAsia" w:ascii="宋体" w:hAnsi="宋体" w:eastAsia="宋体" w:cs="仿宋_GB2312"/>
          <w:b/>
          <w:bCs/>
          <w:color w:val="000000"/>
          <w:kern w:val="0"/>
          <w:sz w:val="32"/>
          <w:szCs w:val="32"/>
          <w:lang w:eastAsia="zh-CN"/>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0"/>
        </w:numPr>
        <w:spacing w:line="560" w:lineRule="exact"/>
        <w:ind w:firstLine="640" w:firstLineChars="200"/>
        <w:rPr>
          <w:rFonts w:hint="eastAsia" w:ascii="Times New Roman" w:hAnsi="Times New Roman" w:eastAsia="黑体" w:cs="Times New Roman"/>
          <w:bCs/>
          <w:sz w:val="32"/>
          <w:szCs w:val="32"/>
        </w:rPr>
      </w:pPr>
      <w:bookmarkStart w:id="0" w:name="_Toc68703827"/>
      <w:r>
        <w:rPr>
          <w:rFonts w:hint="eastAsia" w:eastAsia="黑体" w:cs="Times New Roman"/>
          <w:bCs/>
          <w:sz w:val="32"/>
          <w:szCs w:val="32"/>
          <w:lang w:val="en-US" w:eastAsia="zh-CN"/>
        </w:rPr>
        <w:t>一、</w:t>
      </w:r>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ind w:firstLine="643" w:firstLineChars="200"/>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bCs/>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 w:val="0"/>
          <w:bCs w:val="0"/>
          <w:color w:val="000000" w:themeColor="text1"/>
          <w:sz w:val="32"/>
          <w:szCs w:val="32"/>
          <w14:textFill>
            <w14:solidFill>
              <w14:schemeClr w14:val="tx1"/>
            </w14:solidFill>
          </w14:textFill>
        </w:rPr>
      </w:pPr>
      <w:r>
        <w:rPr>
          <w:rFonts w:hint="eastAsia" w:ascii="仿宋_GB2312" w:hAnsi="仿宋"/>
          <w:b w:val="0"/>
          <w:bCs w:val="0"/>
          <w:color w:val="000000" w:themeColor="text1"/>
          <w:sz w:val="32"/>
          <w:szCs w:val="32"/>
          <w14:textFill>
            <w14:solidFill>
              <w14:schemeClr w14:val="tx1"/>
            </w14:solidFill>
          </w14:textFill>
        </w:rPr>
        <w:t>本项目依据《中共中央 国务院关于全面实施预算绩效管理的意见》（中发〔2018〕</w:t>
      </w:r>
      <w:r>
        <w:rPr>
          <w:rFonts w:ascii="仿宋_GB2312" w:hAnsi="仿宋"/>
          <w:b w:val="0"/>
          <w:bCs w:val="0"/>
          <w:color w:val="000000" w:themeColor="text1"/>
          <w:sz w:val="32"/>
          <w:szCs w:val="32"/>
          <w14:textFill>
            <w14:solidFill>
              <w14:schemeClr w14:val="tx1"/>
            </w14:solidFill>
          </w14:textFill>
        </w:rPr>
        <w:t>34</w:t>
      </w:r>
      <w:r>
        <w:rPr>
          <w:rFonts w:hint="eastAsia" w:ascii="仿宋_GB2312" w:hAnsi="仿宋"/>
          <w:b w:val="0"/>
          <w:bCs w:val="0"/>
          <w:color w:val="000000" w:themeColor="text1"/>
          <w:sz w:val="32"/>
          <w:szCs w:val="32"/>
          <w14:textFill>
            <w14:solidFill>
              <w14:schemeClr w14:val="tx1"/>
            </w14:solidFill>
          </w14:textFill>
        </w:rPr>
        <w:t>号）、《关于印发&lt;乌鲁木齐市本级部门预算绩效目标管理暂行办法</w:t>
      </w:r>
      <w:r>
        <w:rPr>
          <w:rFonts w:ascii="仿宋_GB2312" w:hAnsi="仿宋"/>
          <w:b w:val="0"/>
          <w:bCs w:val="0"/>
          <w:color w:val="000000" w:themeColor="text1"/>
          <w:sz w:val="32"/>
          <w:szCs w:val="32"/>
          <w14:textFill>
            <w14:solidFill>
              <w14:schemeClr w14:val="tx1"/>
            </w14:solidFill>
          </w14:textFill>
        </w:rPr>
        <w:t>&gt;</w:t>
      </w:r>
      <w:r>
        <w:rPr>
          <w:rFonts w:hint="eastAsia" w:ascii="仿宋_GB2312" w:hAnsi="仿宋"/>
          <w:b w:val="0"/>
          <w:bCs w:val="0"/>
          <w:color w:val="000000" w:themeColor="text1"/>
          <w:sz w:val="32"/>
          <w:szCs w:val="32"/>
          <w14:textFill>
            <w14:solidFill>
              <w14:schemeClr w14:val="tx1"/>
            </w14:solidFill>
          </w14:textFill>
        </w:rPr>
        <w:t>的通知》（乌财预</w:t>
      </w:r>
      <w:bookmarkStart w:id="2" w:name="_Hlk67566397"/>
      <w:r>
        <w:rPr>
          <w:rFonts w:hint="eastAsia" w:ascii="仿宋_GB2312" w:hAnsi="仿宋"/>
          <w:b w:val="0"/>
          <w:bCs w:val="0"/>
          <w:color w:val="000000" w:themeColor="text1"/>
          <w:sz w:val="32"/>
          <w:szCs w:val="32"/>
          <w14:textFill>
            <w14:solidFill>
              <w14:schemeClr w14:val="tx1"/>
            </w14:solidFill>
          </w14:textFill>
        </w:rPr>
        <w:t>〔2018〕</w:t>
      </w:r>
      <w:r>
        <w:rPr>
          <w:rFonts w:ascii="仿宋_GB2312" w:hAnsi="仿宋"/>
          <w:b w:val="0"/>
          <w:bCs w:val="0"/>
          <w:color w:val="000000" w:themeColor="text1"/>
          <w:sz w:val="32"/>
          <w:szCs w:val="32"/>
          <w14:textFill>
            <w14:solidFill>
              <w14:schemeClr w14:val="tx1"/>
            </w14:solidFill>
          </w14:textFill>
        </w:rPr>
        <w:t>5</w:t>
      </w:r>
      <w:r>
        <w:rPr>
          <w:rFonts w:hint="eastAsia" w:ascii="仿宋_GB2312" w:hAnsi="仿宋"/>
          <w:b w:val="0"/>
          <w:bCs w:val="0"/>
          <w:color w:val="000000" w:themeColor="text1"/>
          <w:sz w:val="32"/>
          <w:szCs w:val="32"/>
          <w14:textFill>
            <w14:solidFill>
              <w14:schemeClr w14:val="tx1"/>
            </w14:solidFill>
          </w14:textFill>
        </w:rPr>
        <w:t>6号</w:t>
      </w:r>
      <w:bookmarkEnd w:id="2"/>
      <w:r>
        <w:rPr>
          <w:rFonts w:hint="eastAsia" w:ascii="仿宋_GB2312" w:hAnsi="仿宋"/>
          <w:b w:val="0"/>
          <w:bCs w:val="0"/>
          <w:color w:val="000000" w:themeColor="text1"/>
          <w:sz w:val="32"/>
          <w:szCs w:val="32"/>
          <w14:textFill>
            <w14:solidFill>
              <w14:schemeClr w14:val="tx1"/>
            </w14:solidFill>
          </w14:textFill>
        </w:rPr>
        <w:t>）、《关于做好2</w:t>
      </w:r>
      <w:r>
        <w:rPr>
          <w:rFonts w:ascii="仿宋_GB2312" w:hAnsi="仿宋"/>
          <w:b w:val="0"/>
          <w:bCs w:val="0"/>
          <w:color w:val="000000" w:themeColor="text1"/>
          <w:sz w:val="32"/>
          <w:szCs w:val="32"/>
          <w14:textFill>
            <w14:solidFill>
              <w14:schemeClr w14:val="tx1"/>
            </w14:solidFill>
          </w14:textFill>
        </w:rPr>
        <w:t>019</w:t>
      </w:r>
      <w:r>
        <w:rPr>
          <w:rFonts w:hint="eastAsia" w:ascii="仿宋_GB2312" w:hAnsi="仿宋"/>
          <w:b w:val="0"/>
          <w:bCs w:val="0"/>
          <w:color w:val="000000" w:themeColor="text1"/>
          <w:sz w:val="32"/>
          <w:szCs w:val="32"/>
          <w14:textFill>
            <w14:solidFill>
              <w14:schemeClr w14:val="tx1"/>
            </w14:solidFill>
          </w14:textFill>
        </w:rPr>
        <w:t>年部门预算项目支出绩效目标管理有关事宜的通知》（乌财预〔20</w:t>
      </w:r>
      <w:r>
        <w:rPr>
          <w:rFonts w:ascii="仿宋_GB2312" w:hAnsi="仿宋"/>
          <w:b w:val="0"/>
          <w:bCs w:val="0"/>
          <w:color w:val="000000" w:themeColor="text1"/>
          <w:sz w:val="32"/>
          <w:szCs w:val="32"/>
          <w14:textFill>
            <w14:solidFill>
              <w14:schemeClr w14:val="tx1"/>
            </w14:solidFill>
          </w14:textFill>
        </w:rPr>
        <w:t>18</w:t>
      </w:r>
      <w:r>
        <w:rPr>
          <w:rFonts w:hint="eastAsia" w:ascii="仿宋_GB2312" w:hAnsi="仿宋"/>
          <w:b w:val="0"/>
          <w:bCs w:val="0"/>
          <w:color w:val="000000" w:themeColor="text1"/>
          <w:sz w:val="32"/>
          <w:szCs w:val="32"/>
          <w14:textFill>
            <w14:solidFill>
              <w14:schemeClr w14:val="tx1"/>
            </w14:solidFill>
          </w14:textFill>
        </w:rPr>
        <w:t>〕</w:t>
      </w:r>
      <w:r>
        <w:rPr>
          <w:rFonts w:ascii="仿宋_GB2312" w:hAnsi="仿宋"/>
          <w:b w:val="0"/>
          <w:bCs w:val="0"/>
          <w:color w:val="000000" w:themeColor="text1"/>
          <w:sz w:val="32"/>
          <w:szCs w:val="32"/>
          <w14:textFill>
            <w14:solidFill>
              <w14:schemeClr w14:val="tx1"/>
            </w14:solidFill>
          </w14:textFill>
        </w:rPr>
        <w:t>76</w:t>
      </w:r>
      <w:r>
        <w:rPr>
          <w:rFonts w:hint="eastAsia" w:ascii="仿宋_GB2312" w:hAnsi="仿宋"/>
          <w:b w:val="0"/>
          <w:bCs w:val="0"/>
          <w:color w:val="000000" w:themeColor="text1"/>
          <w:sz w:val="32"/>
          <w:szCs w:val="32"/>
          <w14:textFill>
            <w14:solidFill>
              <w14:schemeClr w14:val="tx1"/>
            </w14:solidFill>
          </w14:textFill>
        </w:rPr>
        <w:t>号）和《项目支出绩效评价管理办法》（财预〔20</w:t>
      </w:r>
      <w:r>
        <w:rPr>
          <w:rFonts w:ascii="仿宋_GB2312" w:hAnsi="仿宋"/>
          <w:b w:val="0"/>
          <w:bCs w:val="0"/>
          <w:color w:val="000000" w:themeColor="text1"/>
          <w:sz w:val="32"/>
          <w:szCs w:val="32"/>
          <w14:textFill>
            <w14:solidFill>
              <w14:schemeClr w14:val="tx1"/>
            </w14:solidFill>
          </w14:textFill>
        </w:rPr>
        <w:t>20</w:t>
      </w:r>
      <w:r>
        <w:rPr>
          <w:rFonts w:hint="eastAsia" w:ascii="仿宋_GB2312" w:hAnsi="仿宋"/>
          <w:b w:val="0"/>
          <w:bCs w:val="0"/>
          <w:color w:val="000000" w:themeColor="text1"/>
          <w:sz w:val="32"/>
          <w:szCs w:val="32"/>
          <w14:textFill>
            <w14:solidFill>
              <w14:schemeClr w14:val="tx1"/>
            </w14:solidFill>
          </w14:textFill>
        </w:rPr>
        <w:t>〕</w:t>
      </w:r>
      <w:r>
        <w:rPr>
          <w:rFonts w:ascii="仿宋_GB2312" w:hAnsi="仿宋"/>
          <w:b w:val="0"/>
          <w:bCs w:val="0"/>
          <w:color w:val="000000" w:themeColor="text1"/>
          <w:sz w:val="32"/>
          <w:szCs w:val="32"/>
          <w14:textFill>
            <w14:solidFill>
              <w14:schemeClr w14:val="tx1"/>
            </w14:solidFill>
          </w14:textFill>
        </w:rPr>
        <w:t>10</w:t>
      </w:r>
      <w:r>
        <w:rPr>
          <w:rFonts w:hint="eastAsia" w:ascii="仿宋_GB2312" w:hAnsi="仿宋"/>
          <w:b w:val="0"/>
          <w:bCs w:val="0"/>
          <w:color w:val="000000" w:themeColor="text1"/>
          <w:sz w:val="32"/>
          <w:szCs w:val="32"/>
          <w14:textFill>
            <w14:solidFill>
              <w14:schemeClr w14:val="tx1"/>
            </w14:solidFill>
          </w14:textFill>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cs="Times New Roman"/>
          <w:b w:val="0"/>
          <w:bCs w:val="0"/>
          <w:sz w:val="32"/>
          <w:szCs w:val="32"/>
          <w:lang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bCs/>
          <w:sz w:val="32"/>
          <w:szCs w:val="32"/>
          <w:lang w:val="en-US" w:eastAsia="zh-CN"/>
        </w:rPr>
        <w:t xml:space="preserve"> 2.</w:t>
      </w:r>
      <w:r>
        <w:rPr>
          <w:rFonts w:hint="eastAsia" w:cs="Times New Roman"/>
          <w:b/>
          <w:bCs/>
          <w:sz w:val="32"/>
          <w:szCs w:val="32"/>
          <w:lang w:val="en-US" w:eastAsia="zh-CN"/>
        </w:rPr>
        <w:t>项目</w:t>
      </w:r>
      <w:r>
        <w:rPr>
          <w:rFonts w:hint="eastAsia" w:ascii="Times New Roman" w:hAnsi="Times New Roman" w:eastAsia="仿宋_GB2312" w:cs="Times New Roman"/>
          <w:b/>
          <w:bCs/>
          <w:sz w:val="32"/>
          <w:szCs w:val="32"/>
          <w:lang w:val="en-US" w:eastAsia="zh-CN"/>
        </w:rPr>
        <w:t>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olor w:val="FF0000"/>
          <w:sz w:val="32"/>
          <w:szCs w:val="32"/>
          <w:highlight w:val="none"/>
          <w:lang w:val="en-US" w:eastAsia="zh-CN"/>
        </w:rPr>
      </w:pPr>
      <w:r>
        <w:rPr>
          <w:rFonts w:hint="eastAsia" w:ascii="仿宋_GB2312"/>
          <w:sz w:val="32"/>
          <w:szCs w:val="32"/>
          <w:lang w:val="en-US" w:eastAsia="zh-CN"/>
        </w:rPr>
        <w:t>项目</w:t>
      </w:r>
      <w:r>
        <w:rPr>
          <w:rFonts w:hint="eastAsia" w:ascii="仿宋_GB2312"/>
          <w:sz w:val="32"/>
          <w:szCs w:val="32"/>
        </w:rPr>
        <w:t>主要内容：</w:t>
      </w:r>
      <w:r>
        <w:rPr>
          <w:rFonts w:hint="eastAsia" w:ascii="仿宋_GB2312"/>
          <w:sz w:val="32"/>
          <w:szCs w:val="32"/>
          <w:highlight w:val="none"/>
        </w:rPr>
        <w:t>为全市35-64岁农村妇女</w:t>
      </w:r>
      <w:r>
        <w:rPr>
          <w:rFonts w:hint="eastAsia" w:ascii="仿宋_GB2312"/>
          <w:sz w:val="32"/>
          <w:szCs w:val="32"/>
          <w:highlight w:val="none"/>
          <w:lang w:val="en-US" w:eastAsia="zh-CN"/>
        </w:rPr>
        <w:t>1000</w:t>
      </w:r>
      <w:r>
        <w:rPr>
          <w:rFonts w:hint="eastAsia" w:ascii="仿宋_GB2312"/>
          <w:sz w:val="32"/>
          <w:szCs w:val="32"/>
          <w:highlight w:val="none"/>
        </w:rPr>
        <w:t>人进行免费宫颈癌检查和乳腺癌检查，</w:t>
      </w:r>
      <w:r>
        <w:rPr>
          <w:rFonts w:hint="eastAsia" w:ascii="仿宋_GB2312"/>
          <w:sz w:val="32"/>
          <w:szCs w:val="32"/>
          <w:highlight w:val="none"/>
          <w:lang w:val="en-US" w:eastAsia="zh-CN"/>
        </w:rPr>
        <w:t>有利于早发现、早诊断、早预防以及早治疗</w:t>
      </w:r>
      <w:r>
        <w:rPr>
          <w:rFonts w:hint="eastAsia" w:ascii="仿宋_GB2312"/>
          <w:sz w:val="32"/>
          <w:szCs w:val="32"/>
          <w:highlight w:val="none"/>
        </w:rPr>
        <w:t>。购置一体化阴道镜1套，计划于2023年12月采购完成并投入使用，有效保障妇女健康水平</w:t>
      </w:r>
      <w:r>
        <w:rPr>
          <w:rFonts w:hint="eastAsia" w:ascii="仿宋_GB2312"/>
          <w:sz w:val="32"/>
          <w:szCs w:val="32"/>
          <w:highlight w:val="none"/>
          <w:lang w:eastAsia="zh-CN"/>
        </w:rPr>
        <w:t>，</w:t>
      </w:r>
      <w:r>
        <w:rPr>
          <w:rFonts w:hint="eastAsia" w:ascii="仿宋_GB2312"/>
          <w:sz w:val="32"/>
          <w:szCs w:val="32"/>
          <w:highlight w:val="none"/>
          <w:lang w:val="en-US" w:eastAsia="zh-CN"/>
        </w:rPr>
        <w:t>提高妇女健康素养，促进全面健康管理。</w:t>
      </w:r>
    </w:p>
    <w:p>
      <w:pPr>
        <w:spacing w:line="560" w:lineRule="exact"/>
        <w:ind w:firstLine="640" w:firstLineChars="200"/>
      </w:pPr>
      <w:r>
        <w:rPr>
          <w:rFonts w:hint="eastAsia" w:ascii="仿宋_GB2312"/>
          <w:sz w:val="32"/>
          <w:szCs w:val="32"/>
          <w:lang w:val="en-US" w:eastAsia="zh-CN"/>
        </w:rPr>
        <w:t>项目</w:t>
      </w: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bCs/>
          <w:sz w:val="32"/>
          <w:szCs w:val="32"/>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FF0000"/>
          <w:sz w:val="32"/>
          <w:szCs w:val="32"/>
        </w:rPr>
      </w:pPr>
      <w:r>
        <w:rPr>
          <w:rFonts w:hint="eastAsia"/>
          <w:sz w:val="32"/>
          <w:szCs w:val="32"/>
        </w:rPr>
        <w:t>资金投入情况：</w:t>
      </w:r>
      <w:r>
        <w:rPr>
          <w:rFonts w:hint="eastAsia"/>
          <w:color w:val="auto"/>
          <w:sz w:val="32"/>
          <w:szCs w:val="32"/>
        </w:rPr>
        <w:t>该项目年初预算数</w:t>
      </w:r>
      <w:r>
        <w:rPr>
          <w:rFonts w:hint="eastAsia"/>
          <w:color w:val="000000" w:themeColor="text1"/>
          <w:sz w:val="32"/>
          <w:szCs w:val="32"/>
          <w:lang w:val="en-US" w:eastAsia="zh-CN"/>
          <w14:textFill>
            <w14:solidFill>
              <w14:schemeClr w14:val="tx1"/>
            </w14:solidFill>
          </w14:textFill>
        </w:rPr>
        <w:t>48</w:t>
      </w:r>
      <w:r>
        <w:rPr>
          <w:rFonts w:hint="eastAsia"/>
          <w:color w:val="auto"/>
          <w:sz w:val="32"/>
          <w:szCs w:val="32"/>
        </w:rPr>
        <w:t>万元，全年预算数</w:t>
      </w:r>
      <w:r>
        <w:rPr>
          <w:rFonts w:hint="eastAsia"/>
          <w:color w:val="auto"/>
          <w:sz w:val="32"/>
          <w:szCs w:val="32"/>
          <w:lang w:val="en-US" w:eastAsia="zh-CN"/>
        </w:rPr>
        <w:t>48</w:t>
      </w:r>
      <w:r>
        <w:rPr>
          <w:rFonts w:hint="eastAsia"/>
          <w:color w:val="auto"/>
          <w:sz w:val="32"/>
          <w:szCs w:val="32"/>
        </w:rPr>
        <w:t>万元</w:t>
      </w:r>
      <w:r>
        <w:rPr>
          <w:rFonts w:hint="eastAsia"/>
          <w:color w:val="000000" w:themeColor="text1"/>
          <w:sz w:val="32"/>
          <w:szCs w:val="32"/>
          <w14:textFill>
            <w14:solidFill>
              <w14:schemeClr w14:val="tx1"/>
            </w14:solidFill>
          </w14:textFill>
        </w:rPr>
        <w:t>，</w:t>
      </w:r>
      <w:r>
        <w:rPr>
          <w:rFonts w:hint="eastAsia"/>
          <w:color w:val="auto"/>
          <w:sz w:val="32"/>
          <w:szCs w:val="32"/>
        </w:rPr>
        <w:t>实际总投入</w:t>
      </w:r>
      <w:r>
        <w:rPr>
          <w:rFonts w:hint="eastAsia"/>
          <w:color w:val="auto"/>
          <w:sz w:val="32"/>
          <w:szCs w:val="32"/>
          <w:lang w:val="en-US" w:eastAsia="zh-CN"/>
        </w:rPr>
        <w:t>36</w:t>
      </w:r>
      <w:r>
        <w:rPr>
          <w:rFonts w:hint="eastAsia"/>
          <w:color w:val="auto"/>
          <w:sz w:val="32"/>
          <w:szCs w:val="32"/>
        </w:rPr>
        <w:t>万元，该项目资金已全部落实到位，资金来源为</w:t>
      </w:r>
      <w:r>
        <w:rPr>
          <w:rFonts w:hint="eastAsia"/>
          <w:color w:val="auto"/>
          <w:sz w:val="32"/>
          <w:szCs w:val="32"/>
          <w:lang w:val="en-US" w:eastAsia="zh-CN"/>
        </w:rPr>
        <w:t>2022年</w:t>
      </w:r>
      <w:r>
        <w:rPr>
          <w:rFonts w:hint="eastAsia"/>
          <w:color w:val="auto"/>
          <w:sz w:val="32"/>
          <w:szCs w:val="32"/>
          <w:lang w:eastAsia="zh-CN"/>
        </w:rPr>
        <w:t>中央财政医疗服务与保障能力提升补助资金。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sz w:val="32"/>
          <w:szCs w:val="32"/>
        </w:rPr>
        <w:t>资金使用情况：</w:t>
      </w:r>
      <w:r>
        <w:rPr>
          <w:rFonts w:hint="eastAsia"/>
          <w:color w:val="auto"/>
          <w:sz w:val="32"/>
          <w:szCs w:val="32"/>
        </w:rPr>
        <w:t>该项目年初预算数</w:t>
      </w:r>
      <w:r>
        <w:rPr>
          <w:rFonts w:hint="eastAsia"/>
          <w:color w:val="auto"/>
          <w:sz w:val="32"/>
          <w:szCs w:val="32"/>
          <w:lang w:val="en-US" w:eastAsia="zh-CN"/>
        </w:rPr>
        <w:t>48</w:t>
      </w:r>
      <w:r>
        <w:rPr>
          <w:rFonts w:hint="eastAsia"/>
          <w:color w:val="auto"/>
          <w:sz w:val="32"/>
          <w:szCs w:val="32"/>
        </w:rPr>
        <w:t>万元，全年预算</w:t>
      </w:r>
      <w:r>
        <w:rPr>
          <w:rFonts w:hint="eastAsia"/>
          <w:color w:val="000000" w:themeColor="text1"/>
          <w:sz w:val="32"/>
          <w:szCs w:val="32"/>
          <w14:textFill>
            <w14:solidFill>
              <w14:schemeClr w14:val="tx1"/>
            </w14:solidFill>
          </w14:textFill>
        </w:rPr>
        <w:t>数</w:t>
      </w:r>
      <w:r>
        <w:rPr>
          <w:rFonts w:hint="eastAsia"/>
          <w:color w:val="000000" w:themeColor="text1"/>
          <w:sz w:val="32"/>
          <w:szCs w:val="32"/>
          <w:lang w:val="en-US" w:eastAsia="zh-CN"/>
          <w14:textFill>
            <w14:solidFill>
              <w14:schemeClr w14:val="tx1"/>
            </w14:solidFill>
          </w14:textFill>
        </w:rPr>
        <w:t>48</w:t>
      </w:r>
      <w:r>
        <w:rPr>
          <w:rFonts w:hint="eastAsia"/>
          <w:color w:val="auto"/>
          <w:sz w:val="32"/>
          <w:szCs w:val="32"/>
        </w:rPr>
        <w:t>万元</w:t>
      </w:r>
      <w:r>
        <w:rPr>
          <w:rFonts w:hint="eastAsia"/>
          <w:color w:val="auto"/>
          <w:sz w:val="32"/>
          <w:szCs w:val="32"/>
          <w:lang w:eastAsia="zh-CN"/>
        </w:rPr>
        <w:t>，</w:t>
      </w:r>
      <w:r>
        <w:rPr>
          <w:rFonts w:hint="eastAsia"/>
          <w:color w:val="auto"/>
          <w:sz w:val="32"/>
          <w:szCs w:val="32"/>
        </w:rPr>
        <w:t>全年执行数</w:t>
      </w:r>
      <w:r>
        <w:rPr>
          <w:rFonts w:hint="eastAsia"/>
          <w:color w:val="000000" w:themeColor="text1"/>
          <w:sz w:val="32"/>
          <w:szCs w:val="32"/>
          <w:lang w:val="en-US" w:eastAsia="zh-CN"/>
          <w14:textFill>
            <w14:solidFill>
              <w14:schemeClr w14:val="tx1"/>
            </w14:solidFill>
          </w14:textFill>
        </w:rPr>
        <w:t>36</w:t>
      </w:r>
      <w:r>
        <w:rPr>
          <w:rFonts w:hint="eastAsia"/>
          <w:color w:val="auto"/>
          <w:sz w:val="32"/>
          <w:szCs w:val="32"/>
        </w:rPr>
        <w:t>万元</w:t>
      </w:r>
      <w:r>
        <w:rPr>
          <w:rFonts w:hint="eastAsia"/>
          <w:color w:val="000000" w:themeColor="text1"/>
          <w:sz w:val="32"/>
          <w:szCs w:val="32"/>
          <w14:textFill>
            <w14:solidFill>
              <w14:schemeClr w14:val="tx1"/>
            </w14:solidFill>
          </w14:textFill>
        </w:rPr>
        <w:t>，</w:t>
      </w:r>
      <w:r>
        <w:rPr>
          <w:rFonts w:hint="eastAsia"/>
          <w:color w:val="auto"/>
          <w:sz w:val="32"/>
          <w:szCs w:val="32"/>
        </w:rPr>
        <w:t>预算执行率为</w:t>
      </w:r>
      <w:r>
        <w:rPr>
          <w:rFonts w:hint="eastAsia"/>
          <w:color w:val="auto"/>
          <w:sz w:val="32"/>
          <w:szCs w:val="32"/>
          <w:lang w:val="en-US" w:eastAsia="zh-CN"/>
        </w:rPr>
        <w:t>75</w:t>
      </w:r>
      <w:r>
        <w:rPr>
          <w:rFonts w:hint="eastAsia"/>
          <w:color w:val="auto"/>
          <w:sz w:val="32"/>
          <w:szCs w:val="32"/>
        </w:rPr>
        <w:t>%</w:t>
      </w:r>
      <w:r>
        <w:rPr>
          <w:rFonts w:hint="eastAsia"/>
          <w:color w:val="000000" w:themeColor="text1"/>
          <w:sz w:val="32"/>
          <w:szCs w:val="32"/>
          <w14:textFill>
            <w14:solidFill>
              <w14:schemeClr w14:val="tx1"/>
            </w14:solidFill>
          </w14:textFill>
        </w:rPr>
        <w:t>，</w:t>
      </w:r>
      <w:r>
        <w:rPr>
          <w:rFonts w:hint="eastAsia"/>
          <w:color w:val="auto"/>
          <w:sz w:val="32"/>
          <w:szCs w:val="32"/>
          <w:lang w:eastAsia="zh-CN"/>
        </w:rPr>
        <w:t>主要</w:t>
      </w:r>
      <w:r>
        <w:rPr>
          <w:rFonts w:hint="eastAsia"/>
          <w:color w:val="auto"/>
          <w:sz w:val="32"/>
          <w:szCs w:val="32"/>
        </w:rPr>
        <w:t>用于：</w:t>
      </w:r>
      <w:r>
        <w:rPr>
          <w:rFonts w:hint="eastAsia"/>
          <w:color w:val="000000" w:themeColor="text1"/>
          <w:sz w:val="32"/>
          <w:szCs w:val="32"/>
          <w:lang w:eastAsia="zh-CN"/>
          <w14:textFill>
            <w14:solidFill>
              <w14:schemeClr w14:val="tx1"/>
            </w14:solidFill>
          </w14:textFill>
        </w:rPr>
        <w:t>购置一体化阴道镜</w:t>
      </w:r>
      <w:r>
        <w:rPr>
          <w:rFonts w:hint="eastAsia"/>
          <w:color w:val="000000" w:themeColor="text1"/>
          <w:sz w:val="32"/>
          <w:szCs w:val="32"/>
          <w:lang w:val="en-US" w:eastAsia="zh-CN"/>
          <w14:textFill>
            <w14:solidFill>
              <w14:schemeClr w14:val="tx1"/>
            </w14:solidFill>
          </w14:textFill>
        </w:rPr>
        <w:t>36</w:t>
      </w:r>
      <w:r>
        <w:rPr>
          <w:rFonts w:hint="eastAsia"/>
          <w:color w:val="auto"/>
          <w:sz w:val="32"/>
          <w:szCs w:val="32"/>
        </w:rPr>
        <w:t>万元</w:t>
      </w:r>
      <w:r>
        <w:rPr>
          <w:rFonts w:hint="eastAsia"/>
          <w:color w:val="000000" w:themeColor="text1"/>
          <w:sz w:val="32"/>
          <w:szCs w:val="32"/>
          <w14:textFill>
            <w14:solidFill>
              <w14:schemeClr w14:val="tx1"/>
            </w14:solidFill>
          </w14:textFill>
        </w:rPr>
        <w:t>。</w:t>
      </w:r>
      <w:bookmarkStart w:id="3" w:name="_Toc68703829"/>
    </w:p>
    <w:p>
      <w:pPr>
        <w:spacing w:line="560" w:lineRule="exact"/>
        <w:ind w:firstLine="643" w:firstLineChars="200"/>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sz w:val="32"/>
          <w:szCs w:val="32"/>
        </w:rPr>
      </w:pPr>
      <w:r>
        <w:rPr>
          <w:rFonts w:hint="eastAsia" w:ascii="Times New Roman" w:hAnsi="Times New Roman" w:eastAsia="仿宋_GB2312" w:cs="Times New Roman"/>
          <w:b w:val="0"/>
          <w:bCs w:val="0"/>
          <w:sz w:val="32"/>
          <w:szCs w:val="32"/>
          <w:lang w:val="en-US" w:eastAsia="zh-CN"/>
        </w:rPr>
        <w:t>1.总体目标：</w:t>
      </w:r>
      <w:r>
        <w:rPr>
          <w:rFonts w:hint="eastAsia" w:ascii="仿宋_GB2312"/>
          <w:sz w:val="32"/>
          <w:szCs w:val="32"/>
        </w:rPr>
        <w:t>为全市35-64岁农村妇女</w:t>
      </w:r>
      <w:r>
        <w:rPr>
          <w:rFonts w:hint="eastAsia" w:ascii="仿宋_GB2312"/>
          <w:sz w:val="32"/>
          <w:szCs w:val="32"/>
          <w:lang w:val="en-US" w:eastAsia="zh-CN"/>
        </w:rPr>
        <w:t>10</w:t>
      </w:r>
      <w:r>
        <w:rPr>
          <w:rFonts w:hint="eastAsia" w:ascii="仿宋_GB2312"/>
          <w:sz w:val="32"/>
          <w:szCs w:val="32"/>
        </w:rPr>
        <w:t>00人进行免费宫颈癌检查和乳腺癌检查，普及“两癌”防治知识，增强农村妇女自我保健意识和技能，提高“两癌”早诊率。逐步降低“两癌”死亡率，改善农村妇女健康状况。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FF0000"/>
          <w:sz w:val="32"/>
          <w:szCs w:val="32"/>
        </w:rPr>
      </w:pPr>
      <w:r>
        <w:rPr>
          <w:rFonts w:hint="eastAsia" w:ascii="仿宋_GB2312"/>
          <w:sz w:val="32"/>
          <w:szCs w:val="32"/>
        </w:rPr>
        <w:t>购置一体化阴道镜1套，计划于2023年12月采购完成并投入使用，有效保障妇女健康水平。根据单位职能指导基层医疗卫生、妇幼健康服务体系和全科医生队伍建设，推进卫生健康科技创新发展要求，完善妇女“两癌”防治工作机制，探索适宜服务模式，提高基层“两癌”防治水平。</w:t>
      </w:r>
    </w:p>
    <w:p>
      <w:pPr>
        <w:spacing w:line="560" w:lineRule="exact"/>
        <w:ind w:firstLine="640" w:firstLineChars="200"/>
        <w:rPr>
          <w:rFonts w:hint="eastAsia"/>
          <w:color w:val="FF0000"/>
          <w:sz w:val="32"/>
          <w:szCs w:val="32"/>
        </w:rPr>
      </w:pPr>
      <w:r>
        <w:rPr>
          <w:rFonts w:hint="eastAsia" w:ascii="Times New Roman" w:hAnsi="Times New Roman" w:eastAsia="仿宋_GB2312" w:cs="Times New Roman"/>
          <w:b w:val="0"/>
          <w:bCs w:val="0"/>
          <w:sz w:val="32"/>
          <w:szCs w:val="32"/>
          <w:lang w:val="en-US" w:eastAsia="zh-CN"/>
        </w:rPr>
        <w:t>2.阶段性目标：</w:t>
      </w:r>
      <w:bookmarkStart w:id="4" w:name="_Toc68703830"/>
      <w:r>
        <w:rPr>
          <w:rFonts w:hint="eastAsia" w:ascii="Times New Roman" w:hAnsi="Times New Roman" w:eastAsia="仿宋_GB2312" w:cs="Times New Roman"/>
          <w:b w:val="0"/>
          <w:bCs w:val="0"/>
          <w:sz w:val="32"/>
          <w:szCs w:val="32"/>
          <w:lang w:val="en-US" w:eastAsia="zh-CN"/>
        </w:rPr>
        <w:t>2023年为了增强农村妇女自我保健意识和技能，提高“两癌”早诊率。逐步降低“两癌”死亡率，改善农村妇女健康状况。农村妇女两癌项目任务数1000人，已全部完成。</w:t>
      </w:r>
      <w:r>
        <w:rPr>
          <w:rFonts w:hint="eastAsia" w:cs="Times New Roman"/>
          <w:b w:val="0"/>
          <w:bCs w:val="0"/>
          <w:sz w:val="32"/>
          <w:szCs w:val="32"/>
          <w:lang w:val="en-US" w:eastAsia="zh-CN"/>
        </w:rPr>
        <w:t>阴道镜已投入使用，切实保障辖区妇女生殖健康，提高健康生活水平。</w:t>
      </w:r>
    </w:p>
    <w:p>
      <w:pPr>
        <w:spacing w:line="560" w:lineRule="exact"/>
        <w:ind w:firstLine="640" w:firstLineChars="200"/>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4"/>
    </w:p>
    <w:p>
      <w:pPr>
        <w:numPr>
          <w:ilvl w:val="0"/>
          <w:numId w:val="0"/>
        </w:numPr>
        <w:spacing w:line="560" w:lineRule="exact"/>
        <w:ind w:firstLine="643" w:firstLineChars="200"/>
        <w:rPr>
          <w:rFonts w:hint="eastAsia" w:ascii="Times New Roman" w:hAnsi="Times New Roman" w:eastAsia="楷体_GB2312" w:cs="Times New Roman"/>
          <w:b/>
          <w:bCs/>
          <w:sz w:val="32"/>
          <w:szCs w:val="32"/>
          <w:lang w:eastAsia="zh-CN"/>
        </w:rPr>
      </w:pPr>
      <w:bookmarkStart w:id="5" w:name="_Toc68703831"/>
      <w:r>
        <w:rPr>
          <w:rFonts w:hint="eastAsia" w:ascii="Times New Roman" w:hAnsi="Times New Roman" w:eastAsia="楷体_GB2312" w:cs="Times New Roman"/>
          <w:b/>
          <w:bCs/>
          <w:sz w:val="32"/>
          <w:szCs w:val="32"/>
          <w:lang w:val="en-US" w:eastAsia="zh-CN"/>
        </w:rPr>
        <w:t>（一）绩效评价目的、对象和范围</w:t>
      </w:r>
      <w:bookmarkEnd w:id="5"/>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cs="Times New Roman"/>
          <w:b/>
          <w:bCs/>
          <w:sz w:val="30"/>
          <w:szCs w:val="30"/>
          <w:lang w:val="en-US" w:eastAsia="zh-CN"/>
        </w:rPr>
        <w:t xml:space="preserve">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农村妇女两癌检查项目</w:t>
      </w:r>
      <w:r>
        <w:rPr>
          <w:rFonts w:hint="eastAsia" w:ascii="仿宋_GB2312" w:hAnsi="仿宋_GB2312" w:eastAsia="仿宋_GB2312" w:cs="仿宋_GB2312"/>
          <w:sz w:val="32"/>
          <w:szCs w:val="32"/>
        </w:rPr>
        <w:t>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color w:val="000000" w:themeColor="text1"/>
          <w:sz w:val="32"/>
          <w:szCs w:val="32"/>
          <w14:textFill>
            <w14:solidFill>
              <w14:schemeClr w14:val="tx1"/>
            </w14:solidFill>
          </w14:textFill>
        </w:rPr>
        <w:t>农村妇女两癌检查项目</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6"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ind w:firstLine="640" w:firstLineChars="200"/>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000000" w:themeColor="text1"/>
          <w:sz w:val="32"/>
          <w:szCs w:val="32"/>
          <w14:textFill>
            <w14:solidFill>
              <w14:schemeClr w14:val="tx1"/>
            </w14:solidFill>
          </w14:textFill>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7" w:name="_Toc68703833"/>
      <w:r>
        <w:rPr>
          <w:rFonts w:hint="eastAsia" w:ascii="Times New Roman" w:hAnsi="Times New Roman" w:eastAsia="楷体_GB2312" w:cs="Times New Roman"/>
          <w:b/>
          <w:bCs/>
          <w:kern w:val="2"/>
          <w:sz w:val="32"/>
          <w:szCs w:val="32"/>
          <w:lang w:val="en-US" w:eastAsia="zh-CN" w:bidi="ar-SA"/>
        </w:rPr>
        <w:t>（三）绩效评价工作过程</w:t>
      </w:r>
      <w:bookmarkEnd w:id="7"/>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8"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ind w:firstLine="640" w:firstLineChars="200"/>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8"/>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9" w:name="_Toc68703835"/>
      <w:r>
        <w:rPr>
          <w:rFonts w:hint="eastAsia" w:ascii="Times New Roman" w:hAnsi="Times New Roman" w:eastAsia="楷体_GB2312" w:cs="Times New Roman"/>
          <w:b/>
          <w:bCs/>
          <w:kern w:val="2"/>
          <w:sz w:val="32"/>
          <w:szCs w:val="32"/>
          <w:lang w:val="en-US" w:eastAsia="zh-CN" w:bidi="ar-SA"/>
        </w:rPr>
        <w:t>（一）综合评价情况</w:t>
      </w:r>
      <w:bookmarkEnd w:id="9"/>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10" w:name="_Toc68703836"/>
      <w:r>
        <w:rPr>
          <w:rFonts w:hint="eastAsia" w:ascii="Times New Roman" w:hAnsi="Times New Roman" w:eastAsia="楷体_GB2312" w:cs="Times New Roman"/>
          <w:b/>
          <w:bCs/>
          <w:kern w:val="2"/>
          <w:sz w:val="32"/>
          <w:szCs w:val="32"/>
          <w:lang w:val="en-US" w:eastAsia="zh-CN" w:bidi="ar-SA"/>
        </w:rPr>
        <w:t>（二）评价结论</w:t>
      </w:r>
      <w:bookmarkEnd w:id="10"/>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outlineLvl w:val="9"/>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96.6</w:t>
      </w:r>
      <w:r>
        <w:rPr>
          <w:rFonts w:hint="eastAsia" w:ascii="Times New Roman" w:hAnsi="Times New Roman" w:eastAsia="仿宋_GB2312"/>
          <w:b w:val="0"/>
          <w:bCs w:val="0"/>
          <w:highlight w:val="none"/>
        </w:rPr>
        <w:t>分，属于“优”。其中，项目决策类指标权重为20分，得分为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19</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95</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19</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37.6</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96.6</w:t>
            </w:r>
          </w:p>
        </w:tc>
      </w:tr>
    </w:tbl>
    <w:p>
      <w:pPr>
        <w:spacing w:line="560" w:lineRule="exact"/>
        <w:ind w:firstLine="640" w:firstLineChars="200"/>
        <w:rPr>
          <w:rFonts w:hint="eastAsia" w:ascii="Times New Roman" w:hAnsi="Times New Roman" w:eastAsia="黑体" w:cs="Times New Roman"/>
          <w:bCs/>
          <w:sz w:val="32"/>
          <w:szCs w:val="32"/>
          <w:lang w:val="en-US" w:eastAsia="zh-CN"/>
        </w:rPr>
      </w:pPr>
      <w:bookmarkStart w:id="11" w:name="_Toc68703837"/>
      <w:r>
        <w:rPr>
          <w:rFonts w:hint="eastAsia" w:ascii="Times New Roman" w:hAnsi="Times New Roman" w:eastAsia="黑体" w:cs="Times New Roman"/>
          <w:bCs/>
          <w:sz w:val="32"/>
          <w:szCs w:val="32"/>
          <w:lang w:val="en-US" w:eastAsia="zh-CN"/>
        </w:rPr>
        <w:t>四、绩效评价指标分析</w:t>
      </w:r>
      <w:bookmarkEnd w:id="11"/>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12" w:name="_Toc68703838"/>
      <w:r>
        <w:rPr>
          <w:rFonts w:hint="eastAsia" w:ascii="Times New Roman" w:hAnsi="Times New Roman" w:eastAsia="楷体_GB2312" w:cs="Times New Roman"/>
          <w:b/>
          <w:bCs/>
          <w:kern w:val="2"/>
          <w:sz w:val="32"/>
          <w:szCs w:val="32"/>
          <w:lang w:val="en-US" w:eastAsia="zh-CN" w:bidi="ar-SA"/>
        </w:rPr>
        <w:t>（一）项目决策情况</w:t>
      </w:r>
      <w:bookmarkEnd w:id="12"/>
    </w:p>
    <w:p>
      <w:pPr>
        <w:pageBreakBefore w:val="0"/>
        <w:widowControl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b w:val="0"/>
          <w:bCs w:val="0"/>
          <w:sz w:val="32"/>
          <w:szCs w:val="32"/>
          <w:lang w:val="en-US" w:eastAsia="zh-CN"/>
        </w:rPr>
        <w:t>　　项目决策类指标包括项目立项、绩效目标和资金投入三方面的内容，由13个三级指标构成，权重分值为20分，实际得分</w:t>
      </w:r>
      <w:r>
        <w:rPr>
          <w:rFonts w:hint="eastAsia"/>
          <w:b w:val="0"/>
          <w:bCs w:val="0"/>
          <w:color w:val="000000" w:themeColor="text1"/>
          <w:sz w:val="32"/>
          <w:szCs w:val="32"/>
          <w:lang w:val="en-US" w:eastAsia="zh-CN"/>
          <w14:textFill>
            <w14:solidFill>
              <w14:schemeClr w14:val="tx1"/>
            </w14:solidFill>
          </w14:textFill>
        </w:rPr>
        <w:t>20</w:t>
      </w:r>
      <w:r>
        <w:rPr>
          <w:rFonts w:hint="eastAsia"/>
          <w:b w:val="0"/>
          <w:bCs w:val="0"/>
          <w:sz w:val="32"/>
          <w:szCs w:val="32"/>
          <w:lang w:val="en-US" w:eastAsia="zh-CN"/>
        </w:rPr>
        <w:t>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3"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3"/>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ind w:firstLine="643" w:firstLineChars="200"/>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cs="仿宋_GB2312"/>
          <w:sz w:val="32"/>
          <w:szCs w:val="32"/>
          <w:lang w:val="en-US" w:eastAsia="zh-CN"/>
        </w:rPr>
        <w:t>13</w:t>
      </w:r>
      <w:r>
        <w:rPr>
          <w:rFonts w:hint="eastAsia" w:ascii="仿宋_GB2312" w:hAnsi="仿宋_GB2312" w:eastAsia="仿宋_GB2312" w:cs="仿宋_GB2312"/>
          <w:sz w:val="32"/>
          <w:szCs w:val="32"/>
          <w:highlight w:val="none"/>
          <w:lang w:val="en-US" w:eastAsia="zh-CN"/>
        </w:rPr>
        <w:t>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19</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95</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总投资</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48</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万元，财政资金及时足额到位，到位率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sz w:val="32"/>
          <w:szCs w:val="32"/>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预算资金支出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36</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万元，预算执行率为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75</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bookmarkStart w:id="14" w:name="_Toc68703840"/>
    </w:p>
    <w:p>
      <w:pPr>
        <w:shd w:val="clear"/>
        <w:spacing w:line="600" w:lineRule="exact"/>
        <w:ind w:firstLine="643" w:firstLineChars="200"/>
        <w:outlineLvl w:val="0"/>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（三）项目产出情况</w:t>
      </w:r>
      <w:bookmarkEnd w:id="14"/>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lang w:val="en-US" w:eastAsia="zh-CN"/>
        </w:rPr>
        <w:t>10</w:t>
      </w:r>
      <w:r>
        <w:rPr>
          <w:rFonts w:hint="eastAsia" w:ascii="仿宋_GB2312" w:hAnsi="仿宋_GB2312" w:eastAsia="仿宋_GB2312" w:cs="仿宋_GB2312"/>
          <w:sz w:val="32"/>
          <w:szCs w:val="32"/>
          <w:lang w:val="en-US" w:eastAsia="zh-CN"/>
        </w:rPr>
        <w:t>个三级指标构成，权重分为40分，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37.6</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color w:val="auto"/>
          <w:sz w:val="32"/>
          <w:szCs w:val="32"/>
        </w:rPr>
        <w:t>指标1</w:t>
      </w:r>
      <w:r>
        <w:rPr>
          <w:rFonts w:hint="eastAsia"/>
          <w:color w:val="auto"/>
          <w:sz w:val="32"/>
          <w:szCs w:val="32"/>
          <w:lang w:eastAsia="zh-CN"/>
        </w:rPr>
        <w:t>：宫颈癌检查人数（人次）</w:t>
      </w:r>
      <w:r>
        <w:rPr>
          <w:rFonts w:hint="eastAsia"/>
          <w:color w:val="auto"/>
          <w:sz w:val="32"/>
          <w:szCs w:val="32"/>
        </w:rPr>
        <w:t>，指标值：</w:t>
      </w:r>
      <w:r>
        <w:rPr>
          <w:rFonts w:hint="eastAsia"/>
          <w:color w:val="auto"/>
          <w:sz w:val="32"/>
          <w:szCs w:val="32"/>
          <w:lang w:val="en-US" w:eastAsia="zh-CN"/>
        </w:rPr>
        <w:t>500</w:t>
      </w:r>
      <w:r>
        <w:rPr>
          <w:rFonts w:hint="eastAsia"/>
          <w:color w:val="auto"/>
          <w:sz w:val="32"/>
          <w:szCs w:val="32"/>
          <w:lang w:eastAsia="zh-CN"/>
        </w:rPr>
        <w:t>人</w:t>
      </w:r>
      <w:r>
        <w:rPr>
          <w:rFonts w:hint="eastAsia"/>
          <w:color w:val="auto"/>
          <w:sz w:val="32"/>
          <w:szCs w:val="32"/>
          <w:lang w:val="en-US" w:eastAsia="zh-CN"/>
        </w:rPr>
        <w:t>/</w:t>
      </w:r>
      <w:r>
        <w:rPr>
          <w:rFonts w:hint="eastAsia"/>
          <w:color w:val="auto"/>
          <w:sz w:val="32"/>
          <w:szCs w:val="32"/>
          <w:lang w:eastAsia="zh-CN"/>
        </w:rPr>
        <w:t>次</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800</w:t>
      </w:r>
      <w:r>
        <w:rPr>
          <w:rFonts w:hint="eastAsia"/>
          <w:color w:val="auto"/>
          <w:sz w:val="32"/>
          <w:szCs w:val="32"/>
          <w:lang w:eastAsia="zh-CN"/>
        </w:rPr>
        <w:t>人次</w:t>
      </w:r>
      <w:r>
        <w:rPr>
          <w:rFonts w:hint="eastAsia"/>
          <w:color w:val="auto"/>
          <w:sz w:val="32"/>
          <w:szCs w:val="32"/>
        </w:rPr>
        <w:t>，指标完成率</w:t>
      </w:r>
      <w:r>
        <w:rPr>
          <w:rFonts w:hint="eastAsia"/>
          <w:color w:val="auto"/>
          <w:sz w:val="32"/>
          <w:szCs w:val="32"/>
          <w:lang w:val="en-US" w:eastAsia="zh-CN"/>
        </w:rPr>
        <w:t>160</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偏差原因：2023年年初预算是根据2022年任务设定，2023年5月份下发《2023年基本公共卫生服务项目（农村妇女两癌检查项目）实施方案》，霍尔果斯市宫颈癌筛查人数800人，乳腺癌检查人数200人</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val="en-US" w:eastAsia="zh-CN"/>
        </w:rPr>
      </w:pPr>
      <w:r>
        <w:rPr>
          <w:rFonts w:hint="eastAsia"/>
          <w:color w:val="auto"/>
          <w:sz w:val="32"/>
          <w:szCs w:val="32"/>
        </w:rPr>
        <w:t>指标2：乳腺癌检查人数（人次），指标值：</w:t>
      </w:r>
      <w:r>
        <w:rPr>
          <w:rFonts w:hint="eastAsia"/>
          <w:color w:val="auto"/>
          <w:sz w:val="32"/>
          <w:szCs w:val="32"/>
          <w:lang w:val="en-US" w:eastAsia="zh-CN"/>
        </w:rPr>
        <w:t>500</w:t>
      </w:r>
      <w:r>
        <w:rPr>
          <w:rFonts w:hint="eastAsia"/>
          <w:color w:val="auto"/>
          <w:sz w:val="32"/>
          <w:szCs w:val="32"/>
          <w:lang w:eastAsia="zh-CN"/>
        </w:rPr>
        <w:t>人</w:t>
      </w:r>
      <w:r>
        <w:rPr>
          <w:rFonts w:hint="eastAsia"/>
          <w:color w:val="auto"/>
          <w:sz w:val="32"/>
          <w:szCs w:val="32"/>
          <w:lang w:val="en-US" w:eastAsia="zh-CN"/>
        </w:rPr>
        <w:t>/</w:t>
      </w:r>
      <w:r>
        <w:rPr>
          <w:rFonts w:hint="eastAsia"/>
          <w:color w:val="auto"/>
          <w:sz w:val="32"/>
          <w:szCs w:val="32"/>
          <w:lang w:eastAsia="zh-CN"/>
        </w:rPr>
        <w:t>次</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200</w:t>
      </w:r>
      <w:r>
        <w:rPr>
          <w:rFonts w:hint="eastAsia"/>
          <w:color w:val="auto"/>
          <w:sz w:val="32"/>
          <w:szCs w:val="32"/>
          <w:lang w:eastAsia="zh-CN"/>
        </w:rPr>
        <w:t>人</w:t>
      </w:r>
      <w:r>
        <w:rPr>
          <w:rFonts w:hint="eastAsia"/>
          <w:color w:val="auto"/>
          <w:sz w:val="32"/>
          <w:szCs w:val="32"/>
          <w:lang w:val="en-US" w:eastAsia="zh-CN"/>
        </w:rPr>
        <w:t>/</w:t>
      </w:r>
      <w:r>
        <w:rPr>
          <w:rFonts w:hint="eastAsia"/>
          <w:color w:val="auto"/>
          <w:sz w:val="32"/>
          <w:szCs w:val="32"/>
          <w:lang w:eastAsia="zh-CN"/>
        </w:rPr>
        <w:t>次，</w:t>
      </w:r>
      <w:r>
        <w:rPr>
          <w:rFonts w:hint="eastAsia"/>
          <w:color w:val="auto"/>
          <w:sz w:val="32"/>
          <w:szCs w:val="32"/>
        </w:rPr>
        <w:t>指标完成率</w:t>
      </w:r>
      <w:r>
        <w:rPr>
          <w:rFonts w:hint="eastAsia"/>
          <w:color w:val="auto"/>
          <w:sz w:val="32"/>
          <w:szCs w:val="32"/>
          <w:lang w:val="en-US" w:eastAsia="zh-CN"/>
        </w:rPr>
        <w:t>40</w:t>
      </w:r>
      <w:r>
        <w:rPr>
          <w:rFonts w:hint="eastAsia"/>
          <w:color w:val="auto"/>
          <w:sz w:val="32"/>
          <w:szCs w:val="32"/>
        </w:rPr>
        <w:t>%，偏差原因：2023年年初预算是根据2022年任务设定，2023年5月份下发《2023年基本公共卫生服务项目（农村妇女两癌检查项目）实施方案》，霍尔果斯市宫颈癌筛查人数800人，乳腺癌检查人数200人</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highlight w:val="yellow"/>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购置一体化阴道镜套数</w:t>
      </w:r>
      <w:r>
        <w:rPr>
          <w:rFonts w:hint="eastAsia" w:ascii="仿宋_GB2312" w:hAnsi="仿宋_GB2312" w:cs="仿宋_GB2312"/>
          <w:sz w:val="32"/>
          <w:szCs w:val="32"/>
          <w:highlight w:val="none"/>
          <w:lang w:val="en-US" w:eastAsia="zh-CN"/>
        </w:rPr>
        <w:t>，</w:t>
      </w:r>
      <w:r>
        <w:rPr>
          <w:rFonts w:hint="eastAsia"/>
          <w:color w:val="auto"/>
          <w:sz w:val="32"/>
          <w:szCs w:val="32"/>
          <w:highlight w:val="none"/>
        </w:rPr>
        <w:t>指标值：</w:t>
      </w:r>
      <w:r>
        <w:rPr>
          <w:rFonts w:hint="eastAsia"/>
          <w:color w:val="auto"/>
          <w:sz w:val="32"/>
          <w:szCs w:val="32"/>
          <w:highlight w:val="none"/>
          <w:lang w:val="en-US" w:eastAsia="zh-CN"/>
        </w:rPr>
        <w:t>1套。</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lang w:eastAsia="zh-CN"/>
        </w:rPr>
        <w:t>%</w:t>
      </w:r>
      <w:r>
        <w:rPr>
          <w:rFonts w:hint="eastAsia"/>
          <w:color w:val="auto"/>
          <w:sz w:val="32"/>
          <w:szCs w:val="32"/>
          <w:highlight w:val="none"/>
          <w:lang w:val="en-US" w:eastAsia="zh-CN"/>
        </w:rPr>
        <w:t>，</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000000" w:themeColor="text1"/>
          <w:sz w:val="32"/>
          <w:szCs w:val="32"/>
          <w:highlight w:val="none"/>
          <w:lang w:eastAsia="zh-CN"/>
          <w14:textFill>
            <w14:solidFill>
              <w14:schemeClr w14:val="tx1"/>
            </w14:solidFill>
          </w14:textFill>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指标1：宫颈癌癌早诊率，指标值：&gt;=90%，实际完成值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lang w:eastAsia="zh-CN"/>
        </w:rPr>
        <w:t>%</w:t>
      </w:r>
      <w:r>
        <w:rPr>
          <w:rFonts w:hint="eastAsia"/>
          <w:color w:val="auto"/>
          <w:sz w:val="32"/>
          <w:szCs w:val="32"/>
          <w:lang w:val="en-US" w:eastAsia="zh-CN"/>
        </w:rPr>
        <w:t>，</w:t>
      </w:r>
      <w:r>
        <w:rPr>
          <w:rFonts w:hint="eastAsia"/>
          <w:color w:val="auto"/>
          <w:sz w:val="32"/>
          <w:szCs w:val="32"/>
        </w:rPr>
        <w:t>指标完成率</w:t>
      </w:r>
      <w:r>
        <w:rPr>
          <w:rFonts w:hint="eastAsia"/>
          <w:color w:val="auto"/>
          <w:sz w:val="32"/>
          <w:szCs w:val="32"/>
          <w:lang w:val="en-US" w:eastAsia="zh-CN"/>
        </w:rPr>
        <w:t>:111.11</w:t>
      </w:r>
      <w:r>
        <w:rPr>
          <w:rFonts w:hint="eastAsia"/>
          <w:color w:val="auto"/>
          <w:sz w:val="32"/>
          <w:szCs w:val="32"/>
        </w:rPr>
        <w:t>%</w:t>
      </w:r>
      <w:r>
        <w:rPr>
          <w:rFonts w:hint="eastAsia"/>
          <w:color w:val="000000" w:themeColor="text1"/>
          <w:sz w:val="32"/>
          <w:szCs w:val="32"/>
          <w:lang w:eastAsia="zh-CN"/>
          <w14:textFill>
            <w14:solidFill>
              <w14:schemeClr w14:val="tx1"/>
            </w14:solidFill>
          </w14:textFill>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FF0000"/>
          <w:sz w:val="32"/>
          <w:szCs w:val="32"/>
          <w:highlight w:val="yellow"/>
          <w:lang w:val="en-US" w:eastAsia="zh-CN"/>
        </w:rPr>
      </w:pPr>
      <w:r>
        <w:rPr>
          <w:rFonts w:hint="eastAsia"/>
          <w:color w:val="auto"/>
          <w:sz w:val="32"/>
          <w:szCs w:val="32"/>
          <w:highlight w:val="none"/>
        </w:rPr>
        <w:t>指标2：乳腺癌早诊率，指标值：&gt;=60%</w:t>
      </w:r>
      <w:r>
        <w:rPr>
          <w:rFonts w:hint="eastAsia"/>
          <w:color w:val="auto"/>
          <w:sz w:val="32"/>
          <w:szCs w:val="32"/>
          <w:highlight w:val="none"/>
          <w:lang w:eastAsia="zh-CN"/>
        </w:rPr>
        <w:t>，</w:t>
      </w:r>
      <w:r>
        <w:rPr>
          <w:rFonts w:hint="eastAsia"/>
          <w:color w:val="auto"/>
          <w:sz w:val="32"/>
          <w:szCs w:val="32"/>
          <w:highlight w:val="none"/>
        </w:rPr>
        <w:t>实际完成值</w:t>
      </w:r>
      <w:r>
        <w:rPr>
          <w:rFonts w:hint="eastAsia"/>
          <w:color w:val="auto"/>
          <w:sz w:val="32"/>
          <w:szCs w:val="32"/>
          <w:highlight w:val="none"/>
          <w:lang w:eastAsia="zh-CN"/>
        </w:rPr>
        <w:t>：100%</w:t>
      </w:r>
      <w:r>
        <w:rPr>
          <w:rFonts w:hint="eastAsia"/>
          <w:color w:val="auto"/>
          <w:sz w:val="32"/>
          <w:szCs w:val="32"/>
          <w:highlight w:val="none"/>
        </w:rPr>
        <w:t>，指标完成率</w:t>
      </w:r>
      <w:r>
        <w:rPr>
          <w:rFonts w:hint="eastAsia"/>
          <w:color w:val="auto"/>
          <w:sz w:val="32"/>
          <w:szCs w:val="32"/>
          <w:highlight w:val="none"/>
          <w:lang w:val="en-US" w:eastAsia="zh-CN"/>
        </w:rPr>
        <w:t>:166.66</w:t>
      </w:r>
      <w:r>
        <w:rPr>
          <w:rFonts w:hint="eastAsia"/>
          <w:color w:val="auto"/>
          <w:sz w:val="32"/>
          <w:szCs w:val="32"/>
          <w:highlight w:val="none"/>
        </w:rPr>
        <w:t>%</w:t>
      </w:r>
      <w:r>
        <w:rPr>
          <w:rFonts w:hint="eastAsia"/>
          <w:color w:val="auto"/>
          <w:sz w:val="32"/>
          <w:szCs w:val="32"/>
          <w:highlight w:val="none"/>
          <w:lang w:eastAsia="zh-CN"/>
        </w:rPr>
        <w:t>。</w:t>
      </w:r>
      <w:r>
        <w:rPr>
          <w:rFonts w:hint="eastAsia" w:ascii="仿宋_GB2312" w:hAnsi="仿宋_GB2312" w:eastAsia="仿宋_GB2312" w:cs="仿宋_GB2312"/>
          <w:sz w:val="32"/>
          <w:szCs w:val="32"/>
          <w:highlight w:val="none"/>
        </w:rPr>
        <w:t>偏</w:t>
      </w:r>
      <w:r>
        <w:rPr>
          <w:rFonts w:hint="eastAsia" w:ascii="仿宋_GB2312" w:hAnsi="仿宋_GB2312" w:eastAsia="仿宋_GB2312" w:cs="仿宋_GB2312"/>
          <w:sz w:val="32"/>
          <w:szCs w:val="32"/>
        </w:rPr>
        <w:t>差原因：</w:t>
      </w:r>
      <w:r>
        <w:rPr>
          <w:rFonts w:hint="eastAsia" w:ascii="仿宋_GB2312" w:hAnsi="仿宋_GB2312" w:cs="仿宋_GB2312"/>
          <w:sz w:val="32"/>
          <w:szCs w:val="32"/>
          <w:lang w:val="en-US" w:eastAsia="zh-CN"/>
        </w:rPr>
        <w:t>发现乳腺癌初筛异常人员，进行上级复查，无一人漏查。</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FF0000"/>
          <w:sz w:val="32"/>
          <w:szCs w:val="32"/>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：政府采购率</w:t>
      </w:r>
      <w:r>
        <w:rPr>
          <w:rFonts w:hint="eastAsia" w:ascii="仿宋_GB2312" w:hAnsi="仿宋_GB2312" w:cs="仿宋_GB2312"/>
          <w:sz w:val="32"/>
          <w:szCs w:val="32"/>
          <w:highlight w:val="none"/>
          <w:lang w:eastAsia="zh-CN"/>
        </w:rPr>
        <w:t>，</w:t>
      </w:r>
      <w:r>
        <w:rPr>
          <w:rFonts w:hint="eastAsia"/>
          <w:color w:val="auto"/>
          <w:sz w:val="32"/>
          <w:szCs w:val="32"/>
          <w:highlight w:val="none"/>
        </w:rPr>
        <w:t>指标值：&gt;=85%</w:t>
      </w:r>
      <w:r>
        <w:rPr>
          <w:rFonts w:hint="eastAsia"/>
          <w:color w:val="auto"/>
          <w:sz w:val="32"/>
          <w:szCs w:val="32"/>
          <w:highlight w:val="none"/>
          <w:lang w:eastAsia="zh-CN"/>
        </w:rPr>
        <w:t>，</w:t>
      </w:r>
      <w:r>
        <w:rPr>
          <w:rFonts w:hint="eastAsia"/>
          <w:color w:val="auto"/>
          <w:sz w:val="32"/>
          <w:szCs w:val="32"/>
          <w:highlight w:val="none"/>
        </w:rPr>
        <w:t>实际完成值</w:t>
      </w:r>
      <w:r>
        <w:rPr>
          <w:rFonts w:hint="eastAsia"/>
          <w:color w:val="auto"/>
          <w:sz w:val="32"/>
          <w:szCs w:val="32"/>
          <w:highlight w:val="none"/>
          <w:lang w:eastAsia="zh-CN"/>
        </w:rPr>
        <w:t>：100%</w:t>
      </w:r>
      <w:r>
        <w:rPr>
          <w:rFonts w:hint="eastAsia"/>
          <w:color w:val="auto"/>
          <w:sz w:val="32"/>
          <w:szCs w:val="32"/>
          <w:highlight w:val="none"/>
        </w:rPr>
        <w:t>，指标完成率</w:t>
      </w:r>
      <w:r>
        <w:rPr>
          <w:rFonts w:hint="eastAsia"/>
          <w:color w:val="auto"/>
          <w:sz w:val="32"/>
          <w:szCs w:val="32"/>
          <w:highlight w:val="none"/>
          <w:lang w:val="en-US" w:eastAsia="zh-CN"/>
        </w:rPr>
        <w:t>:117.64</w:t>
      </w:r>
      <w:r>
        <w:rPr>
          <w:rFonts w:hint="eastAsia"/>
          <w:color w:val="auto"/>
          <w:sz w:val="32"/>
          <w:szCs w:val="32"/>
          <w:highlight w:val="none"/>
        </w:rPr>
        <w:t>%</w:t>
      </w:r>
      <w:r>
        <w:rPr>
          <w:rFonts w:hint="eastAsia"/>
          <w:color w:val="auto"/>
          <w:sz w:val="32"/>
          <w:szCs w:val="32"/>
          <w:highlight w:val="none"/>
          <w:lang w:eastAsia="zh-CN"/>
        </w:rPr>
        <w:t>。</w:t>
      </w:r>
      <w:r>
        <w:rPr>
          <w:rFonts w:hint="eastAsia" w:ascii="仿宋_GB2312" w:hAnsi="仿宋_GB2312" w:eastAsia="仿宋_GB2312" w:cs="仿宋_GB2312"/>
          <w:sz w:val="32"/>
          <w:szCs w:val="32"/>
          <w:highlight w:val="none"/>
        </w:rPr>
        <w:t>偏</w:t>
      </w:r>
      <w:r>
        <w:rPr>
          <w:rFonts w:hint="eastAsia" w:ascii="仿宋_GB2312" w:hAnsi="仿宋_GB2312" w:eastAsia="仿宋_GB2312" w:cs="仿宋_GB2312"/>
          <w:sz w:val="32"/>
          <w:szCs w:val="32"/>
        </w:rPr>
        <w:t>差原因：</w:t>
      </w:r>
      <w:r>
        <w:rPr>
          <w:rFonts w:hint="eastAsia" w:ascii="仿宋_GB2312" w:hAnsi="仿宋_GB2312" w:cs="仿宋_GB2312"/>
          <w:sz w:val="32"/>
          <w:szCs w:val="32"/>
          <w:lang w:val="en-US" w:eastAsia="zh-CN"/>
        </w:rPr>
        <w:t>所有项目采购设备，均符合项目采购。</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rPr>
        <w:t>：设备质量合格率</w:t>
      </w:r>
      <w:r>
        <w:rPr>
          <w:rFonts w:hint="eastAsia" w:ascii="仿宋_GB2312" w:hAnsi="仿宋_GB2312" w:cs="仿宋_GB2312"/>
          <w:sz w:val="32"/>
          <w:szCs w:val="32"/>
          <w:highlight w:val="none"/>
          <w:lang w:eastAsia="zh-CN"/>
        </w:rPr>
        <w:t>，</w:t>
      </w:r>
      <w:r>
        <w:rPr>
          <w:rFonts w:hint="eastAsia"/>
          <w:color w:val="auto"/>
          <w:sz w:val="32"/>
          <w:szCs w:val="32"/>
        </w:rPr>
        <w:t>指标值：=100%</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rPr>
        <w:t>：设备验收合格率</w:t>
      </w:r>
      <w:r>
        <w:rPr>
          <w:rFonts w:hint="eastAsia" w:ascii="仿宋_GB2312" w:hAnsi="仿宋_GB2312" w:cs="仿宋_GB2312"/>
          <w:sz w:val="32"/>
          <w:szCs w:val="32"/>
          <w:highlight w:val="none"/>
          <w:lang w:eastAsia="zh-CN"/>
        </w:rPr>
        <w:t>，</w:t>
      </w:r>
      <w:r>
        <w:rPr>
          <w:rFonts w:hint="eastAsia"/>
          <w:color w:val="auto"/>
          <w:sz w:val="32"/>
          <w:szCs w:val="32"/>
        </w:rPr>
        <w:t>指标值：=100%</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color w:val="auto"/>
          <w:sz w:val="32"/>
          <w:szCs w:val="32"/>
          <w:lang w:eastAsia="zh-CN"/>
        </w:rPr>
      </w:pPr>
      <w:bookmarkStart w:id="15" w:name="_Toc68703841"/>
      <w:r>
        <w:rPr>
          <w:rFonts w:hint="eastAsia"/>
          <w:color w:val="auto"/>
          <w:sz w:val="32"/>
          <w:szCs w:val="32"/>
        </w:rPr>
        <w:t>指标1：两癌检查完成时间</w:t>
      </w:r>
      <w:r>
        <w:rPr>
          <w:rFonts w:hint="eastAsia"/>
          <w:color w:val="auto"/>
          <w:sz w:val="32"/>
          <w:szCs w:val="32"/>
          <w:lang w:eastAsia="zh-CN"/>
        </w:rPr>
        <w:t>，</w:t>
      </w:r>
      <w:r>
        <w:rPr>
          <w:rFonts w:hint="eastAsia"/>
          <w:color w:val="auto"/>
          <w:sz w:val="32"/>
          <w:szCs w:val="32"/>
        </w:rPr>
        <w:t>指标值：2023年12月20日</w:t>
      </w:r>
      <w:r>
        <w:rPr>
          <w:rFonts w:hint="eastAsia" w:ascii="仿宋_GB2312" w:hAnsi="仿宋_GB2312" w:cs="仿宋_GB2312"/>
          <w:sz w:val="32"/>
          <w:szCs w:val="32"/>
          <w:highlight w:val="none"/>
          <w:lang w:val="en-US" w:eastAsia="zh-CN"/>
        </w:rPr>
        <w:t>，</w:t>
      </w:r>
      <w:r>
        <w:rPr>
          <w:rFonts w:hint="eastAsia"/>
          <w:color w:val="auto"/>
          <w:sz w:val="32"/>
          <w:szCs w:val="32"/>
        </w:rPr>
        <w:t>实际完成值</w:t>
      </w:r>
      <w:r>
        <w:rPr>
          <w:rFonts w:hint="eastAsia"/>
          <w:color w:val="auto"/>
          <w:sz w:val="32"/>
          <w:szCs w:val="32"/>
          <w:lang w:eastAsia="zh-CN"/>
        </w:rPr>
        <w:t>：2023年12月20日，</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：一体化阴道镜采购完成时间</w:t>
      </w:r>
      <w:r>
        <w:rPr>
          <w:rFonts w:hint="eastAsia"/>
          <w:color w:val="auto"/>
          <w:sz w:val="32"/>
          <w:szCs w:val="32"/>
          <w:lang w:eastAsia="zh-CN"/>
        </w:rPr>
        <w:t>，</w:t>
      </w:r>
      <w:r>
        <w:rPr>
          <w:rFonts w:hint="eastAsia"/>
          <w:color w:val="auto"/>
          <w:sz w:val="32"/>
          <w:szCs w:val="32"/>
        </w:rPr>
        <w:t>指标值：2023年12月1日</w:t>
      </w:r>
      <w:r>
        <w:rPr>
          <w:rFonts w:hint="eastAsia" w:ascii="仿宋_GB2312" w:hAnsi="仿宋_GB2312" w:cs="仿宋_GB2312"/>
          <w:sz w:val="32"/>
          <w:szCs w:val="32"/>
          <w:highlight w:val="none"/>
          <w:lang w:val="en-US" w:eastAsia="zh-CN"/>
        </w:rPr>
        <w:t>，</w:t>
      </w:r>
      <w:r>
        <w:rPr>
          <w:rFonts w:hint="eastAsia"/>
          <w:color w:val="auto"/>
          <w:sz w:val="32"/>
          <w:szCs w:val="32"/>
        </w:rPr>
        <w:t>实际完成值</w:t>
      </w:r>
      <w:r>
        <w:rPr>
          <w:rFonts w:hint="eastAsia"/>
          <w:color w:val="auto"/>
          <w:sz w:val="32"/>
          <w:szCs w:val="32"/>
          <w:lang w:eastAsia="zh-CN"/>
        </w:rPr>
        <w:t>：2023年12月1日，</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指标1：超声检查费标准</w:t>
      </w:r>
      <w:r>
        <w:rPr>
          <w:rFonts w:hint="eastAsia"/>
          <w:color w:val="auto"/>
          <w:sz w:val="32"/>
          <w:szCs w:val="32"/>
          <w:lang w:eastAsia="zh-CN"/>
        </w:rPr>
        <w:t>，</w:t>
      </w:r>
      <w:r>
        <w:rPr>
          <w:rFonts w:hint="eastAsia"/>
          <w:color w:val="auto"/>
          <w:sz w:val="32"/>
          <w:szCs w:val="32"/>
        </w:rPr>
        <w:t>指标值：=40元/人</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rPr>
        <w:t>40元/人</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：宫颈细胞学检查标准</w:t>
      </w:r>
      <w:r>
        <w:rPr>
          <w:rFonts w:hint="eastAsia"/>
          <w:color w:val="auto"/>
          <w:sz w:val="32"/>
          <w:szCs w:val="32"/>
          <w:lang w:eastAsia="zh-CN"/>
        </w:rPr>
        <w:t>，</w:t>
      </w:r>
      <w:r>
        <w:rPr>
          <w:rFonts w:hint="eastAsia"/>
          <w:color w:val="auto"/>
          <w:sz w:val="32"/>
          <w:szCs w:val="32"/>
        </w:rPr>
        <w:t>指标值：=</w:t>
      </w:r>
      <w:r>
        <w:rPr>
          <w:rFonts w:hint="eastAsia"/>
          <w:color w:val="auto"/>
          <w:sz w:val="32"/>
          <w:szCs w:val="32"/>
          <w:lang w:val="en-US" w:eastAsia="zh-CN"/>
        </w:rPr>
        <w:t>8</w:t>
      </w:r>
      <w:r>
        <w:rPr>
          <w:rFonts w:hint="eastAsia"/>
          <w:color w:val="auto"/>
          <w:sz w:val="32"/>
          <w:szCs w:val="32"/>
        </w:rPr>
        <w:t>0元/人</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val="en-US" w:eastAsia="zh-CN"/>
        </w:rPr>
        <w:t>:8</w:t>
      </w:r>
      <w:r>
        <w:rPr>
          <w:rFonts w:hint="eastAsia"/>
          <w:color w:val="auto"/>
          <w:sz w:val="32"/>
          <w:szCs w:val="32"/>
        </w:rPr>
        <w:t>0元/人</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3</w:t>
      </w:r>
      <w:r>
        <w:rPr>
          <w:rFonts w:hint="eastAsia"/>
          <w:color w:val="auto"/>
          <w:sz w:val="32"/>
          <w:szCs w:val="32"/>
        </w:rPr>
        <w:t>：购置一体化阴道镜成本</w:t>
      </w:r>
      <w:r>
        <w:rPr>
          <w:rFonts w:hint="eastAsia"/>
          <w:color w:val="auto"/>
          <w:sz w:val="32"/>
          <w:szCs w:val="32"/>
          <w:lang w:eastAsia="zh-CN"/>
        </w:rPr>
        <w:t>，</w:t>
      </w:r>
      <w:r>
        <w:rPr>
          <w:rFonts w:hint="eastAsia"/>
          <w:color w:val="auto"/>
          <w:sz w:val="32"/>
          <w:szCs w:val="32"/>
        </w:rPr>
        <w:t>指标值：</w:t>
      </w:r>
      <w:r>
        <w:rPr>
          <w:rFonts w:hint="eastAsia"/>
          <w:color w:val="auto"/>
          <w:sz w:val="32"/>
          <w:szCs w:val="32"/>
          <w:lang w:val="en-US" w:eastAsia="zh-CN"/>
        </w:rPr>
        <w:t>&lt;</w:t>
      </w:r>
      <w:r>
        <w:rPr>
          <w:rFonts w:hint="eastAsia"/>
          <w:color w:val="auto"/>
          <w:sz w:val="32"/>
          <w:szCs w:val="32"/>
        </w:rPr>
        <w:t>=</w:t>
      </w:r>
      <w:r>
        <w:rPr>
          <w:rFonts w:hint="eastAsia"/>
          <w:color w:val="auto"/>
          <w:sz w:val="32"/>
          <w:szCs w:val="32"/>
          <w:lang w:val="en-US" w:eastAsia="zh-CN"/>
        </w:rPr>
        <w:t>420000</w:t>
      </w:r>
      <w:r>
        <w:rPr>
          <w:rFonts w:hint="eastAsia"/>
          <w:color w:val="auto"/>
          <w:sz w:val="32"/>
          <w:szCs w:val="32"/>
        </w:rPr>
        <w:t>元</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360000元</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:85.71</w:t>
      </w:r>
      <w:r>
        <w:rPr>
          <w:rFonts w:hint="eastAsia"/>
          <w:color w:val="auto"/>
          <w:sz w:val="32"/>
          <w:szCs w:val="32"/>
        </w:rPr>
        <w:t>%</w:t>
      </w:r>
      <w:r>
        <w:rPr>
          <w:rFonts w:hint="eastAsia"/>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5"/>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个三级指标构成，权重分为20分，</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实际得分</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20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分，得分率为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sz w:val="32"/>
          <w:szCs w:val="32"/>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pPr>
        <w:shd w:val="clear"/>
        <w:spacing w:line="600" w:lineRule="exact"/>
        <w:ind w:firstLine="640" w:firstLineChars="200"/>
        <w:outlineLvl w:val="0"/>
        <w:rPr>
          <w:rFonts w:hint="default"/>
          <w:color w:val="auto"/>
          <w:sz w:val="32"/>
          <w:szCs w:val="32"/>
          <w:lang w:val="en-US" w:eastAsia="zh-CN"/>
        </w:rPr>
      </w:pPr>
      <w:r>
        <w:rPr>
          <w:rFonts w:hint="eastAsia"/>
          <w:color w:val="auto"/>
          <w:sz w:val="32"/>
          <w:szCs w:val="32"/>
        </w:rPr>
        <w:t>指标1：设备利用率</w:t>
      </w:r>
      <w:r>
        <w:rPr>
          <w:rFonts w:hint="eastAsia"/>
          <w:color w:val="auto"/>
          <w:sz w:val="32"/>
          <w:szCs w:val="32"/>
          <w:lang w:eastAsia="zh-CN"/>
        </w:rPr>
        <w:t>，</w:t>
      </w:r>
      <w:r>
        <w:rPr>
          <w:rFonts w:hint="eastAsia"/>
          <w:color w:val="auto"/>
          <w:sz w:val="32"/>
          <w:szCs w:val="32"/>
        </w:rPr>
        <w:t>指标值：</w:t>
      </w:r>
      <w:r>
        <w:rPr>
          <w:rFonts w:hint="eastAsia"/>
          <w:color w:val="auto"/>
          <w:sz w:val="32"/>
          <w:szCs w:val="32"/>
          <w:lang w:val="en-US" w:eastAsia="zh-CN"/>
        </w:rPr>
        <w:t>&gt;</w:t>
      </w:r>
      <w:r>
        <w:rPr>
          <w:rFonts w:hint="eastAsia"/>
          <w:color w:val="auto"/>
          <w:sz w:val="32"/>
          <w:szCs w:val="32"/>
        </w:rPr>
        <w:t>=</w:t>
      </w:r>
      <w:r>
        <w:rPr>
          <w:rFonts w:hint="eastAsia"/>
          <w:color w:val="auto"/>
          <w:sz w:val="32"/>
          <w:szCs w:val="32"/>
          <w:lang w:val="en-US" w:eastAsia="zh-CN"/>
        </w:rPr>
        <w:t>95%</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val="en-US" w:eastAsia="zh-CN"/>
        </w:rPr>
        <w:t>:95%</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r>
        <w:rPr>
          <w:rFonts w:hint="eastAsia"/>
          <w:color w:val="auto"/>
          <w:sz w:val="32"/>
          <w:szCs w:val="32"/>
          <w:lang w:val="en-US" w:eastAsia="zh-CN"/>
        </w:rPr>
        <w:t xml:space="preserve">  </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color w:val="auto"/>
          <w:sz w:val="32"/>
          <w:szCs w:val="32"/>
          <w:highlight w:val="none"/>
          <w:lang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：有效保障妇女健康水平</w:t>
      </w:r>
      <w:r>
        <w:rPr>
          <w:rFonts w:hint="eastAsia"/>
          <w:color w:val="auto"/>
          <w:sz w:val="32"/>
          <w:szCs w:val="32"/>
          <w:highlight w:val="none"/>
          <w:lang w:eastAsia="zh-CN"/>
        </w:rPr>
        <w:t>，</w:t>
      </w:r>
      <w:r>
        <w:rPr>
          <w:rFonts w:hint="eastAsia"/>
          <w:color w:val="auto"/>
          <w:sz w:val="32"/>
          <w:szCs w:val="32"/>
          <w:highlight w:val="none"/>
        </w:rPr>
        <w:t>指标值：</w:t>
      </w:r>
      <w:r>
        <w:rPr>
          <w:rFonts w:hint="eastAsia"/>
          <w:color w:val="auto"/>
          <w:sz w:val="32"/>
          <w:szCs w:val="32"/>
          <w:highlight w:val="none"/>
          <w:lang w:eastAsia="zh-CN"/>
        </w:rPr>
        <w:t>有效保障，</w:t>
      </w:r>
      <w:r>
        <w:rPr>
          <w:rFonts w:hint="eastAsia"/>
          <w:color w:val="auto"/>
          <w:sz w:val="32"/>
          <w:szCs w:val="32"/>
          <w:highlight w:val="none"/>
        </w:rPr>
        <w:t>实际完成值</w:t>
      </w:r>
      <w:r>
        <w:rPr>
          <w:rFonts w:hint="eastAsia"/>
          <w:color w:val="auto"/>
          <w:sz w:val="32"/>
          <w:szCs w:val="32"/>
          <w:highlight w:val="none"/>
          <w:lang w:val="en-US" w:eastAsia="zh-CN"/>
        </w:rPr>
        <w:t>:100%</w:t>
      </w:r>
      <w:r>
        <w:rPr>
          <w:rFonts w:hint="eastAsia"/>
          <w:color w:val="auto"/>
          <w:sz w:val="32"/>
          <w:szCs w:val="32"/>
          <w:highlight w:val="none"/>
          <w:lang w:eastAsia="zh-CN"/>
        </w:rPr>
        <w:t>，</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highlight w:val="none"/>
        </w:rPr>
        <w:t>指标</w:t>
      </w:r>
      <w:r>
        <w:rPr>
          <w:rFonts w:hint="eastAsia"/>
          <w:color w:val="auto"/>
          <w:sz w:val="32"/>
          <w:szCs w:val="32"/>
          <w:highlight w:val="none"/>
          <w:lang w:val="en-US" w:eastAsia="zh-CN"/>
        </w:rPr>
        <w:t>1：</w:t>
      </w:r>
      <w:r>
        <w:rPr>
          <w:rFonts w:hint="eastAsia" w:ascii="仿宋_GB2312" w:hAnsi="仿宋_GB2312" w:eastAsia="仿宋_GB2312" w:cs="仿宋_GB2312"/>
          <w:sz w:val="32"/>
          <w:szCs w:val="32"/>
          <w:highlight w:val="none"/>
          <w:lang w:val="en-US" w:eastAsia="zh-CN"/>
        </w:rPr>
        <w:t>使用人员满意度</w:t>
      </w:r>
      <w:r>
        <w:rPr>
          <w:rFonts w:hint="eastAsia" w:ascii="仿宋_GB2312" w:hAnsi="仿宋_GB2312" w:cs="仿宋_GB2312"/>
          <w:sz w:val="32"/>
          <w:szCs w:val="32"/>
          <w:highlight w:val="none"/>
          <w:lang w:val="en-US" w:eastAsia="zh-CN"/>
        </w:rPr>
        <w:t>,</w:t>
      </w:r>
      <w:r>
        <w:rPr>
          <w:rFonts w:hint="eastAsia"/>
          <w:color w:val="auto"/>
          <w:sz w:val="32"/>
          <w:szCs w:val="32"/>
        </w:rPr>
        <w:t>指标</w:t>
      </w:r>
      <w:r>
        <w:rPr>
          <w:rFonts w:hint="eastAsia"/>
          <w:color w:val="auto"/>
          <w:sz w:val="32"/>
          <w:szCs w:val="32"/>
          <w:lang w:eastAsia="zh-CN"/>
        </w:rPr>
        <w:t>值</w:t>
      </w:r>
      <w:r>
        <w:rPr>
          <w:rFonts w:hint="eastAsia"/>
          <w:color w:val="auto"/>
          <w:sz w:val="32"/>
          <w:szCs w:val="32"/>
          <w:lang w:val="en-US" w:eastAsia="zh-CN"/>
        </w:rPr>
        <w:t>:&gt;=95%</w:t>
      </w:r>
      <w:r>
        <w:rPr>
          <w:rFonts w:hint="eastAsia"/>
          <w:color w:val="auto"/>
          <w:sz w:val="32"/>
          <w:szCs w:val="32"/>
        </w:rPr>
        <w:t>实际完成值</w:t>
      </w:r>
      <w:r>
        <w:rPr>
          <w:rFonts w:hint="eastAsia"/>
          <w:color w:val="auto"/>
          <w:sz w:val="32"/>
          <w:szCs w:val="32"/>
          <w:lang w:val="en-US" w:eastAsia="zh-CN"/>
        </w:rPr>
        <w:t>:=98.81%</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:104</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highlight w:val="none"/>
        </w:rPr>
        <w:t>指标</w:t>
      </w:r>
      <w:r>
        <w:rPr>
          <w:rFonts w:hint="eastAsia"/>
          <w:color w:val="auto"/>
          <w:sz w:val="32"/>
          <w:szCs w:val="32"/>
          <w:highlight w:val="none"/>
          <w:lang w:val="en-US" w:eastAsia="zh-CN"/>
        </w:rPr>
        <w:t>2</w:t>
      </w:r>
      <w:r>
        <w:rPr>
          <w:rFonts w:hint="eastAsia"/>
          <w:color w:val="auto"/>
          <w:sz w:val="32"/>
          <w:szCs w:val="32"/>
          <w:highlight w:val="none"/>
        </w:rPr>
        <w:t>：</w:t>
      </w:r>
      <w:r>
        <w:rPr>
          <w:rFonts w:hint="eastAsia"/>
          <w:color w:val="auto"/>
          <w:sz w:val="32"/>
          <w:szCs w:val="32"/>
          <w:highlight w:val="none"/>
          <w:lang w:val="en-US" w:eastAsia="zh-CN"/>
        </w:rPr>
        <w:t>两癌筛查农村妇女满意度，</w:t>
      </w:r>
      <w:r>
        <w:rPr>
          <w:rFonts w:hint="eastAsia"/>
          <w:color w:val="auto"/>
          <w:sz w:val="32"/>
          <w:szCs w:val="32"/>
        </w:rPr>
        <w:t>指标</w:t>
      </w:r>
      <w:r>
        <w:rPr>
          <w:rFonts w:hint="eastAsia"/>
          <w:color w:val="auto"/>
          <w:sz w:val="32"/>
          <w:szCs w:val="32"/>
          <w:lang w:eastAsia="zh-CN"/>
        </w:rPr>
        <w:t>值</w:t>
      </w:r>
      <w:r>
        <w:rPr>
          <w:rFonts w:hint="eastAsia"/>
          <w:color w:val="auto"/>
          <w:sz w:val="32"/>
          <w:szCs w:val="32"/>
          <w:lang w:val="en-US" w:eastAsia="zh-CN"/>
        </w:rPr>
        <w:t>:&gt;=95%</w:t>
      </w:r>
      <w:r>
        <w:rPr>
          <w:rFonts w:hint="eastAsia"/>
          <w:color w:val="auto"/>
          <w:sz w:val="32"/>
          <w:szCs w:val="32"/>
        </w:rPr>
        <w:t>实际完成值</w:t>
      </w:r>
      <w:r>
        <w:rPr>
          <w:rFonts w:hint="eastAsia"/>
          <w:color w:val="auto"/>
          <w:sz w:val="32"/>
          <w:szCs w:val="32"/>
          <w:lang w:val="en-US" w:eastAsia="zh-CN"/>
        </w:rPr>
        <w:t>:=98.81%</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:104</w:t>
      </w:r>
      <w:r>
        <w:rPr>
          <w:rFonts w:hint="eastAsia"/>
          <w:color w:val="auto"/>
          <w:sz w:val="32"/>
          <w:szCs w:val="32"/>
        </w:rPr>
        <w:t>%</w:t>
      </w:r>
      <w:r>
        <w:rPr>
          <w:rFonts w:hint="eastAsia"/>
          <w:color w:val="auto"/>
          <w:sz w:val="32"/>
          <w:szCs w:val="32"/>
          <w:lang w:eastAsia="zh-CN"/>
        </w:rPr>
        <w:t>。</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pPr>
      <w:r>
        <w:rPr>
          <w:rFonts w:hint="eastAsia" w:ascii="仿宋_GB2312" w:hAnsi="仿宋_GB2312" w:cs="仿宋_GB2312"/>
          <w:color w:val="000000" w:themeColor="text1"/>
          <w:kern w:val="2"/>
          <w:sz w:val="32"/>
          <w:szCs w:val="32"/>
          <w:lang w:val="en-US" w:eastAsia="zh-CN" w:bidi="ar-SA"/>
          <w14:textFill>
            <w14:solidFill>
              <w14:schemeClr w14:val="tx1"/>
            </w14:solidFill>
          </w14:textFill>
        </w:rPr>
        <w:t>农村妇女两癌</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项目年初预算</w:t>
      </w:r>
      <w:r>
        <w:rPr>
          <w:rFonts w:hint="eastAsia" w:ascii="仿宋_GB2312" w:hAnsi="仿宋_GB2312" w:cs="仿宋_GB2312"/>
          <w:color w:val="000000" w:themeColor="text1"/>
          <w:kern w:val="2"/>
          <w:sz w:val="32"/>
          <w:szCs w:val="32"/>
          <w:lang w:val="en-US" w:eastAsia="zh-CN" w:bidi="ar-SA"/>
          <w14:textFill>
            <w14:solidFill>
              <w14:schemeClr w14:val="tx1"/>
            </w14:solidFill>
          </w14:textFill>
        </w:rPr>
        <w:t>48</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万元，全年预算</w:t>
      </w:r>
      <w:r>
        <w:rPr>
          <w:rFonts w:hint="eastAsia" w:ascii="仿宋_GB2312" w:hAnsi="仿宋_GB2312" w:cs="仿宋_GB2312"/>
          <w:color w:val="000000" w:themeColor="text1"/>
          <w:kern w:val="2"/>
          <w:sz w:val="32"/>
          <w:szCs w:val="32"/>
          <w:lang w:val="en-US" w:eastAsia="zh-CN" w:bidi="ar-SA"/>
          <w14:textFill>
            <w14:solidFill>
              <w14:schemeClr w14:val="tx1"/>
            </w14:solidFill>
          </w14:textFill>
        </w:rPr>
        <w:t>48</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万元，实际支出</w:t>
      </w:r>
      <w:r>
        <w:rPr>
          <w:rFonts w:hint="eastAsia" w:ascii="仿宋_GB2312" w:hAnsi="仿宋_GB2312" w:cs="仿宋_GB2312"/>
          <w:color w:val="000000" w:themeColor="text1"/>
          <w:kern w:val="2"/>
          <w:sz w:val="32"/>
          <w:szCs w:val="32"/>
          <w:lang w:val="en-US" w:eastAsia="zh-CN" w:bidi="ar-SA"/>
          <w14:textFill>
            <w14:solidFill>
              <w14:schemeClr w14:val="tx1"/>
            </w14:solidFill>
          </w14:textFill>
        </w:rPr>
        <w:t>36</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万元，预算执行率为</w:t>
      </w:r>
      <w:r>
        <w:rPr>
          <w:rFonts w:hint="eastAsia" w:ascii="仿宋_GB2312" w:hAnsi="仿宋_GB2312" w:cs="仿宋_GB2312"/>
          <w:color w:val="000000" w:themeColor="text1"/>
          <w:kern w:val="2"/>
          <w:sz w:val="32"/>
          <w:szCs w:val="32"/>
          <w:lang w:val="en-US" w:eastAsia="zh-CN" w:bidi="ar-SA"/>
          <w14:textFill>
            <w14:solidFill>
              <w14:schemeClr w14:val="tx1"/>
            </w14:solidFill>
          </w14:textFill>
        </w:rPr>
        <w:t>75</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%，项目绩效指标总体完成率为</w:t>
      </w:r>
      <w:r>
        <w:rPr>
          <w:rFonts w:hint="eastAsia" w:ascii="仿宋_GB2312" w:hAnsi="仿宋_GB2312" w:cs="仿宋_GB2312"/>
          <w:color w:val="000000" w:themeColor="text1"/>
          <w:kern w:val="2"/>
          <w:sz w:val="32"/>
          <w:szCs w:val="32"/>
          <w:lang w:val="en-US" w:eastAsia="zh-CN" w:bidi="ar-SA"/>
          <w14:textFill>
            <w14:solidFill>
              <w14:schemeClr w14:val="tx1"/>
            </w14:solidFill>
          </w14:textFill>
        </w:rPr>
        <w:t>99.63</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32"/>
          <w:szCs w:val="32"/>
          <w:lang w:val="en-US" w:eastAsia="zh-Hans" w:bidi="ar-SA"/>
          <w14:textFill>
            <w14:solidFill>
              <w14:schemeClr w14:val="tx1"/>
            </w14:solidFill>
          </w14:textFill>
        </w:rPr>
        <w:t>总体</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偏差率为</w:t>
      </w:r>
      <w:r>
        <w:rPr>
          <w:rFonts w:hint="eastAsia" w:ascii="仿宋_GB2312" w:hAnsi="仿宋_GB2312" w:cs="仿宋_GB2312"/>
          <w:color w:val="000000" w:themeColor="text1"/>
          <w:kern w:val="2"/>
          <w:sz w:val="32"/>
          <w:szCs w:val="32"/>
          <w:lang w:val="en-US" w:eastAsia="zh-CN" w:bidi="ar-SA"/>
          <w14:textFill>
            <w14:solidFill>
              <w14:schemeClr w14:val="tx1"/>
            </w14:solidFill>
          </w14:textFill>
        </w:rPr>
        <w:t>24.63</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lang w:val="en-US" w:eastAsia="zh-Hans" w:bidi="ar-SA"/>
          <w14:textFill>
            <w14:solidFill>
              <w14:schemeClr w14:val="tx1"/>
            </w14:solidFill>
          </w14:textFill>
        </w:rPr>
        <w:t>偏差</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原因</w:t>
      </w:r>
      <w:r>
        <w:rPr>
          <w:rFonts w:hint="eastAsia" w:ascii="仿宋_GB2312" w:hAnsi="仿宋_GB2312" w:cs="仿宋_GB2312"/>
          <w:color w:val="000000" w:themeColor="text1"/>
          <w:kern w:val="2"/>
          <w:sz w:val="32"/>
          <w:szCs w:val="32"/>
          <w:highlight w:val="none"/>
          <w:lang w:val="en-US" w:eastAsia="zh-CN" w:bidi="ar-SA"/>
          <w14:textFill>
            <w14:solidFill>
              <w14:schemeClr w14:val="tx1"/>
            </w14:solidFill>
          </w14:textFill>
        </w:rPr>
        <w:t>：年初预算购置阴道镜一体机42万元，实际采购只使用36万元</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lang w:val="en-US" w:eastAsia="zh-Hans" w:bidi="ar-SA"/>
          <w14:textFill>
            <w14:solidFill>
              <w14:schemeClr w14:val="tx1"/>
            </w14:solidFill>
          </w14:textFill>
        </w:rPr>
        <w:t>改进</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措施</w:t>
      </w:r>
      <w:r>
        <w:rPr>
          <w:rFonts w:hint="eastAsia" w:ascii="仿宋_GB2312" w:hAnsi="仿宋_GB2312" w:cs="仿宋_GB2312"/>
          <w:color w:val="000000" w:themeColor="text1"/>
          <w:kern w:val="2"/>
          <w:sz w:val="32"/>
          <w:szCs w:val="32"/>
          <w:highlight w:val="none"/>
          <w:lang w:val="en-US" w:eastAsia="zh-CN" w:bidi="ar-SA"/>
          <w14:textFill>
            <w14:solidFill>
              <w14:schemeClr w14:val="tx1"/>
            </w14:solidFill>
          </w14:textFill>
        </w:rPr>
        <w:t>：精准预测，确保每一笔资金获得充分使用，有效减少资金浪费，从而使项目资金管理更为高效。</w:t>
      </w:r>
    </w:p>
    <w:p>
      <w:pPr>
        <w:spacing w:line="560" w:lineRule="exact"/>
        <w:ind w:firstLine="640" w:firstLineChars="200"/>
        <w:rPr>
          <w:rFonts w:hint="eastAsia" w:ascii="Times New Roman" w:hAnsi="Times New Roman" w:eastAsia="黑体" w:cs="Times New Roman"/>
          <w:bCs/>
          <w:sz w:val="32"/>
          <w:szCs w:val="32"/>
          <w:lang w:val="en-US" w:eastAsia="zh-CN"/>
        </w:rPr>
      </w:pPr>
      <w:bookmarkStart w:id="16"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6"/>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17" w:name="_Toc68703843"/>
      <w:r>
        <w:rPr>
          <w:rFonts w:hint="eastAsia" w:ascii="Times New Roman" w:hAnsi="Times New Roman" w:eastAsia="楷体_GB2312" w:cs="Times New Roman"/>
          <w:b/>
          <w:bCs/>
          <w:kern w:val="2"/>
          <w:sz w:val="32"/>
          <w:szCs w:val="32"/>
          <w:lang w:val="en-US" w:eastAsia="zh-CN" w:bidi="ar-SA"/>
        </w:rPr>
        <w:t>（一）主要经验及做法</w:t>
      </w:r>
      <w:bookmarkEnd w:id="17"/>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outlineLvl w:val="9"/>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18"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8"/>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9"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9"/>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rPr>
      </w:pPr>
      <w:bookmarkStart w:id="20" w:name="_Toc68703846"/>
      <w:r>
        <w:rPr>
          <w:rFonts w:hint="eastAsia" w:ascii="黑体" w:hAnsi="黑体" w:eastAsia="黑体" w:cs="黑体"/>
          <w:sz w:val="32"/>
          <w:szCs w:val="32"/>
          <w:lang w:eastAsia="zh-CN"/>
        </w:rPr>
        <w:t>八</w:t>
      </w:r>
      <w:r>
        <w:rPr>
          <w:rFonts w:hint="eastAsia" w:ascii="黑体" w:hAnsi="黑体" w:eastAsia="黑体" w:cs="黑体"/>
          <w:sz w:val="32"/>
          <w:szCs w:val="32"/>
        </w:rPr>
        <w:t>、其他需要说明的问题</w:t>
      </w:r>
      <w:bookmarkEnd w:id="20"/>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eastAsia="仿宋"/>
          <w:sz w:val="32"/>
          <w:szCs w:val="32"/>
          <w:lang w:eastAsia="zh-CN"/>
        </w:rPr>
      </w:pPr>
      <w:r>
        <w:rPr>
          <w:rFonts w:hint="eastAsia" w:ascii="仿宋" w:eastAsia="仿宋"/>
          <w:b w:val="0"/>
          <w:bCs w:val="0"/>
          <w:sz w:val="32"/>
          <w:szCs w:val="32"/>
          <w:lang w:eastAsia="zh-CN"/>
        </w:rPr>
        <w:t>资金监管不到位，内控制度不完善导致，</w:t>
      </w:r>
      <w:r>
        <w:rPr>
          <w:rFonts w:hint="eastAsia" w:ascii="仿宋_GB2312" w:hAnsi="仿宋_GB2312" w:cs="仿宋_GB2312"/>
          <w:b w:val="0"/>
          <w:bCs w:val="0"/>
          <w:kern w:val="2"/>
          <w:sz w:val="32"/>
          <w:szCs w:val="32"/>
          <w:lang w:val="en-US" w:eastAsia="zh-CN" w:bidi="ar-SA"/>
        </w:rPr>
        <w:t>妇计中心内控小组</w:t>
      </w:r>
      <w:r>
        <w:rPr>
          <w:rFonts w:hint="eastAsia" w:ascii="仿宋_GB2312" w:hAnsi="仿宋_GB2312" w:eastAsia="仿宋_GB2312" w:cs="仿宋_GB2312"/>
          <w:b w:val="0"/>
          <w:bCs w:val="0"/>
          <w:kern w:val="2"/>
          <w:sz w:val="32"/>
          <w:szCs w:val="32"/>
          <w:lang w:val="en-US" w:eastAsia="zh-CN" w:bidi="ar-SA"/>
        </w:rPr>
        <w:t>要加强对项目建设的事前、事中、事后监管，任何单位和个人不得以任何形式滞留或挪用项目资金。对于工作中弄虚作假、管理混乱等行为，一经查实，严肃处理。并追究主要领导和当事人责任。</w:t>
      </w:r>
    </w:p>
    <w:p>
      <w:pPr>
        <w:rPr>
          <w:rFonts w:hint="eastAsia"/>
        </w:rPr>
      </w:pPr>
    </w:p>
    <w:p/>
    <w:p>
      <w:pPr>
        <w:pStyle w:val="2"/>
        <w:jc w:val="both"/>
      </w:pPr>
      <w:bookmarkStart w:id="23" w:name="_GoBack"/>
      <w:bookmarkEnd w:id="23"/>
    </w:p>
    <w:tbl>
      <w:tblPr>
        <w:tblW w:w="97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462"/>
        <w:gridCol w:w="379"/>
        <w:gridCol w:w="1477"/>
        <w:gridCol w:w="215"/>
        <w:gridCol w:w="1269"/>
        <w:gridCol w:w="303"/>
        <w:gridCol w:w="972"/>
        <w:gridCol w:w="731"/>
        <w:gridCol w:w="214"/>
        <w:gridCol w:w="370"/>
        <w:gridCol w:w="260"/>
        <w:gridCol w:w="286"/>
        <w:gridCol w:w="510"/>
        <w:gridCol w:w="22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60" w:hRule="atLeast"/>
        </w:trPr>
        <w:tc>
          <w:tcPr>
            <w:tcW w:w="970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8" w:hRule="atLeast"/>
        </w:trPr>
        <w:tc>
          <w:tcPr>
            <w:tcW w:w="970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8" w:hRule="atLeast"/>
        </w:trPr>
        <w:tc>
          <w:tcPr>
            <w:tcW w:w="84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项目名称</w:t>
            </w:r>
          </w:p>
        </w:tc>
        <w:tc>
          <w:tcPr>
            <w:tcW w:w="8859" w:type="dxa"/>
            <w:gridSpan w:val="1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农村妇女两癌检查项目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8" w:hRule="atLeast"/>
        </w:trPr>
        <w:tc>
          <w:tcPr>
            <w:tcW w:w="84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主管部门</w:t>
            </w:r>
          </w:p>
        </w:tc>
        <w:tc>
          <w:tcPr>
            <w:tcW w:w="4236"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霍尔果斯市妇幼保健计划生育服务中心</w:t>
            </w:r>
          </w:p>
        </w:tc>
        <w:tc>
          <w:tcPr>
            <w:tcW w:w="94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实施单位</w:t>
            </w:r>
          </w:p>
        </w:tc>
        <w:tc>
          <w:tcPr>
            <w:tcW w:w="3678"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霍尔果斯市妇幼保健计划生育服务中心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8" w:hRule="atLeast"/>
        </w:trPr>
        <w:tc>
          <w:tcPr>
            <w:tcW w:w="841"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（万元）</w:t>
            </w:r>
          </w:p>
        </w:tc>
        <w:tc>
          <w:tcPr>
            <w:tcW w:w="16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年初预算数</w:t>
            </w:r>
          </w:p>
        </w:tc>
        <w:tc>
          <w:tcPr>
            <w:tcW w:w="127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全年预算数</w:t>
            </w:r>
          </w:p>
        </w:tc>
        <w:tc>
          <w:tcPr>
            <w:tcW w:w="94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全年执行数</w:t>
            </w:r>
          </w:p>
        </w:tc>
        <w:tc>
          <w:tcPr>
            <w:tcW w:w="6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79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执行率</w:t>
            </w:r>
          </w:p>
        </w:tc>
        <w:tc>
          <w:tcPr>
            <w:tcW w:w="22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1920" w:hRule="atLeast"/>
        </w:trPr>
        <w:tc>
          <w:tcPr>
            <w:tcW w:w="841"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年度资金总额</w:t>
            </w:r>
          </w:p>
        </w:tc>
        <w:tc>
          <w:tcPr>
            <w:tcW w:w="12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48.00</w:t>
            </w:r>
          </w:p>
        </w:tc>
        <w:tc>
          <w:tcPr>
            <w:tcW w:w="127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48</w:t>
            </w:r>
          </w:p>
        </w:tc>
        <w:tc>
          <w:tcPr>
            <w:tcW w:w="94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36.00</w:t>
            </w:r>
          </w:p>
        </w:tc>
        <w:tc>
          <w:tcPr>
            <w:tcW w:w="6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79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75.00%</w:t>
            </w:r>
          </w:p>
        </w:tc>
        <w:tc>
          <w:tcPr>
            <w:tcW w:w="22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1"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其中：当年财政拨款</w:t>
            </w:r>
          </w:p>
        </w:tc>
        <w:tc>
          <w:tcPr>
            <w:tcW w:w="12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48</w:t>
            </w:r>
          </w:p>
        </w:tc>
        <w:tc>
          <w:tcPr>
            <w:tcW w:w="127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48.00</w:t>
            </w:r>
          </w:p>
        </w:tc>
        <w:tc>
          <w:tcPr>
            <w:tcW w:w="94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79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22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0" w:hRule="atLeast"/>
        </w:trPr>
        <w:tc>
          <w:tcPr>
            <w:tcW w:w="841"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上年结转资金</w:t>
            </w:r>
          </w:p>
        </w:tc>
        <w:tc>
          <w:tcPr>
            <w:tcW w:w="12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27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94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79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22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0" w:hRule="atLeast"/>
        </w:trPr>
        <w:tc>
          <w:tcPr>
            <w:tcW w:w="841"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其他资金</w:t>
            </w:r>
          </w:p>
        </w:tc>
        <w:tc>
          <w:tcPr>
            <w:tcW w:w="12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0.00</w:t>
            </w:r>
          </w:p>
        </w:tc>
        <w:tc>
          <w:tcPr>
            <w:tcW w:w="127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0.00</w:t>
            </w:r>
          </w:p>
        </w:tc>
        <w:tc>
          <w:tcPr>
            <w:tcW w:w="94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79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225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8" w:hRule="atLeast"/>
        </w:trPr>
        <w:tc>
          <w:tcPr>
            <w:tcW w:w="46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年度总体目标</w:t>
            </w:r>
          </w:p>
        </w:tc>
        <w:tc>
          <w:tcPr>
            <w:tcW w:w="4615"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预期目标</w:t>
            </w:r>
          </w:p>
        </w:tc>
        <w:tc>
          <w:tcPr>
            <w:tcW w:w="4623"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5"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15"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为全市35-64岁农村妇女500人进行免费宫颈癌检查和乳腺癌检查，普及“两癌”防治知识，增强农村妇女自我保健意识和技能，提高“两癌”早诊率。逐步降低“两癌”死亡率，改善农村妇女健康状况。</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购置一体化阴道镜1套，计划于2023年12月采购完成并投入使用，有效保障妇女健康水平。根据单位职能指导基层医疗卫生、妇幼健康服务体系和全科医生队伍建设，推进卫生健康科技创新发展要求，完善妇女“两癌”防治工作机制，探索适宜服务模式，提高基层“两癌”防治水平。</w:t>
            </w:r>
          </w:p>
        </w:tc>
        <w:tc>
          <w:tcPr>
            <w:tcW w:w="4623"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2023年为了增强农村妇女自我保健意识和技能，提高“两癌”早诊率。逐步降低“两癌”死亡率，改善农村妇女健康状况。农村妇女两癌项目任务数1000人，已全部完成。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46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一级指标</w:t>
            </w:r>
          </w:p>
        </w:tc>
        <w:tc>
          <w:tcPr>
            <w:tcW w:w="147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二级指标</w:t>
            </w:r>
          </w:p>
        </w:tc>
        <w:tc>
          <w:tcPr>
            <w:tcW w:w="1787"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三级指标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年度指标值</w:t>
            </w:r>
          </w:p>
        </w:tc>
        <w:tc>
          <w:tcPr>
            <w:tcW w:w="731"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实际完成值</w:t>
            </w:r>
          </w:p>
        </w:tc>
        <w:tc>
          <w:tcPr>
            <w:tcW w:w="584"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546"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c>
          <w:tcPr>
            <w:tcW w:w="2762"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565"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7"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84"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6"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62"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2560" w:hRule="atLeast"/>
        </w:trPr>
        <w:tc>
          <w:tcPr>
            <w:tcW w:w="46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年度绩效指标完成情况</w:t>
            </w:r>
          </w:p>
        </w:tc>
        <w:tc>
          <w:tcPr>
            <w:tcW w:w="37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产出指标</w:t>
            </w: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宫颈癌检查人数（人次）</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&gt;=500人/次</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800人/次</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偏差原因：2023年年初预算是根据2022年任务设定，2023年5月份下发《2023年基本公共卫生服务项目（农村妇女两癌检查项目）实施方案》，霍尔果斯市宫颈癌筛查人数800人，乳腺癌检查人数200人。2.改进措施：下一年度精准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2560"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乳腺癌检查人数（人次）</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&gt;=500人/次</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200人/次</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偏差原因：2023年年初预算是根据2022年任务设定，2023年5月份下发《2023年基本公共卫生服务项目（农村妇女两癌检查项目）实施方案》，霍尔果斯市宫颈癌筛查人数800人，乳腺癌检查人数200人。2.改进措施：下一年度：精准预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70"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购置一体化阴道镜套数</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=1套</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1套</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1.偏差原因：未采购该设备；2.改进措施：下一年度：精准预测。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8"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宫颈癌癌早诊率</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&gt;=90%</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8"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乳腺癌早诊率</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&gt;=60%</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0"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政府采购率</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&gt;=85%</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85%</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1.偏差原因：未采购该设备；2.改进措施：下一年度：精准预测。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70"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设备质量合格率</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1.偏差原因：未采购该设备；2.改进措施：下一年度：精准预测。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70"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设备验收合格率</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1.偏差原因：未采购该设备；2.改进措施：下一年度：精准预测。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70"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两癌检查完成时间</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2023年12月20日</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2023年12月20日</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70"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一体化阴道镜采购完成时间</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2023年12月1日</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2023年12月1日</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1.偏差原因：未采购该设备；2.改进措施：下一年度：精准预测。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8"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成本指标</w:t>
            </w: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超声检查费标准</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=40元/人</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40元/人</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8"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宫颈细胞学检查标准</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=80元/人</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80元/人</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70"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购置一体化阴道镜成本</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&lt;=420000元</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360000元</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5.14</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1.偏差原因：已采购该设备；2.改进措施：下一年度：精准预测。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8"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社会成本指标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8"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生态环境成本指标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70"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效益指标</w:t>
            </w: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经济效益指标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设备利用率</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95%</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1.偏差原因：已采购该设备；2.改进措施：下一年度：精准预测。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8"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有效保障妇女健康水平</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有效保障</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8"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生态效益指标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8"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使用人员满意度</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98.81%</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阴道镜使用率受益妇女满意度较高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70"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7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1787"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两癌筛查农村妇女满意度</w:t>
            </w:r>
          </w:p>
        </w:tc>
        <w:tc>
          <w:tcPr>
            <w:tcW w:w="97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7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98.81%</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项目已圆满完成受益妇女满意度较高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1" w:hRule="atLeast"/>
        </w:trPr>
        <w:tc>
          <w:tcPr>
            <w:tcW w:w="5808"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总分</w:t>
            </w:r>
          </w:p>
        </w:tc>
        <w:tc>
          <w:tcPr>
            <w:tcW w:w="5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54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90.49分</w:t>
            </w:r>
          </w:p>
        </w:tc>
        <w:tc>
          <w:tcPr>
            <w:tcW w:w="276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1" w:name="_Toc26499_WPSOffice_Level2"/>
      <w:bookmarkStart w:id="22" w:name="_Toc30064_WPSOffice_Level1"/>
      <w:r>
        <w:rPr>
          <w:rFonts w:hint="eastAsia"/>
          <w:b/>
          <w:bCs/>
          <w:sz w:val="28"/>
          <w:szCs w:val="40"/>
          <w:highlight w:val="none"/>
          <w:lang w:val="en-US" w:eastAsia="zh-CN"/>
        </w:rPr>
        <w:t>农村妇女两癌</w:t>
      </w:r>
      <w:r>
        <w:rPr>
          <w:rFonts w:hint="eastAsia"/>
          <w:b/>
          <w:bCs/>
          <w:sz w:val="28"/>
          <w:szCs w:val="40"/>
          <w:highlight w:val="none"/>
        </w:rPr>
        <w:t>项目</w:t>
      </w:r>
      <w:r>
        <w:rPr>
          <w:rFonts w:hint="eastAsia"/>
          <w:b/>
          <w:bCs/>
          <w:sz w:val="28"/>
          <w:szCs w:val="40"/>
        </w:rPr>
        <w:t>绩效评价指标体系及综合评分表</w:t>
      </w:r>
      <w:bookmarkEnd w:id="21"/>
      <w:bookmarkEnd w:id="22"/>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auto"/>
                <w:kern w:val="0"/>
                <w:sz w:val="22"/>
                <w:szCs w:val="22"/>
              </w:rPr>
            </w:pPr>
          </w:p>
          <w:p>
            <w:pPr>
              <w:widowControl/>
              <w:spacing w:line="0" w:lineRule="atLeast"/>
              <w:jc w:val="center"/>
              <w:rPr>
                <w:color w:val="auto"/>
                <w:kern w:val="0"/>
                <w:sz w:val="22"/>
                <w:szCs w:val="22"/>
              </w:rPr>
            </w:pPr>
          </w:p>
          <w:p>
            <w:pPr>
              <w:widowControl/>
              <w:spacing w:line="0" w:lineRule="atLeast"/>
              <w:jc w:val="center"/>
              <w:rPr>
                <w:color w:val="auto"/>
                <w:kern w:val="0"/>
                <w:sz w:val="22"/>
                <w:szCs w:val="22"/>
              </w:rPr>
            </w:pPr>
          </w:p>
          <w:p>
            <w:pPr>
              <w:widowControl/>
              <w:spacing w:line="0" w:lineRule="atLeast"/>
              <w:jc w:val="center"/>
              <w:rPr>
                <w:color w:val="auto"/>
                <w:kern w:val="0"/>
                <w:sz w:val="22"/>
                <w:szCs w:val="22"/>
              </w:rPr>
            </w:pPr>
          </w:p>
          <w:p>
            <w:pPr>
              <w:widowControl/>
              <w:spacing w:line="0" w:lineRule="atLeast"/>
              <w:jc w:val="center"/>
              <w:rPr>
                <w:color w:val="auto"/>
                <w:kern w:val="0"/>
                <w:sz w:val="22"/>
                <w:szCs w:val="22"/>
              </w:rPr>
            </w:pPr>
          </w:p>
          <w:p>
            <w:pPr>
              <w:widowControl/>
              <w:spacing w:line="0" w:lineRule="atLeast"/>
              <w:jc w:val="center"/>
              <w:rPr>
                <w:color w:val="auto"/>
                <w:kern w:val="0"/>
                <w:sz w:val="22"/>
                <w:szCs w:val="22"/>
              </w:rPr>
            </w:pPr>
          </w:p>
          <w:p>
            <w:pPr>
              <w:widowControl/>
              <w:spacing w:line="0" w:lineRule="atLeast"/>
              <w:jc w:val="center"/>
              <w:rPr>
                <w:color w:val="auto"/>
                <w:kern w:val="0"/>
                <w:sz w:val="22"/>
                <w:szCs w:val="22"/>
              </w:rPr>
            </w:pPr>
            <w:r>
              <w:rPr>
                <w:color w:val="auto"/>
                <w:kern w:val="0"/>
                <w:sz w:val="22"/>
                <w:szCs w:val="22"/>
              </w:rPr>
              <w:t>决策　</w:t>
            </w:r>
          </w:p>
        </w:tc>
        <w:tc>
          <w:tcPr>
            <w:tcW w:w="764"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项目立项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立项依据</w:t>
            </w:r>
          </w:p>
          <w:p>
            <w:pPr>
              <w:widowControl/>
              <w:spacing w:line="0" w:lineRule="atLeast"/>
              <w:jc w:val="center"/>
              <w:rPr>
                <w:color w:val="auto"/>
                <w:kern w:val="0"/>
                <w:sz w:val="22"/>
                <w:szCs w:val="22"/>
              </w:rPr>
            </w:pPr>
            <w:r>
              <w:rPr>
                <w:color w:val="auto"/>
                <w:kern w:val="0"/>
                <w:sz w:val="22"/>
                <w:szCs w:val="22"/>
              </w:rPr>
              <w:t>充分性</w:t>
            </w:r>
          </w:p>
        </w:tc>
        <w:tc>
          <w:tcPr>
            <w:tcW w:w="2353" w:type="dxa"/>
            <w:shd w:val="clear" w:color="auto" w:fill="FFFFFF"/>
            <w:vAlign w:val="center"/>
          </w:tcPr>
          <w:p>
            <w:pPr>
              <w:widowControl/>
              <w:spacing w:line="0" w:lineRule="atLeast"/>
              <w:rPr>
                <w:color w:val="auto"/>
                <w:kern w:val="0"/>
                <w:sz w:val="22"/>
                <w:szCs w:val="22"/>
              </w:rPr>
            </w:pPr>
            <w:r>
              <w:rPr>
                <w:color w:val="auto"/>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①项目立项是否符合国家法律法规、国民经济发展规划和相关政策；</w:t>
            </w:r>
            <w:r>
              <w:rPr>
                <w:color w:val="auto"/>
                <w:kern w:val="0"/>
                <w:sz w:val="22"/>
                <w:szCs w:val="22"/>
              </w:rPr>
              <w:br w:type="textWrapping"/>
            </w:r>
            <w:r>
              <w:rPr>
                <w:color w:val="auto"/>
                <w:kern w:val="0"/>
                <w:sz w:val="22"/>
                <w:szCs w:val="22"/>
              </w:rPr>
              <w:t>②项目立项是否符合行业发展规划和政策要求；</w:t>
            </w:r>
            <w:r>
              <w:rPr>
                <w:color w:val="auto"/>
                <w:kern w:val="0"/>
                <w:sz w:val="22"/>
                <w:szCs w:val="22"/>
              </w:rPr>
              <w:br w:type="textWrapping"/>
            </w:r>
            <w:r>
              <w:rPr>
                <w:color w:val="auto"/>
                <w:kern w:val="0"/>
                <w:sz w:val="22"/>
                <w:szCs w:val="22"/>
              </w:rPr>
              <w:t>③项目立项是否与部门职责范围相符，属于部门履职所需；</w:t>
            </w:r>
            <w:r>
              <w:rPr>
                <w:color w:val="auto"/>
                <w:kern w:val="0"/>
                <w:sz w:val="22"/>
                <w:szCs w:val="22"/>
              </w:rPr>
              <w:br w:type="textWrapping"/>
            </w:r>
            <w:r>
              <w:rPr>
                <w:color w:val="auto"/>
                <w:kern w:val="0"/>
                <w:sz w:val="22"/>
                <w:szCs w:val="22"/>
              </w:rPr>
              <w:t>④项目是否属于公共财政支持范围，是否符合中央、地方事权支出责任划分原则；</w:t>
            </w:r>
            <w:r>
              <w:rPr>
                <w:color w:val="auto"/>
                <w:kern w:val="0"/>
                <w:sz w:val="22"/>
                <w:szCs w:val="22"/>
              </w:rPr>
              <w:br w:type="textWrapping"/>
            </w:r>
            <w:r>
              <w:rPr>
                <w:color w:val="auto"/>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auto"/>
                <w:kern w:val="0"/>
                <w:sz w:val="22"/>
                <w:szCs w:val="22"/>
              </w:rPr>
            </w:pPr>
          </w:p>
        </w:tc>
        <w:tc>
          <w:tcPr>
            <w:tcW w:w="764"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立项程序</w:t>
            </w:r>
          </w:p>
          <w:p>
            <w:pPr>
              <w:widowControl/>
              <w:spacing w:line="0" w:lineRule="atLeast"/>
              <w:jc w:val="center"/>
              <w:rPr>
                <w:color w:val="auto"/>
                <w:kern w:val="0"/>
                <w:sz w:val="22"/>
                <w:szCs w:val="22"/>
              </w:rPr>
            </w:pPr>
            <w:r>
              <w:rPr>
                <w:color w:val="auto"/>
                <w:kern w:val="0"/>
                <w:sz w:val="22"/>
                <w:szCs w:val="22"/>
              </w:rPr>
              <w:t>规范性</w:t>
            </w:r>
          </w:p>
        </w:tc>
        <w:tc>
          <w:tcPr>
            <w:tcW w:w="2353" w:type="dxa"/>
            <w:shd w:val="clear" w:color="auto" w:fill="FFFFFF"/>
            <w:vAlign w:val="center"/>
          </w:tcPr>
          <w:p>
            <w:pPr>
              <w:widowControl/>
              <w:spacing w:line="0" w:lineRule="atLeast"/>
              <w:rPr>
                <w:color w:val="auto"/>
                <w:kern w:val="0"/>
                <w:sz w:val="22"/>
                <w:szCs w:val="22"/>
              </w:rPr>
            </w:pPr>
            <w:r>
              <w:rPr>
                <w:color w:val="auto"/>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①项目是否按照规定的程序申请设立；</w:t>
            </w:r>
            <w:r>
              <w:rPr>
                <w:color w:val="auto"/>
                <w:kern w:val="0"/>
                <w:sz w:val="22"/>
                <w:szCs w:val="22"/>
              </w:rPr>
              <w:br w:type="textWrapping"/>
            </w:r>
            <w:r>
              <w:rPr>
                <w:color w:val="auto"/>
                <w:kern w:val="0"/>
                <w:sz w:val="22"/>
                <w:szCs w:val="22"/>
              </w:rPr>
              <w:t>②审批文件、材料是否符合相关要求；</w:t>
            </w:r>
            <w:r>
              <w:rPr>
                <w:color w:val="auto"/>
                <w:kern w:val="0"/>
                <w:sz w:val="22"/>
                <w:szCs w:val="22"/>
              </w:rPr>
              <w:br w:type="textWrapping"/>
            </w:r>
            <w:r>
              <w:rPr>
                <w:color w:val="auto"/>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auto"/>
                <w:kern w:val="0"/>
                <w:sz w:val="22"/>
                <w:szCs w:val="22"/>
              </w:rPr>
            </w:pPr>
          </w:p>
        </w:tc>
        <w:tc>
          <w:tcPr>
            <w:tcW w:w="764"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绩效目标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绩效目标</w:t>
            </w:r>
          </w:p>
          <w:p>
            <w:pPr>
              <w:widowControl/>
              <w:spacing w:line="0" w:lineRule="atLeast"/>
              <w:jc w:val="center"/>
              <w:rPr>
                <w:color w:val="auto"/>
                <w:kern w:val="0"/>
                <w:sz w:val="22"/>
                <w:szCs w:val="22"/>
              </w:rPr>
            </w:pPr>
            <w:r>
              <w:rPr>
                <w:color w:val="auto"/>
                <w:kern w:val="0"/>
                <w:sz w:val="22"/>
                <w:szCs w:val="22"/>
              </w:rPr>
              <w:t>合理性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（如未设定预算绩效目标，也可考核其他工作任务目标）</w:t>
            </w:r>
            <w:r>
              <w:rPr>
                <w:color w:val="auto"/>
                <w:kern w:val="0"/>
                <w:sz w:val="22"/>
                <w:szCs w:val="22"/>
              </w:rPr>
              <w:br w:type="textWrapping"/>
            </w:r>
            <w:r>
              <w:rPr>
                <w:color w:val="auto"/>
                <w:kern w:val="0"/>
                <w:sz w:val="22"/>
                <w:szCs w:val="22"/>
              </w:rPr>
              <w:t>①项目是否有绩效目标；</w:t>
            </w:r>
            <w:r>
              <w:rPr>
                <w:color w:val="auto"/>
                <w:kern w:val="0"/>
                <w:sz w:val="22"/>
                <w:szCs w:val="22"/>
              </w:rPr>
              <w:br w:type="textWrapping"/>
            </w:r>
            <w:r>
              <w:rPr>
                <w:color w:val="auto"/>
                <w:kern w:val="0"/>
                <w:sz w:val="22"/>
                <w:szCs w:val="22"/>
              </w:rPr>
              <w:t>②项目绩效目标与实际工作内容是否具有相关性；</w:t>
            </w:r>
            <w:r>
              <w:rPr>
                <w:color w:val="auto"/>
                <w:kern w:val="0"/>
                <w:sz w:val="22"/>
                <w:szCs w:val="22"/>
              </w:rPr>
              <w:br w:type="textWrapping"/>
            </w:r>
            <w:r>
              <w:rPr>
                <w:color w:val="auto"/>
                <w:kern w:val="0"/>
                <w:sz w:val="22"/>
                <w:szCs w:val="22"/>
              </w:rPr>
              <w:t>③项目预期产出效益和效果是否符合正常的业绩水平；</w:t>
            </w:r>
          </w:p>
          <w:p>
            <w:pPr>
              <w:widowControl/>
              <w:spacing w:line="0" w:lineRule="atLeast"/>
              <w:jc w:val="left"/>
              <w:rPr>
                <w:color w:val="auto"/>
                <w:kern w:val="0"/>
                <w:sz w:val="22"/>
                <w:szCs w:val="22"/>
              </w:rPr>
            </w:pPr>
            <w:r>
              <w:rPr>
                <w:color w:val="auto"/>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auto"/>
                <w:kern w:val="0"/>
                <w:sz w:val="22"/>
                <w:szCs w:val="22"/>
              </w:rPr>
            </w:pPr>
          </w:p>
        </w:tc>
        <w:tc>
          <w:tcPr>
            <w:tcW w:w="764"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绩效指标</w:t>
            </w:r>
          </w:p>
          <w:p>
            <w:pPr>
              <w:widowControl/>
              <w:spacing w:line="0" w:lineRule="atLeast"/>
              <w:jc w:val="center"/>
              <w:rPr>
                <w:color w:val="auto"/>
                <w:kern w:val="0"/>
                <w:sz w:val="22"/>
                <w:szCs w:val="22"/>
              </w:rPr>
            </w:pPr>
            <w:r>
              <w:rPr>
                <w:color w:val="auto"/>
                <w:kern w:val="0"/>
                <w:sz w:val="22"/>
                <w:szCs w:val="22"/>
              </w:rPr>
              <w:t>明确性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①是否将项目绩效目标细化分解为具体的绩效指标；</w:t>
            </w:r>
            <w:r>
              <w:rPr>
                <w:color w:val="auto"/>
                <w:kern w:val="0"/>
                <w:sz w:val="22"/>
                <w:szCs w:val="22"/>
              </w:rPr>
              <w:br w:type="textWrapping"/>
            </w:r>
            <w:r>
              <w:rPr>
                <w:color w:val="auto"/>
                <w:kern w:val="0"/>
                <w:sz w:val="22"/>
                <w:szCs w:val="22"/>
              </w:rPr>
              <w:t>②是否通过清晰、可衡量的指标值予以体现；</w:t>
            </w:r>
            <w:r>
              <w:rPr>
                <w:color w:val="auto"/>
                <w:kern w:val="0"/>
                <w:sz w:val="22"/>
                <w:szCs w:val="22"/>
              </w:rPr>
              <w:br w:type="textWrapping"/>
            </w:r>
            <w:r>
              <w:rPr>
                <w:color w:val="auto"/>
                <w:kern w:val="0"/>
                <w:sz w:val="22"/>
                <w:szCs w:val="22"/>
              </w:rPr>
              <w:t>③是否与项目目标任务数或计划数相对应。</w:t>
            </w:r>
            <w:r>
              <w:rPr>
                <w:color w:val="auto"/>
                <w:kern w:val="0"/>
                <w:sz w:val="22"/>
                <w:szCs w:val="22"/>
              </w:rPr>
              <w:br w:type="textWrapping"/>
            </w:r>
          </w:p>
        </w:tc>
        <w:tc>
          <w:tcPr>
            <w:tcW w:w="1300"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auto"/>
                <w:kern w:val="0"/>
                <w:sz w:val="22"/>
                <w:szCs w:val="22"/>
              </w:rPr>
            </w:pPr>
          </w:p>
        </w:tc>
        <w:tc>
          <w:tcPr>
            <w:tcW w:w="764"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资金投入</w:t>
            </w:r>
          </w:p>
          <w:p>
            <w:pPr>
              <w:spacing w:line="0" w:lineRule="atLeast"/>
              <w:jc w:val="center"/>
              <w:rPr>
                <w:color w:val="auto"/>
                <w:kern w:val="0"/>
                <w:sz w:val="22"/>
                <w:szCs w:val="22"/>
              </w:rPr>
            </w:pPr>
            <w:r>
              <w:rPr>
                <w:color w:val="auto"/>
                <w:kern w:val="0"/>
                <w:sz w:val="22"/>
                <w:szCs w:val="22"/>
              </w:rPr>
              <w:t>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预算编制</w:t>
            </w:r>
          </w:p>
          <w:p>
            <w:pPr>
              <w:widowControl/>
              <w:spacing w:line="0" w:lineRule="atLeast"/>
              <w:jc w:val="center"/>
              <w:rPr>
                <w:color w:val="auto"/>
                <w:kern w:val="0"/>
                <w:sz w:val="22"/>
                <w:szCs w:val="22"/>
              </w:rPr>
            </w:pPr>
            <w:r>
              <w:rPr>
                <w:color w:val="auto"/>
                <w:kern w:val="0"/>
                <w:sz w:val="22"/>
                <w:szCs w:val="22"/>
              </w:rPr>
              <w:t>科学性</w:t>
            </w:r>
          </w:p>
        </w:tc>
        <w:tc>
          <w:tcPr>
            <w:tcW w:w="2353" w:type="dxa"/>
            <w:shd w:val="clear" w:color="auto" w:fill="FFFFFF"/>
            <w:vAlign w:val="center"/>
          </w:tcPr>
          <w:p>
            <w:pPr>
              <w:widowControl/>
              <w:spacing w:line="0" w:lineRule="atLeast"/>
              <w:rPr>
                <w:color w:val="auto"/>
                <w:kern w:val="0"/>
                <w:sz w:val="22"/>
                <w:szCs w:val="22"/>
              </w:rPr>
            </w:pPr>
            <w:r>
              <w:rPr>
                <w:color w:val="auto"/>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①预算编制是否经过科学论证；</w:t>
            </w:r>
            <w:r>
              <w:rPr>
                <w:color w:val="auto"/>
                <w:kern w:val="0"/>
                <w:sz w:val="22"/>
                <w:szCs w:val="22"/>
              </w:rPr>
              <w:br w:type="textWrapping"/>
            </w:r>
            <w:r>
              <w:rPr>
                <w:color w:val="auto"/>
                <w:kern w:val="0"/>
                <w:sz w:val="22"/>
                <w:szCs w:val="22"/>
              </w:rPr>
              <w:t>②预算内容与项目内容是否匹配；</w:t>
            </w:r>
            <w:r>
              <w:rPr>
                <w:color w:val="auto"/>
                <w:kern w:val="0"/>
                <w:sz w:val="22"/>
                <w:szCs w:val="22"/>
              </w:rPr>
              <w:br w:type="textWrapping"/>
            </w:r>
            <w:r>
              <w:rPr>
                <w:color w:val="auto"/>
                <w:kern w:val="0"/>
                <w:sz w:val="22"/>
                <w:szCs w:val="22"/>
              </w:rPr>
              <w:t>③预算额度测算依据是否充分，是否按照标准编制；</w:t>
            </w:r>
            <w:r>
              <w:rPr>
                <w:color w:val="auto"/>
                <w:kern w:val="0"/>
                <w:sz w:val="22"/>
                <w:szCs w:val="22"/>
              </w:rPr>
              <w:br w:type="textWrapping"/>
            </w:r>
            <w:r>
              <w:rPr>
                <w:color w:val="auto"/>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auto"/>
                <w:kern w:val="0"/>
                <w:sz w:val="22"/>
                <w:szCs w:val="22"/>
              </w:rPr>
            </w:pPr>
          </w:p>
        </w:tc>
        <w:tc>
          <w:tcPr>
            <w:tcW w:w="764"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资金分配</w:t>
            </w:r>
          </w:p>
          <w:p>
            <w:pPr>
              <w:widowControl/>
              <w:spacing w:line="0" w:lineRule="atLeast"/>
              <w:jc w:val="center"/>
              <w:rPr>
                <w:color w:val="auto"/>
                <w:kern w:val="0"/>
                <w:sz w:val="22"/>
                <w:szCs w:val="22"/>
              </w:rPr>
            </w:pPr>
            <w:r>
              <w:rPr>
                <w:color w:val="auto"/>
                <w:kern w:val="0"/>
                <w:sz w:val="22"/>
                <w:szCs w:val="22"/>
              </w:rPr>
              <w:t>合理性</w:t>
            </w:r>
          </w:p>
        </w:tc>
        <w:tc>
          <w:tcPr>
            <w:tcW w:w="2353" w:type="dxa"/>
            <w:shd w:val="clear" w:color="auto" w:fill="FFFFFF"/>
            <w:vAlign w:val="center"/>
          </w:tcPr>
          <w:p>
            <w:pPr>
              <w:widowControl/>
              <w:spacing w:line="0" w:lineRule="atLeast"/>
              <w:rPr>
                <w:color w:val="auto"/>
                <w:kern w:val="0"/>
                <w:sz w:val="22"/>
                <w:szCs w:val="22"/>
              </w:rPr>
            </w:pPr>
            <w:r>
              <w:rPr>
                <w:color w:val="auto"/>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①预算资金分配依据是否充分；</w:t>
            </w:r>
            <w:r>
              <w:rPr>
                <w:color w:val="auto"/>
                <w:kern w:val="0"/>
                <w:sz w:val="22"/>
                <w:szCs w:val="22"/>
              </w:rPr>
              <w:br w:type="textWrapping"/>
            </w:r>
            <w:r>
              <w:rPr>
                <w:color w:val="auto"/>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p>
          <w:p>
            <w:pPr>
              <w:spacing w:line="0" w:lineRule="atLeast"/>
              <w:jc w:val="center"/>
              <w:rPr>
                <w:color w:val="auto"/>
                <w:kern w:val="0"/>
                <w:sz w:val="22"/>
                <w:szCs w:val="22"/>
              </w:rPr>
            </w:pPr>
            <w:r>
              <w:rPr>
                <w:color w:val="auto"/>
                <w:kern w:val="0"/>
                <w:sz w:val="22"/>
                <w:szCs w:val="22"/>
              </w:rPr>
              <w:t>过程</w:t>
            </w:r>
          </w:p>
          <w:p>
            <w:pPr>
              <w:widowControl/>
              <w:spacing w:line="0" w:lineRule="atLeast"/>
              <w:jc w:val="center"/>
              <w:rPr>
                <w:color w:val="auto"/>
                <w:kern w:val="0"/>
                <w:sz w:val="22"/>
                <w:szCs w:val="22"/>
              </w:rPr>
            </w:pPr>
            <w:r>
              <w:rPr>
                <w:color w:val="auto"/>
                <w:kern w:val="0"/>
                <w:sz w:val="22"/>
                <w:szCs w:val="22"/>
              </w:rPr>
              <w:t>　　</w:t>
            </w:r>
          </w:p>
        </w:tc>
        <w:tc>
          <w:tcPr>
            <w:tcW w:w="764"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资金管理</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资金到位率</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auto"/>
                <w:kern w:val="0"/>
                <w:sz w:val="22"/>
                <w:szCs w:val="22"/>
              </w:rPr>
            </w:pPr>
            <w:r>
              <w:rPr>
                <w:color w:val="auto"/>
                <w:kern w:val="0"/>
                <w:sz w:val="22"/>
                <w:szCs w:val="22"/>
              </w:rPr>
              <w:t>资金到位率=（实际到位资金/预算资金）×100%。</w:t>
            </w:r>
          </w:p>
          <w:p>
            <w:pPr>
              <w:widowControl/>
              <w:spacing w:line="0" w:lineRule="atLeast"/>
              <w:rPr>
                <w:color w:val="auto"/>
                <w:kern w:val="0"/>
                <w:sz w:val="22"/>
                <w:szCs w:val="22"/>
              </w:rPr>
            </w:pPr>
            <w:r>
              <w:rPr>
                <w:color w:val="auto"/>
                <w:kern w:val="0"/>
                <w:sz w:val="22"/>
                <w:szCs w:val="22"/>
              </w:rPr>
              <w:t>实际到位资金：一定时期（本年度或项目期）内落实到具体项目的资金。</w:t>
            </w:r>
          </w:p>
          <w:p>
            <w:pPr>
              <w:widowControl/>
              <w:spacing w:line="0" w:lineRule="atLeast"/>
              <w:rPr>
                <w:color w:val="auto"/>
                <w:kern w:val="0"/>
                <w:sz w:val="22"/>
                <w:szCs w:val="22"/>
              </w:rPr>
            </w:pPr>
            <w:r>
              <w:rPr>
                <w:color w:val="auto"/>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auto"/>
                <w:kern w:val="0"/>
                <w:sz w:val="22"/>
                <w:szCs w:val="22"/>
              </w:rPr>
            </w:pPr>
          </w:p>
        </w:tc>
        <w:tc>
          <w:tcPr>
            <w:tcW w:w="764" w:type="dxa"/>
            <w:vMerge w:val="continue"/>
            <w:shd w:val="clear" w:color="auto" w:fill="FFFFFF"/>
            <w:vAlign w:val="center"/>
          </w:tcPr>
          <w:p>
            <w:pPr>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预算执行率</w:t>
            </w:r>
          </w:p>
        </w:tc>
        <w:tc>
          <w:tcPr>
            <w:tcW w:w="2353" w:type="dxa"/>
            <w:shd w:val="clear" w:color="auto" w:fill="FFFFFF"/>
            <w:vAlign w:val="center"/>
          </w:tcPr>
          <w:p>
            <w:pPr>
              <w:widowControl/>
              <w:spacing w:line="0" w:lineRule="atLeast"/>
              <w:rPr>
                <w:color w:val="auto"/>
                <w:kern w:val="0"/>
                <w:sz w:val="22"/>
                <w:szCs w:val="22"/>
              </w:rPr>
            </w:pPr>
            <w:r>
              <w:rPr>
                <w:color w:val="auto"/>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auto"/>
                <w:kern w:val="0"/>
                <w:sz w:val="22"/>
                <w:szCs w:val="22"/>
              </w:rPr>
            </w:pPr>
            <w:r>
              <w:rPr>
                <w:color w:val="auto"/>
                <w:kern w:val="0"/>
                <w:sz w:val="22"/>
                <w:szCs w:val="22"/>
              </w:rPr>
              <w:t>预算执行率=（实际支出资金/实际到位资金）×100%。</w:t>
            </w:r>
            <w:r>
              <w:rPr>
                <w:color w:val="auto"/>
                <w:kern w:val="0"/>
                <w:sz w:val="22"/>
                <w:szCs w:val="22"/>
              </w:rPr>
              <w:br w:type="textWrapping"/>
            </w:r>
            <w:r>
              <w:rPr>
                <w:color w:val="auto"/>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auto"/>
                <w:kern w:val="0"/>
                <w:sz w:val="22"/>
                <w:szCs w:val="22"/>
              </w:rPr>
            </w:pPr>
          </w:p>
        </w:tc>
        <w:tc>
          <w:tcPr>
            <w:tcW w:w="764"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资金管理</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资金使用</w:t>
            </w:r>
          </w:p>
          <w:p>
            <w:pPr>
              <w:widowControl/>
              <w:spacing w:line="0" w:lineRule="atLeast"/>
              <w:jc w:val="center"/>
              <w:rPr>
                <w:color w:val="auto"/>
                <w:kern w:val="0"/>
                <w:sz w:val="22"/>
                <w:szCs w:val="22"/>
              </w:rPr>
            </w:pPr>
            <w:r>
              <w:rPr>
                <w:color w:val="auto"/>
                <w:kern w:val="0"/>
                <w:sz w:val="22"/>
                <w:szCs w:val="22"/>
              </w:rPr>
              <w:t>合规性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①是否符合国家财经法规和财务管理制度以及有关专项资金管理办法的规定；</w:t>
            </w:r>
            <w:r>
              <w:rPr>
                <w:color w:val="auto"/>
                <w:kern w:val="0"/>
                <w:sz w:val="22"/>
                <w:szCs w:val="22"/>
              </w:rPr>
              <w:br w:type="textWrapping"/>
            </w:r>
            <w:r>
              <w:rPr>
                <w:color w:val="auto"/>
                <w:kern w:val="0"/>
                <w:sz w:val="22"/>
                <w:szCs w:val="22"/>
              </w:rPr>
              <w:t>②资金的拨付是否有完整的审批程序和手续；</w:t>
            </w:r>
            <w:r>
              <w:rPr>
                <w:color w:val="auto"/>
                <w:kern w:val="0"/>
                <w:sz w:val="22"/>
                <w:szCs w:val="22"/>
              </w:rPr>
              <w:br w:type="textWrapping"/>
            </w:r>
            <w:r>
              <w:rPr>
                <w:color w:val="auto"/>
                <w:kern w:val="0"/>
                <w:sz w:val="22"/>
                <w:szCs w:val="22"/>
              </w:rPr>
              <w:t>③是否符合项目预算批复或合同规定的用途；</w:t>
            </w:r>
            <w:r>
              <w:rPr>
                <w:color w:val="auto"/>
                <w:kern w:val="0"/>
                <w:sz w:val="22"/>
                <w:szCs w:val="22"/>
              </w:rPr>
              <w:br w:type="textWrapping"/>
            </w:r>
            <w:r>
              <w:rPr>
                <w:color w:val="auto"/>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auto"/>
                <w:kern w:val="0"/>
                <w:sz w:val="22"/>
                <w:szCs w:val="22"/>
              </w:rPr>
            </w:pPr>
          </w:p>
        </w:tc>
        <w:tc>
          <w:tcPr>
            <w:tcW w:w="764"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组织实施</w:t>
            </w:r>
          </w:p>
          <w:p>
            <w:pPr>
              <w:spacing w:line="0" w:lineRule="atLeast"/>
              <w:jc w:val="center"/>
              <w:rPr>
                <w:color w:val="auto"/>
                <w:kern w:val="0"/>
                <w:sz w:val="22"/>
                <w:szCs w:val="22"/>
              </w:rPr>
            </w:pPr>
            <w:r>
              <w:rPr>
                <w:color w:val="auto"/>
                <w:kern w:val="0"/>
                <w:sz w:val="22"/>
                <w:szCs w:val="22"/>
              </w:rPr>
              <w:t>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管理制度</w:t>
            </w:r>
          </w:p>
          <w:p>
            <w:pPr>
              <w:widowControl/>
              <w:spacing w:line="0" w:lineRule="atLeast"/>
              <w:jc w:val="center"/>
              <w:rPr>
                <w:color w:val="auto"/>
                <w:kern w:val="0"/>
                <w:sz w:val="22"/>
                <w:szCs w:val="22"/>
              </w:rPr>
            </w:pPr>
            <w:r>
              <w:rPr>
                <w:color w:val="auto"/>
                <w:kern w:val="0"/>
                <w:sz w:val="22"/>
                <w:szCs w:val="22"/>
              </w:rPr>
              <w:t>健全性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①是否已制定或具有相应的财务和业务管理制度；</w:t>
            </w:r>
            <w:r>
              <w:rPr>
                <w:color w:val="auto"/>
                <w:kern w:val="0"/>
                <w:sz w:val="22"/>
                <w:szCs w:val="22"/>
              </w:rPr>
              <w:br w:type="textWrapping"/>
            </w:r>
            <w:r>
              <w:rPr>
                <w:color w:val="auto"/>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highlight w:val="none"/>
                <w:lang w:val="en-US" w:eastAsia="zh-CN"/>
              </w:rPr>
              <w:t>7.6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BF667E9"/>
    <w:rsid w:val="0F2A6BF7"/>
    <w:rsid w:val="109627EE"/>
    <w:rsid w:val="17136327"/>
    <w:rsid w:val="181228C9"/>
    <w:rsid w:val="181871E2"/>
    <w:rsid w:val="19166846"/>
    <w:rsid w:val="1F2B39A0"/>
    <w:rsid w:val="20E92B23"/>
    <w:rsid w:val="22AC2218"/>
    <w:rsid w:val="252A48B9"/>
    <w:rsid w:val="2729052F"/>
    <w:rsid w:val="28C14634"/>
    <w:rsid w:val="295A3DFC"/>
    <w:rsid w:val="2EC724D4"/>
    <w:rsid w:val="2EE30257"/>
    <w:rsid w:val="34DA27CE"/>
    <w:rsid w:val="36411DC5"/>
    <w:rsid w:val="36B72533"/>
    <w:rsid w:val="3ACA6084"/>
    <w:rsid w:val="3E770D28"/>
    <w:rsid w:val="4057649F"/>
    <w:rsid w:val="450B6AE4"/>
    <w:rsid w:val="54873A1A"/>
    <w:rsid w:val="56796849"/>
    <w:rsid w:val="568F383B"/>
    <w:rsid w:val="5C9A526E"/>
    <w:rsid w:val="5D555EEF"/>
    <w:rsid w:val="5DA95371"/>
    <w:rsid w:val="60182E98"/>
    <w:rsid w:val="686F7714"/>
    <w:rsid w:val="6A862BA8"/>
    <w:rsid w:val="6DFC1C65"/>
    <w:rsid w:val="6F7A52B0"/>
    <w:rsid w:val="75FA041F"/>
    <w:rsid w:val="760F49BD"/>
    <w:rsid w:val="76E870A0"/>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5042</Words>
  <Characters>5242</Characters>
  <Lines>37</Lines>
  <Paragraphs>10</Paragraphs>
  <TotalTime>11</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2024-06-12T05:11:05Z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