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霍尔果斯经济开发区口岸园区国际多式联运集疏中心项目（一期）</w:t>
      </w:r>
      <w:r>
        <w:rPr>
          <w:rFonts w:eastAsia="方正小标宋_GBK"/>
          <w:kern w:val="0"/>
          <w:sz w:val="48"/>
          <w:szCs w:val="48"/>
        </w:rPr>
        <w:t>支出绩效</w:t>
      </w:r>
    </w:p>
    <w:p>
      <w:pPr>
        <w:spacing w:line="540" w:lineRule="exact"/>
        <w:jc w:val="center"/>
        <w:rPr>
          <w:rFonts w:eastAsia="方正小标宋_GBK"/>
          <w:kern w:val="0"/>
          <w:sz w:val="48"/>
          <w:szCs w:val="48"/>
        </w:rPr>
      </w:pPr>
      <w:r>
        <w:rPr>
          <w:rFonts w:eastAsia="方正小标宋_GBK"/>
          <w:kern w:val="0"/>
          <w:sz w:val="48"/>
          <w:szCs w:val="48"/>
        </w:rPr>
        <w:t>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宋体"/>
          <w:i w:val="0"/>
          <w:iCs w:val="0"/>
          <w:caps w:val="0"/>
          <w:color w:val="333333"/>
          <w:spacing w:val="0"/>
          <w:sz w:val="21"/>
          <w:szCs w:val="21"/>
          <w:shd w:val="clear" w:fill="FFFFFF"/>
        </w:rPr>
        <w:t>霍尔果斯经济开发区口岸园区国际多式联运集疏中心项目（一期）</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宋体"/>
          <w:i w:val="0"/>
          <w:iCs w:val="0"/>
          <w:caps w:val="0"/>
          <w:color w:val="333333"/>
          <w:spacing w:val="0"/>
          <w:sz w:val="21"/>
          <w:szCs w:val="21"/>
          <w:shd w:val="clear" w:fill="FFFFFF"/>
        </w:rPr>
        <w:t>中哈霍尔果斯国际边境合作中心管理办公室</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宋体"/>
          <w:i w:val="0"/>
          <w:iCs w:val="0"/>
          <w:caps w:val="0"/>
          <w:color w:val="333333"/>
          <w:spacing w:val="0"/>
          <w:sz w:val="21"/>
          <w:szCs w:val="21"/>
          <w:shd w:val="clear" w:fill="FFFFFF"/>
        </w:rPr>
        <w:t>中哈霍尔果斯国际边境合作中心管理办公室</w:t>
      </w: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毛若欢</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15</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textAlignment w:val="auto"/>
        <w:rPr>
          <w:color w:val="auto"/>
          <w:sz w:val="32"/>
          <w:szCs w:val="32"/>
        </w:rPr>
      </w:pPr>
      <w:r>
        <w:rPr>
          <w:rFonts w:hint="eastAsia" w:eastAsia="方正仿宋简体" w:cs="Times New Roman"/>
          <w:i w:val="0"/>
          <w:iCs w:val="0"/>
          <w:caps w:val="0"/>
          <w:color w:val="333333"/>
          <w:spacing w:val="0"/>
          <w:sz w:val="32"/>
          <w:szCs w:val="32"/>
          <w:shd w:val="clear" w:fill="FFFFFF"/>
          <w:lang w:eastAsia="zh-CN"/>
        </w:rPr>
        <w:t>　　</w:t>
      </w:r>
      <w:r>
        <w:rPr>
          <w:rFonts w:hint="default" w:ascii="Times New Roman" w:hAnsi="Times New Roman" w:eastAsia="方正仿宋简体" w:cs="Times New Roman"/>
          <w:i w:val="0"/>
          <w:iCs w:val="0"/>
          <w:caps w:val="0"/>
          <w:color w:val="333333"/>
          <w:spacing w:val="0"/>
          <w:sz w:val="32"/>
          <w:szCs w:val="32"/>
          <w:shd w:val="clear" w:fill="FFFFFF"/>
        </w:rPr>
        <w:t xml:space="preserve">一是霍尔果斯是国家重点边境口岸，是国家物流枢纽承载城市，霍尔果斯口岸是我国向西开放的大门和陆路运输的桥头堡， 口岸指定资质达到 8 项，包括粮食、整车、活畜、肉类、水果、 中药材、化妆品、药品等功能性口岸，是全疆资质种类多、功能 较为完善的口岸。霍尔果斯口岸通关过货量逐年大步提升，成为 亚欧贸易往来的黄金通道，在新发展格局下经济社会发展势头强 劲。二是目前霍尔果斯多式联运优势未能充分发挥，口岸物流枢 纽功能尚未释放，口岸“通道经济”未充分转化，“口岸强州” 带动能力较弱。三是中欧班列 在“一带一路”的建设推动下成为亚欧贸易主通道的地位不可撼 动，霍尔果斯作为中欧班列主通道，应补齐基础设施短板，持续 增强海关通关效率，利用多式联运海关监管区的建立，实现东西 向货物的公铁联运和陆空联运，同时还能完成货物的集中申报、 关检集中查验和海关监管仓储功能，实现“一次申报、一次查验、 一次放行”。 </w:t>
      </w:r>
      <w:r>
        <w:rPr>
          <w:rFonts w:hint="eastAsia" w:ascii="Times New Roman" w:hAnsi="Times New Roman" w:eastAsia="方正仿宋简体" w:cs="Times New Roman"/>
          <w:i w:val="0"/>
          <w:iCs w:val="0"/>
          <w:caps w:val="0"/>
          <w:color w:val="333333"/>
          <w:spacing w:val="0"/>
          <w:sz w:val="32"/>
          <w:szCs w:val="32"/>
          <w:shd w:val="clear" w:fill="FFFFFF"/>
        </w:rPr>
        <w:t>本项目依据《</w:t>
      </w:r>
      <w:r>
        <w:rPr>
          <w:rFonts w:hint="eastAsia" w:ascii="Times New Roman" w:hAnsi="Times New Roman" w:eastAsia="方正仿宋简体" w:cs="Times New Roman"/>
          <w:i w:val="0"/>
          <w:iCs w:val="0"/>
          <w:caps w:val="0"/>
          <w:color w:val="333333"/>
          <w:spacing w:val="0"/>
          <w:sz w:val="32"/>
          <w:szCs w:val="32"/>
          <w:shd w:val="clear" w:fill="FFFFFF"/>
          <w:lang w:eastAsia="zh-CN"/>
        </w:rPr>
        <w:t>关于</w:t>
      </w:r>
      <w:r>
        <w:rPr>
          <w:rFonts w:hint="eastAsia" w:ascii="Times New Roman" w:hAnsi="Times New Roman" w:eastAsia="方正仿宋简体" w:cs="Times New Roman"/>
          <w:i w:val="0"/>
          <w:iCs w:val="0"/>
          <w:caps w:val="0"/>
          <w:color w:val="333333"/>
          <w:spacing w:val="0"/>
          <w:sz w:val="32"/>
          <w:szCs w:val="32"/>
          <w:shd w:val="clear" w:fill="FFFFFF"/>
        </w:rPr>
        <w:t>霍尔果斯经济开发区口岸园区国际多式联运集疏中心项目（一期）</w:t>
      </w:r>
      <w:r>
        <w:rPr>
          <w:rFonts w:hint="eastAsia" w:ascii="Times New Roman" w:hAnsi="Times New Roman" w:eastAsia="方正仿宋简体" w:cs="Times New Roman"/>
          <w:i w:val="0"/>
          <w:iCs w:val="0"/>
          <w:caps w:val="0"/>
          <w:color w:val="333333"/>
          <w:spacing w:val="0"/>
          <w:sz w:val="32"/>
          <w:szCs w:val="32"/>
          <w:shd w:val="clear" w:fill="FFFFFF"/>
          <w:lang w:eastAsia="zh-CN"/>
        </w:rPr>
        <w:t>可行性研究报告（代项目建议书）的批复</w:t>
      </w:r>
      <w:r>
        <w:rPr>
          <w:rFonts w:hint="eastAsia" w:ascii="Times New Roman" w:hAnsi="Times New Roman" w:eastAsia="方正仿宋简体" w:cs="Times New Roman"/>
          <w:i w:val="0"/>
          <w:iCs w:val="0"/>
          <w:caps w:val="0"/>
          <w:color w:val="333333"/>
          <w:spacing w:val="0"/>
          <w:sz w:val="32"/>
          <w:szCs w:val="32"/>
          <w:shd w:val="clear" w:fill="FFFFFF"/>
        </w:rPr>
        <w:t>》霍特发改投资（2022）7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w:t>
      </w:r>
      <w:r>
        <w:rPr>
          <w:rFonts w:hint="eastAsia" w:ascii="Times New Roman" w:hAnsi="Times New Roman" w:eastAsia="方正仿宋简体" w:cs="Times New Roman"/>
          <w:i w:val="0"/>
          <w:iCs w:val="0"/>
          <w:caps w:val="0"/>
          <w:color w:val="333333"/>
          <w:spacing w:val="0"/>
          <w:sz w:val="32"/>
          <w:szCs w:val="32"/>
          <w:shd w:val="clear" w:fill="FFFFFF"/>
          <w:lang w:eastAsia="zh-CN"/>
        </w:rPr>
        <w:t>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i w:val="0"/>
          <w:iCs w:val="0"/>
          <w:caps w:val="0"/>
          <w:color w:val="333333"/>
          <w:spacing w:val="0"/>
          <w:sz w:val="32"/>
          <w:szCs w:val="32"/>
          <w:shd w:val="clear" w:fill="FFFFFF"/>
          <w:lang w:eastAsia="zh-CN"/>
        </w:rPr>
      </w:pPr>
      <w:r>
        <w:rPr>
          <w:rFonts w:hint="eastAsia" w:ascii="仿宋_GB2312"/>
          <w:sz w:val="32"/>
          <w:szCs w:val="32"/>
        </w:rPr>
        <w:t>实施情况：</w:t>
      </w:r>
      <w:r>
        <w:rPr>
          <w:rFonts w:hint="eastAsia" w:ascii="Times New Roman" w:hAnsi="Times New Roman" w:eastAsia="方正仿宋简体" w:cs="Times New Roman"/>
          <w:i w:val="0"/>
          <w:iCs w:val="0"/>
          <w:caps w:val="0"/>
          <w:color w:val="333333"/>
          <w:spacing w:val="0"/>
          <w:sz w:val="32"/>
          <w:szCs w:val="32"/>
          <w:shd w:val="clear" w:fill="FFFFFF"/>
          <w:lang w:eastAsia="zh-CN"/>
        </w:rPr>
        <w:t>已完成5栋公铁物流仓储区、配送转运分拨区、汽车整车进口服务区（企业配件库、展示交易中心）、保税物流中心（保税展示仓库、海关监管仓库、报关大厅等）建筑楼及配套设施的建设。超过100间业务车间。项目100%正常运转，受益人数高达1000余人。项目的建设将补齐霍尔果斯多式联运“连而不畅、邻而不通”等“最后一公里”短板，直达哈萨克斯坦，充分发挥霍尔果斯综合保税区、铁路口岸叠加优势，通过中欧班列构建新发展格局。</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i w:val="0"/>
          <w:iCs w:val="0"/>
          <w:caps w:val="0"/>
          <w:color w:val="333333"/>
          <w:spacing w:val="0"/>
          <w:sz w:val="32"/>
          <w:szCs w:val="32"/>
          <w:shd w:val="clear" w:fill="FFFFFF"/>
          <w:lang w:eastAsia="zh-CN"/>
        </w:rPr>
      </w:pPr>
      <w:r>
        <w:rPr>
          <w:rFonts w:hint="eastAsia"/>
          <w:sz w:val="32"/>
          <w:szCs w:val="32"/>
        </w:rPr>
        <w:t>资金投入情况：</w:t>
      </w:r>
      <w:r>
        <w:rPr>
          <w:rFonts w:hint="eastAsia" w:ascii="Times New Roman" w:hAnsi="Times New Roman" w:eastAsia="方正仿宋简体" w:cs="Times New Roman"/>
          <w:i w:val="0"/>
          <w:iCs w:val="0"/>
          <w:caps w:val="0"/>
          <w:color w:val="333333"/>
          <w:spacing w:val="0"/>
          <w:sz w:val="32"/>
          <w:szCs w:val="32"/>
          <w:shd w:val="clear" w:fill="FFFFFF"/>
          <w:lang w:eastAsia="zh-CN"/>
        </w:rPr>
        <w:t>该项目年初预算数</w:t>
      </w:r>
      <w:r>
        <w:rPr>
          <w:rFonts w:hint="eastAsia" w:eastAsia="方正仿宋简体" w:cs="Times New Roman"/>
          <w:i w:val="0"/>
          <w:iCs w:val="0"/>
          <w:caps w:val="0"/>
          <w:color w:val="333333"/>
          <w:spacing w:val="0"/>
          <w:sz w:val="32"/>
          <w:szCs w:val="32"/>
          <w:shd w:val="clear" w:fill="FFFFFF"/>
          <w:lang w:val="en-US" w:eastAsia="zh-CN"/>
        </w:rPr>
        <w:t>1000</w:t>
      </w:r>
      <w:r>
        <w:rPr>
          <w:rFonts w:hint="eastAsia" w:ascii="Times New Roman" w:hAnsi="Times New Roman" w:eastAsia="方正仿宋简体" w:cs="Times New Roman"/>
          <w:i w:val="0"/>
          <w:iCs w:val="0"/>
          <w:caps w:val="0"/>
          <w:color w:val="333333"/>
          <w:spacing w:val="0"/>
          <w:sz w:val="32"/>
          <w:szCs w:val="32"/>
          <w:shd w:val="clear" w:fill="FFFFFF"/>
          <w:lang w:eastAsia="zh-CN"/>
        </w:rPr>
        <w:t>万元，全年预算数</w:t>
      </w:r>
      <w:r>
        <w:rPr>
          <w:rFonts w:hint="eastAsia" w:ascii="Times New Roman" w:hAnsi="Times New Roman" w:eastAsia="方正仿宋简体" w:cs="Times New Roman"/>
          <w:i w:val="0"/>
          <w:iCs w:val="0"/>
          <w:caps w:val="0"/>
          <w:color w:val="333333"/>
          <w:spacing w:val="0"/>
          <w:sz w:val="32"/>
          <w:szCs w:val="32"/>
          <w:shd w:val="clear" w:fill="FFFFFF"/>
          <w:lang w:val="en-US" w:eastAsia="zh-CN"/>
        </w:rPr>
        <w:t>3127.96</w:t>
      </w:r>
      <w:r>
        <w:rPr>
          <w:rFonts w:hint="eastAsia" w:ascii="Times New Roman" w:hAnsi="Times New Roman" w:eastAsia="方正仿宋简体" w:cs="Times New Roman"/>
          <w:i w:val="0"/>
          <w:iCs w:val="0"/>
          <w:caps w:val="0"/>
          <w:color w:val="333333"/>
          <w:spacing w:val="0"/>
          <w:sz w:val="32"/>
          <w:szCs w:val="32"/>
          <w:shd w:val="clear" w:fill="FFFFFF"/>
          <w:lang w:eastAsia="zh-CN"/>
        </w:rPr>
        <w:t>万元，实际总投入</w:t>
      </w:r>
      <w:r>
        <w:rPr>
          <w:rFonts w:hint="eastAsia" w:ascii="Times New Roman" w:hAnsi="Times New Roman" w:eastAsia="方正仿宋简体" w:cs="Times New Roman"/>
          <w:i w:val="0"/>
          <w:iCs w:val="0"/>
          <w:caps w:val="0"/>
          <w:color w:val="333333"/>
          <w:spacing w:val="0"/>
          <w:sz w:val="32"/>
          <w:szCs w:val="32"/>
          <w:shd w:val="clear" w:fill="FFFFFF"/>
          <w:lang w:val="en-US" w:eastAsia="zh-CN"/>
        </w:rPr>
        <w:t>3127.96</w:t>
      </w:r>
      <w:r>
        <w:rPr>
          <w:rFonts w:hint="eastAsia" w:ascii="Times New Roman" w:hAnsi="Times New Roman" w:eastAsia="方正仿宋简体" w:cs="Times New Roman"/>
          <w:i w:val="0"/>
          <w:iCs w:val="0"/>
          <w:caps w:val="0"/>
          <w:color w:val="333333"/>
          <w:spacing w:val="0"/>
          <w:sz w:val="32"/>
          <w:szCs w:val="32"/>
          <w:shd w:val="clear" w:fill="FFFFFF"/>
          <w:lang w:eastAsia="zh-CN"/>
        </w:rPr>
        <w:t>万元，该项目资金已全部落实到位，资金来源为上级安排</w:t>
      </w:r>
      <w:r>
        <w:rPr>
          <w:rFonts w:hint="eastAsia" w:ascii="Times New Roman" w:hAnsi="Times New Roman" w:eastAsia="方正仿宋简体" w:cs="Times New Roman"/>
          <w:i w:val="0"/>
          <w:iCs w:val="0"/>
          <w:caps w:val="0"/>
          <w:color w:val="333333"/>
          <w:spacing w:val="0"/>
          <w:sz w:val="32"/>
          <w:szCs w:val="32"/>
          <w:shd w:val="clear" w:fill="FFFFFF"/>
          <w:lang w:val="en-US" w:eastAsia="zh-CN"/>
        </w:rPr>
        <w:t>3000万元，本级安排127.96万元</w:t>
      </w:r>
      <w:r>
        <w:rPr>
          <w:rFonts w:hint="eastAsia" w:ascii="Times New Roman" w:hAnsi="Times New Roman" w:eastAsia="方正仿宋简体" w:cs="Times New Roman"/>
          <w:i w:val="0"/>
          <w:iCs w:val="0"/>
          <w:caps w:val="0"/>
          <w:color w:val="333333"/>
          <w:spacing w:val="0"/>
          <w:sz w:val="32"/>
          <w:szCs w:val="32"/>
          <w:shd w:val="clear" w:fill="FFFFFF"/>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方正仿宋简体" w:cs="Times New Roman"/>
          <w:i w:val="0"/>
          <w:iCs w:val="0"/>
          <w:caps w:val="0"/>
          <w:color w:val="333333"/>
          <w:spacing w:val="0"/>
          <w:sz w:val="32"/>
          <w:szCs w:val="32"/>
          <w:shd w:val="clear" w:fill="FFFFFF"/>
          <w:lang w:eastAsia="zh-CN"/>
        </w:rPr>
        <w:t>资金使用情况：</w:t>
      </w:r>
      <w:bookmarkStart w:id="2" w:name="_Toc68703829"/>
      <w:r>
        <w:rPr>
          <w:rFonts w:hint="eastAsia" w:ascii="Times New Roman" w:hAnsi="Times New Roman" w:eastAsia="方正仿宋简体" w:cs="Times New Roman"/>
          <w:i w:val="0"/>
          <w:iCs w:val="0"/>
          <w:caps w:val="0"/>
          <w:color w:val="333333"/>
          <w:spacing w:val="0"/>
          <w:sz w:val="32"/>
          <w:szCs w:val="32"/>
          <w:shd w:val="clear" w:fill="FFFFFF"/>
          <w:lang w:eastAsia="zh-CN"/>
        </w:rPr>
        <w:t>该项目年初预算数</w:t>
      </w:r>
      <w:r>
        <w:rPr>
          <w:rFonts w:hint="eastAsia" w:eastAsia="方正仿宋简体" w:cs="Times New Roman"/>
          <w:i w:val="0"/>
          <w:iCs w:val="0"/>
          <w:caps w:val="0"/>
          <w:color w:val="333333"/>
          <w:spacing w:val="0"/>
          <w:sz w:val="32"/>
          <w:szCs w:val="32"/>
          <w:shd w:val="clear" w:fill="FFFFFF"/>
          <w:lang w:val="en-US" w:eastAsia="zh-CN"/>
        </w:rPr>
        <w:t>1000</w:t>
      </w:r>
      <w:r>
        <w:rPr>
          <w:rFonts w:hint="eastAsia" w:ascii="Times New Roman" w:hAnsi="Times New Roman" w:eastAsia="方正仿宋简体" w:cs="Times New Roman"/>
          <w:i w:val="0"/>
          <w:iCs w:val="0"/>
          <w:caps w:val="0"/>
          <w:color w:val="333333"/>
          <w:spacing w:val="0"/>
          <w:sz w:val="32"/>
          <w:szCs w:val="32"/>
          <w:shd w:val="clear" w:fill="FFFFFF"/>
          <w:lang w:eastAsia="zh-CN"/>
        </w:rPr>
        <w:t>万元，全年预算数</w:t>
      </w:r>
      <w:r>
        <w:rPr>
          <w:rFonts w:hint="eastAsia" w:ascii="Times New Roman" w:hAnsi="Times New Roman" w:eastAsia="方正仿宋简体" w:cs="Times New Roman"/>
          <w:i w:val="0"/>
          <w:iCs w:val="0"/>
          <w:caps w:val="0"/>
          <w:color w:val="333333"/>
          <w:spacing w:val="0"/>
          <w:sz w:val="32"/>
          <w:szCs w:val="32"/>
          <w:shd w:val="clear" w:fill="FFFFFF"/>
          <w:lang w:val="en-US" w:eastAsia="zh-CN"/>
        </w:rPr>
        <w:t>3127.96</w:t>
      </w:r>
      <w:r>
        <w:rPr>
          <w:rFonts w:hint="eastAsia" w:ascii="Times New Roman" w:hAnsi="Times New Roman" w:eastAsia="方正仿宋简体" w:cs="Times New Roman"/>
          <w:i w:val="0"/>
          <w:iCs w:val="0"/>
          <w:caps w:val="0"/>
          <w:color w:val="333333"/>
          <w:spacing w:val="0"/>
          <w:sz w:val="32"/>
          <w:szCs w:val="32"/>
          <w:shd w:val="clear" w:fill="FFFFFF"/>
          <w:lang w:eastAsia="zh-CN"/>
        </w:rPr>
        <w:t>万元，全年执行数</w:t>
      </w:r>
      <w:r>
        <w:rPr>
          <w:rFonts w:hint="eastAsia" w:ascii="Times New Roman" w:hAnsi="Times New Roman" w:eastAsia="方正仿宋简体" w:cs="Times New Roman"/>
          <w:i w:val="0"/>
          <w:iCs w:val="0"/>
          <w:caps w:val="0"/>
          <w:color w:val="333333"/>
          <w:spacing w:val="0"/>
          <w:sz w:val="32"/>
          <w:szCs w:val="32"/>
          <w:shd w:val="clear" w:fill="FFFFFF"/>
          <w:lang w:val="en-US" w:eastAsia="zh-CN"/>
        </w:rPr>
        <w:t>3127.96</w:t>
      </w:r>
      <w:r>
        <w:rPr>
          <w:rFonts w:hint="eastAsia" w:ascii="Times New Roman" w:hAnsi="Times New Roman" w:eastAsia="方正仿宋简体" w:cs="Times New Roman"/>
          <w:i w:val="0"/>
          <w:iCs w:val="0"/>
          <w:caps w:val="0"/>
          <w:color w:val="333333"/>
          <w:spacing w:val="0"/>
          <w:sz w:val="32"/>
          <w:szCs w:val="32"/>
          <w:shd w:val="clear" w:fill="FFFFFF"/>
          <w:lang w:eastAsia="zh-CN"/>
        </w:rPr>
        <w:t>万元，预算执行率为</w:t>
      </w:r>
      <w:r>
        <w:rPr>
          <w:rFonts w:hint="eastAsia" w:ascii="Times New Roman" w:hAnsi="Times New Roman" w:eastAsia="方正仿宋简体" w:cs="Times New Roman"/>
          <w:i w:val="0"/>
          <w:iCs w:val="0"/>
          <w:caps w:val="0"/>
          <w:color w:val="333333"/>
          <w:spacing w:val="0"/>
          <w:sz w:val="32"/>
          <w:szCs w:val="32"/>
          <w:shd w:val="clear" w:fill="FFFFFF"/>
          <w:lang w:val="en-US" w:eastAsia="zh-CN"/>
        </w:rPr>
        <w:t>100</w:t>
      </w:r>
      <w:r>
        <w:rPr>
          <w:rFonts w:hint="eastAsia" w:ascii="Times New Roman" w:hAnsi="Times New Roman" w:eastAsia="方正仿宋简体" w:cs="Times New Roman"/>
          <w:i w:val="0"/>
          <w:iCs w:val="0"/>
          <w:caps w:val="0"/>
          <w:color w:val="333333"/>
          <w:spacing w:val="0"/>
          <w:sz w:val="32"/>
          <w:szCs w:val="32"/>
          <w:shd w:val="clear" w:fill="FFFFFF"/>
          <w:lang w:eastAsia="zh-CN"/>
        </w:rPr>
        <w:t>%，用于：项目工程款</w:t>
      </w:r>
      <w:r>
        <w:rPr>
          <w:rFonts w:hint="eastAsia" w:ascii="Times New Roman" w:hAnsi="Times New Roman" w:eastAsia="方正仿宋简体" w:cs="Times New Roman"/>
          <w:i w:val="0"/>
          <w:iCs w:val="0"/>
          <w:caps w:val="0"/>
          <w:color w:val="333333"/>
          <w:spacing w:val="0"/>
          <w:sz w:val="32"/>
          <w:szCs w:val="32"/>
          <w:shd w:val="clear" w:fill="FFFFFF"/>
          <w:lang w:val="en-US" w:eastAsia="zh-CN"/>
        </w:rPr>
        <w:t>1779.4</w:t>
      </w:r>
      <w:r>
        <w:rPr>
          <w:rFonts w:hint="eastAsia" w:ascii="Times New Roman" w:hAnsi="Times New Roman" w:eastAsia="方正仿宋简体" w:cs="Times New Roman"/>
          <w:i w:val="0"/>
          <w:iCs w:val="0"/>
          <w:caps w:val="0"/>
          <w:color w:val="333333"/>
          <w:spacing w:val="0"/>
          <w:sz w:val="32"/>
          <w:szCs w:val="32"/>
          <w:shd w:val="clear" w:fill="FFFFFF"/>
          <w:lang w:eastAsia="zh-CN"/>
        </w:rPr>
        <w:t>万元，农民工工资</w:t>
      </w:r>
      <w:r>
        <w:rPr>
          <w:rFonts w:hint="eastAsia" w:ascii="Times New Roman" w:hAnsi="Times New Roman" w:eastAsia="方正仿宋简体" w:cs="Times New Roman"/>
          <w:i w:val="0"/>
          <w:iCs w:val="0"/>
          <w:caps w:val="0"/>
          <w:color w:val="333333"/>
          <w:spacing w:val="0"/>
          <w:sz w:val="32"/>
          <w:szCs w:val="32"/>
          <w:shd w:val="clear" w:fill="FFFFFF"/>
          <w:lang w:val="en-US" w:eastAsia="zh-CN"/>
        </w:rPr>
        <w:t>1220.6万元，城市配套税费127.96万元。</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i w:val="0"/>
          <w:iCs w:val="0"/>
          <w:caps w:val="0"/>
          <w:color w:val="333333"/>
          <w:spacing w:val="0"/>
          <w:sz w:val="32"/>
          <w:szCs w:val="32"/>
          <w:shd w:val="clear" w:fill="FFFFFF"/>
          <w:lang w:eastAsia="zh-CN"/>
        </w:rPr>
      </w:pPr>
      <w:r>
        <w:rPr>
          <w:rFonts w:hint="eastAsia" w:ascii="Times New Roman" w:hAnsi="Times New Roman" w:eastAsia="仿宋_GB2312" w:cs="Times New Roman"/>
          <w:b w:val="0"/>
          <w:bCs w:val="0"/>
          <w:sz w:val="32"/>
          <w:szCs w:val="32"/>
          <w:lang w:val="en-US" w:eastAsia="zh-CN"/>
        </w:rPr>
        <w:t>1.总体目标：</w:t>
      </w:r>
      <w:r>
        <w:rPr>
          <w:rFonts w:hint="eastAsia" w:ascii="Times New Roman" w:hAnsi="Times New Roman" w:eastAsia="方正仿宋简体" w:cs="Times New Roman"/>
          <w:i w:val="0"/>
          <w:iCs w:val="0"/>
          <w:caps w:val="0"/>
          <w:color w:val="333333"/>
          <w:spacing w:val="0"/>
          <w:sz w:val="32"/>
          <w:szCs w:val="32"/>
          <w:shd w:val="clear" w:fill="FFFFFF"/>
          <w:lang w:eastAsia="zh-CN"/>
        </w:rPr>
        <w:t>霍尔果斯经济开发区口岸园区多式联运集疏中心项目（一期）项目总投1.6亿，主要包括公铁物流仓储区、配送转运分拨区、汽车整车进口服务区（企业配件库、展示交易中心）、保税物流中心（保税展示仓库、海关监管仓库、报关大厅等）及配套设施建设。建筑楼栋数5栋，超过100间业务车间。项目的建设将补齐霍尔果斯多式联运“连而不畅、邻而不通”等“最后一公里”短板，直达哈萨克斯坦，充分发挥霍尔果斯综合保税区、铁路口岸叠加优势，通过中欧班列构建新发展格局。项目建筑面积36000平方米，该项目已实施总工程量的95%。现申请3127.96万元预算资金，其中1681.4万元支付工程款，1220.6万元支付农民工工资，48万元支付项目监理费，121.23万元城市配套费，50万元支付项目设计费，6.73万元支付水土保持费。</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i w:val="0"/>
          <w:iCs w:val="0"/>
          <w:caps w:val="0"/>
          <w:color w:val="333333"/>
          <w:spacing w:val="0"/>
          <w:sz w:val="32"/>
          <w:szCs w:val="32"/>
          <w:shd w:val="clear" w:fill="FFFFFF"/>
          <w:lang w:eastAsia="zh-CN"/>
        </w:rPr>
      </w:pP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方正仿宋简体" w:cs="Times New Roman"/>
          <w:i w:val="0"/>
          <w:iCs w:val="0"/>
          <w:caps w:val="0"/>
          <w:color w:val="333333"/>
          <w:spacing w:val="0"/>
          <w:sz w:val="32"/>
          <w:szCs w:val="32"/>
          <w:shd w:val="clear" w:fill="FFFFFF"/>
          <w:lang w:eastAsia="zh-CN"/>
        </w:rPr>
        <w:t>霍尔果斯经济开发区口岸园区多式联运集疏中心项目（一期）项目截</w:t>
      </w:r>
      <w:bookmarkStart w:id="22" w:name="_GoBack"/>
      <w:bookmarkEnd w:id="22"/>
      <w:r>
        <w:rPr>
          <w:rFonts w:hint="eastAsia" w:eastAsia="方正仿宋简体" w:cs="Times New Roman"/>
          <w:i w:val="0"/>
          <w:iCs w:val="0"/>
          <w:caps w:val="0"/>
          <w:color w:val="333333"/>
          <w:spacing w:val="0"/>
          <w:sz w:val="32"/>
          <w:szCs w:val="32"/>
          <w:shd w:val="clear" w:fill="FFFFFF"/>
          <w:lang w:eastAsia="zh-CN"/>
        </w:rPr>
        <w:t>至</w:t>
      </w:r>
      <w:r>
        <w:rPr>
          <w:rFonts w:hint="eastAsia" w:ascii="Times New Roman" w:hAnsi="Times New Roman" w:eastAsia="方正仿宋简体" w:cs="Times New Roman"/>
          <w:i w:val="0"/>
          <w:iCs w:val="0"/>
          <w:caps w:val="0"/>
          <w:color w:val="333333"/>
          <w:spacing w:val="0"/>
          <w:sz w:val="32"/>
          <w:szCs w:val="32"/>
          <w:shd w:val="clear" w:fill="FFFFFF"/>
          <w:lang w:val="en-US" w:eastAsia="zh-CN"/>
        </w:rPr>
        <w:t>2023年6月完成</w:t>
      </w:r>
      <w:r>
        <w:rPr>
          <w:rFonts w:hint="eastAsia" w:ascii="Times New Roman" w:hAnsi="Times New Roman" w:eastAsia="方正仿宋简体" w:cs="Times New Roman"/>
          <w:i w:val="0"/>
          <w:iCs w:val="0"/>
          <w:caps w:val="0"/>
          <w:color w:val="333333"/>
          <w:spacing w:val="0"/>
          <w:sz w:val="32"/>
          <w:szCs w:val="32"/>
          <w:shd w:val="clear" w:fill="FFFFFF"/>
          <w:lang w:eastAsia="zh-CN"/>
        </w:rPr>
        <w:t>公铁物流仓储区、配送转运分拨区、汽车整车进口服务区（企业配件库、展示交易中心）、保税物流中心（保税展示仓库、海关监管仓库、报关大厅等）的主体建设工作；截止</w:t>
      </w:r>
      <w:r>
        <w:rPr>
          <w:rFonts w:hint="eastAsia" w:ascii="Times New Roman" w:hAnsi="Times New Roman" w:eastAsia="方正仿宋简体" w:cs="Times New Roman"/>
          <w:i w:val="0"/>
          <w:iCs w:val="0"/>
          <w:caps w:val="0"/>
          <w:color w:val="333333"/>
          <w:spacing w:val="0"/>
          <w:sz w:val="32"/>
          <w:szCs w:val="32"/>
          <w:shd w:val="clear" w:fill="FFFFFF"/>
          <w:lang w:val="en-US" w:eastAsia="zh-CN"/>
        </w:rPr>
        <w:t>12月项目完成外立面装修及土地平整等工作，项目基本完工。</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霍尔果斯经济开发区口岸园区国际多式联运集疏中心项目（一期）所包含的全部项目内容。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霍尔果斯经济开发区口岸园区国际多式联运集疏中心项目（一期）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w:t>
      </w:r>
      <w:r>
        <w:rPr>
          <w:rFonts w:hint="eastAsia" w:ascii="Times New Roman" w:hAnsi="Times New Roman" w:eastAsia="仿宋_GB2312"/>
          <w:b w:val="0"/>
          <w:bCs w:val="0"/>
          <w:highlight w:val="none"/>
        </w:rPr>
        <w:t>问卷调查及访谈等方式，对本项目进行客观评价，最终评分结果：总得分为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w:t>
      </w:r>
      <w:r>
        <w:rPr>
          <w:rFonts w:hint="eastAsia"/>
          <w:b w:val="0"/>
          <w:bCs w:val="0"/>
          <w:color w:val="auto"/>
          <w:sz w:val="32"/>
          <w:szCs w:val="32"/>
          <w:lang w:val="en-US" w:eastAsia="zh-CN"/>
        </w:rPr>
        <w:t>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color w:val="auto"/>
          <w:highlight w:val="none"/>
          <w:lang w:val="en-US" w:eastAsia="zh-CN"/>
        </w:rPr>
        <w:t>3127.96</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color w:val="auto"/>
          <w:highlight w:val="none"/>
          <w:lang w:val="en-US" w:eastAsia="zh-CN"/>
        </w:rPr>
        <w:t>3127.96</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ilvl w:val="0"/>
          <w:numId w:val="0"/>
        </w:numPr>
        <w:kinsoku/>
        <w:wordWrap/>
        <w:overflowPunct/>
        <w:topLinePunct w:val="0"/>
        <w:autoSpaceDE/>
        <w:autoSpaceDN/>
        <w:bidi w:val="0"/>
        <w:adjustRightInd/>
        <w:snapToGrid/>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w:t>
      </w:r>
      <w:r>
        <w:rPr>
          <w:rFonts w:hint="eastAsia" w:ascii="仿宋_GB2312" w:hAnsi="仿宋_GB2312" w:eastAsia="仿宋_GB2312" w:cs="仿宋_GB2312"/>
          <w:sz w:val="32"/>
          <w:szCs w:val="32"/>
          <w:highlight w:val="none"/>
          <w:lang w:val="en-US" w:eastAsia="zh-CN"/>
        </w:rPr>
        <w:t>包括产出数量、产出质量、产出时效、产出成本四方面的内容，由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指标1：项目建筑面积，指标值：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36000平方米</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36000平方米</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指标2：建设楼栋数，指标值：</w:t>
      </w:r>
      <w:r>
        <w:rPr>
          <w:rFonts w:hint="eastAsia" w:ascii="仿宋_GB2312" w:hAnsi="仿宋_GB2312" w:eastAsia="仿宋_GB2312" w:cs="仿宋_GB2312"/>
          <w:sz w:val="32"/>
          <w:szCs w:val="32"/>
          <w:highlight w:val="none"/>
          <w:lang w:val="en-US" w:eastAsia="zh-CN"/>
        </w:rPr>
        <w:t>=5栋</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5栋</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指标1：项目验收合格率，指标值：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指标1：项目工程进度款支付及时率，指标值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4" w:name="_Toc68703841"/>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指标1：发挥综保区、铁路口岸叠加优势，指标值：充分发挥，实际完成值充分发挥，指标完成率100%；</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指标2：项目受益人数，指标值：≥500人，实际完成值1000人，指标完成率100%；</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指标3：正常运转率，指标值：≥95%，实际完成值100%，指标完成率100%。</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指标1：受益人员满意度，指标值：≥95%，实际完成值100%，指标完成率100%。</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color w:val="auto"/>
          <w:kern w:val="2"/>
          <w:sz w:val="32"/>
          <w:szCs w:val="32"/>
          <w:highlight w:val="none"/>
          <w:lang w:val="en-US" w:eastAsia="zh-CN" w:bidi="ar-SA"/>
        </w:rPr>
        <w:t>霍尔果斯经济开发区口岸园区国际多式联运集疏中心项目（一期）年初预算</w:t>
      </w:r>
      <w:r>
        <w:rPr>
          <w:rFonts w:hint="eastAsia" w:ascii="仿宋_GB2312" w:hAnsi="仿宋_GB2312" w:cs="仿宋_GB2312"/>
          <w:color w:val="auto"/>
          <w:kern w:val="2"/>
          <w:sz w:val="32"/>
          <w:szCs w:val="32"/>
          <w:highlight w:val="none"/>
          <w:lang w:val="en-US" w:eastAsia="zh-CN" w:bidi="ar-SA"/>
        </w:rPr>
        <w:t>1000</w:t>
      </w:r>
      <w:r>
        <w:rPr>
          <w:rFonts w:hint="eastAsia" w:ascii="仿宋_GB2312" w:hAnsi="仿宋_GB2312" w:eastAsia="仿宋_GB2312" w:cs="仿宋_GB2312"/>
          <w:color w:val="auto"/>
          <w:kern w:val="2"/>
          <w:sz w:val="32"/>
          <w:szCs w:val="32"/>
          <w:highlight w:val="none"/>
          <w:lang w:val="en-US" w:eastAsia="zh-CN" w:bidi="ar-SA"/>
        </w:rPr>
        <w:t>万元，全年预算3127.96万元，实际支出3127.9</w:t>
      </w:r>
      <w:r>
        <w:rPr>
          <w:rFonts w:hint="eastAsia"/>
          <w:color w:val="auto"/>
          <w:highlight w:val="none"/>
          <w:lang w:val="en-US" w:eastAsia="zh-CN"/>
        </w:rPr>
        <w:t>6</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cs="仿宋_GB2312"/>
          <w:color w:val="auto"/>
          <w:kern w:val="2"/>
          <w:sz w:val="32"/>
          <w:szCs w:val="32"/>
          <w:highlight w:val="none"/>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eastAsia" w:ascii="方正仿宋简体" w:hAnsi="方正仿宋简体" w:eastAsia="方正仿宋简体" w:cs="方正仿宋简体"/>
          <w:b w:val="0"/>
          <w:bCs w:val="0"/>
          <w:color w:val="auto"/>
        </w:rPr>
      </w:pPr>
      <w:bookmarkStart w:id="17" w:name="_Toc68703844"/>
      <w:r>
        <w:rPr>
          <w:rFonts w:hint="eastAsia" w:ascii="方正仿宋简体" w:hAnsi="方正仿宋简体" w:eastAsia="方正仿宋简体" w:cs="方正仿宋简体"/>
          <w:b/>
          <w:bCs/>
          <w:color w:val="auto"/>
        </w:rPr>
        <w:t>一是加强领导，落实责任</w:t>
      </w:r>
      <w:r>
        <w:rPr>
          <w:rFonts w:hint="eastAsia" w:ascii="方正仿宋简体" w:hAnsi="方正仿宋简体" w:eastAsia="方正仿宋简体" w:cs="方正仿宋简体"/>
          <w:b w:val="0"/>
          <w:bCs w:val="0"/>
          <w:color w:val="auto"/>
        </w:rPr>
        <w:t>。我办高度重视项目绩效工作，成立预算绩效专项工作小组；</w:t>
      </w:r>
      <w:r>
        <w:rPr>
          <w:rFonts w:hint="eastAsia" w:ascii="方正仿宋简体" w:hAnsi="方正仿宋简体" w:eastAsia="方正仿宋简体" w:cs="方正仿宋简体"/>
          <w:b/>
          <w:bCs/>
          <w:color w:val="auto"/>
        </w:rPr>
        <w:t>二是科室协调，齐抓共管</w:t>
      </w:r>
      <w:r>
        <w:rPr>
          <w:rFonts w:hint="eastAsia" w:ascii="方正仿宋简体" w:hAnsi="方正仿宋简体" w:eastAsia="方正仿宋简体" w:cs="方正仿宋简体"/>
          <w:b w:val="0"/>
          <w:bCs w:val="0"/>
          <w:color w:val="auto"/>
        </w:rPr>
        <w:t>。在预算绩效领导小组的指导下，充分发挥牵头、协调作用，确保绩效管理工作有序推进；</w:t>
      </w:r>
      <w:r>
        <w:rPr>
          <w:rFonts w:hint="eastAsia" w:ascii="方正仿宋简体" w:hAnsi="方正仿宋简体" w:eastAsia="方正仿宋简体" w:cs="方正仿宋简体"/>
          <w:b/>
          <w:bCs/>
          <w:color w:val="auto"/>
        </w:rPr>
        <w:t>三是加强培训，提高业务人员工作水平</w:t>
      </w:r>
      <w:r>
        <w:rPr>
          <w:rFonts w:hint="eastAsia" w:ascii="方正仿宋简体" w:hAnsi="方正仿宋简体" w:eastAsia="方正仿宋简体" w:cs="方正仿宋简体"/>
          <w:b w:val="0"/>
          <w:bCs w:val="0"/>
          <w:color w:val="auto"/>
        </w:rPr>
        <w:t>。积极参加有关部门举办的各类预算绩效管理的培训；</w:t>
      </w:r>
      <w:r>
        <w:rPr>
          <w:rFonts w:hint="eastAsia" w:ascii="方正仿宋简体" w:hAnsi="方正仿宋简体" w:eastAsia="方正仿宋简体" w:cs="方正仿宋简体"/>
          <w:b/>
          <w:bCs/>
          <w:color w:val="auto"/>
        </w:rPr>
        <w:t>四是严格程序，确保资金收益</w:t>
      </w:r>
      <w:r>
        <w:rPr>
          <w:rFonts w:hint="eastAsia" w:ascii="方正仿宋简体" w:hAnsi="方正仿宋简体" w:eastAsia="方正仿宋简体" w:cs="方正仿宋简体"/>
          <w:b w:val="0"/>
          <w:bCs w:val="0"/>
          <w:color w:val="auto"/>
        </w:rPr>
        <w:t>。项目建设坚持层层审批原则，做到程序规范，专款专用，确保资金使用安全和最大效益的发挥。</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方正仿宋简体" w:hAnsi="方正仿宋简体" w:eastAsia="方正仿宋简体" w:cs="方正仿宋简体"/>
          <w:b w:val="0"/>
          <w:bCs w:val="0"/>
          <w:color w:val="auto"/>
        </w:rPr>
      </w:pPr>
      <w:r>
        <w:rPr>
          <w:rFonts w:hint="eastAsia" w:ascii="方正仿宋简体" w:hAnsi="方正仿宋简体" w:eastAsia="方正仿宋简体" w:cs="方正仿宋简体"/>
          <w:b w:val="0"/>
          <w:bCs w:val="0"/>
          <w:color w:val="auto"/>
        </w:rPr>
        <w:t>一是单位内部预算绩效工作有待进一步提高，工作职责分工，业务流程设计，存在责任不清，被动应付的情况。</w:t>
      </w:r>
    </w:p>
    <w:p>
      <w:pPr>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方正仿宋简体" w:hAnsi="方正仿宋简体" w:eastAsia="方正仿宋简体" w:cs="方正仿宋简体"/>
          <w:b w:val="0"/>
          <w:bCs w:val="0"/>
          <w:color w:val="auto"/>
        </w:rPr>
      </w:pPr>
      <w:r>
        <w:rPr>
          <w:rFonts w:hint="eastAsia" w:ascii="方正仿宋简体" w:hAnsi="方正仿宋简体" w:eastAsia="方正仿宋简体" w:cs="方正仿宋简体"/>
          <w:b w:val="0"/>
          <w:bCs w:val="0"/>
          <w:color w:val="auto"/>
        </w:rPr>
        <w:t>二是部门单位预算绩效管理质量和水平不高。绩效目标设置需要进一步加强编制的合理性，不能客观准确的反映项目建设实效。</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tbl>
      <w:tblPr>
        <w:tblStyle w:val="11"/>
        <w:tblpPr w:leftFromText="180" w:rightFromText="180" w:vertAnchor="text" w:horzAnchor="page" w:tblpX="1565" w:tblpY="573"/>
        <w:tblOverlap w:val="never"/>
        <w:tblW w:w="8834" w:type="dxa"/>
        <w:tblInd w:w="0" w:type="dxa"/>
        <w:tblLayout w:type="fixed"/>
        <w:tblCellMar>
          <w:top w:w="0" w:type="dxa"/>
          <w:left w:w="0" w:type="dxa"/>
          <w:bottom w:w="0" w:type="dxa"/>
          <w:right w:w="0" w:type="dxa"/>
        </w:tblCellMar>
      </w:tblPr>
      <w:tblGrid>
        <w:gridCol w:w="794"/>
        <w:gridCol w:w="794"/>
        <w:gridCol w:w="793"/>
        <w:gridCol w:w="794"/>
        <w:gridCol w:w="739"/>
        <w:gridCol w:w="463"/>
        <w:gridCol w:w="949"/>
        <w:gridCol w:w="981"/>
        <w:gridCol w:w="309"/>
        <w:gridCol w:w="573"/>
        <w:gridCol w:w="320"/>
        <w:gridCol w:w="452"/>
        <w:gridCol w:w="431"/>
        <w:gridCol w:w="442"/>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246"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霍尔果斯经济开发区口岸园区国际多式联运集疏中心项目（一期）</w:t>
            </w:r>
          </w:p>
        </w:tc>
      </w:tr>
      <w:tr>
        <w:tblPrEx>
          <w:tblLayout w:type="fixed"/>
          <w:tblCellMar>
            <w:top w:w="0" w:type="dxa"/>
            <w:left w:w="0" w:type="dxa"/>
            <w:bottom w:w="0" w:type="dxa"/>
            <w:right w:w="0" w:type="dxa"/>
          </w:tblCellMar>
        </w:tblPrEx>
        <w:trPr>
          <w:trHeight w:val="276" w:hRule="atLeast"/>
        </w:trPr>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73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中哈霍尔果斯国际边境合作中心管理办公室</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实施单位</w:t>
            </w:r>
          </w:p>
        </w:tc>
        <w:tc>
          <w:tcPr>
            <w:tcW w:w="221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中哈霍尔果斯国际边境合作中心管理办公室</w:t>
            </w:r>
          </w:p>
        </w:tc>
      </w:tr>
      <w:tr>
        <w:tblPrEx>
          <w:tblLayout w:type="fixed"/>
          <w:tblCellMar>
            <w:top w:w="0" w:type="dxa"/>
            <w:left w:w="0" w:type="dxa"/>
            <w:bottom w:w="0" w:type="dxa"/>
            <w:right w:w="0" w:type="dxa"/>
          </w:tblCellMar>
        </w:tblPrEx>
        <w:trPr>
          <w:trHeight w:val="276" w:hRule="atLeast"/>
        </w:trPr>
        <w:tc>
          <w:tcPr>
            <w:tcW w:w="15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全年预算数</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8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执行率</w:t>
            </w: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5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1000.00</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3127.96</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3127.96</w:t>
            </w:r>
          </w:p>
        </w:tc>
        <w:tc>
          <w:tcPr>
            <w:tcW w:w="8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100.00%</w:t>
            </w: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638" w:hRule="atLeast"/>
        </w:trPr>
        <w:tc>
          <w:tcPr>
            <w:tcW w:w="15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1000</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3127.96</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3127.96</w:t>
            </w:r>
          </w:p>
        </w:tc>
        <w:tc>
          <w:tcPr>
            <w:tcW w:w="8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5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5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8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53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预期目标</w:t>
            </w:r>
          </w:p>
        </w:tc>
        <w:tc>
          <w:tcPr>
            <w:tcW w:w="350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53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经济开发区口岸园区多式联运集疏中心项目（一期）项目总投1.6亿，主要包括公铁物流仓储区、配送转运分拨区、汽车整车进口服务区（企业配件库、展示交易中心）、保税物流中心（保税展示仓库、海关监管仓库、报关大厅等）及配套设施建设。建筑楼栋数5栋，超过100间业务车间。项目的建设将补齐霍尔果斯多式联运“连而不畅、邻而不通”等“最后一公里”短板，直达哈萨克斯坦，充分发挥霍尔果斯综合保税区、铁路口岸叠加优势，通过中欧班列构建新发展格局。项目建筑面积36000平方米，该项目已实施总工程量的95%。现申请3127.96万元预算资金，其中1681.4万元支付工程款，1220.6万元支付农民工工资，48万元支付项目监理费，121.23万元城市配套费,50万元支付项目设计费，6.73万元支付水土保持费。</w:t>
            </w:r>
          </w:p>
        </w:tc>
        <w:tc>
          <w:tcPr>
            <w:tcW w:w="350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已完成5栋公铁物流仓储区、配送转运分拨区、汽车整车进口服务区（企业配件库、展示交易中心）、保税物流中心（保税展示仓库、海关监管仓库、报关大厅等）建筑楼及配套设施的建设。超过100间业务车间。项目100%正常运转，受益人数高达1000余人。项目的建设将补齐霍尔果斯多式联运“连而不畅、邻而不通”等“最后一公里”短板，直达哈萨克斯坦，充分发挥霍尔果斯综合保税区、铁路口岸叠加优势，通过中欧班列构建新发展格局。</w:t>
            </w:r>
          </w:p>
        </w:tc>
      </w:tr>
      <w:tr>
        <w:tblPrEx>
          <w:tblLayout w:type="fixed"/>
          <w:tblCellMar>
            <w:top w:w="0" w:type="dxa"/>
            <w:left w:w="0" w:type="dxa"/>
            <w:bottom w:w="0" w:type="dxa"/>
            <w:right w:w="0" w:type="dxa"/>
          </w:tblCellMar>
        </w:tblPrEx>
        <w:trPr>
          <w:trHeight w:val="408" w:hRule="atLeast"/>
        </w:trPr>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一级指标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99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三级指标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产出指标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99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项目建筑面积</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&gt;=36000平方米</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36000平方米</w:t>
            </w: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99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建设楼栋数</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=5栋</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5栋</w:t>
            </w: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4"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99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项目验收合格率</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99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项目工程进度款支付及时率</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4"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成本指标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99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社会成本指标</w:t>
            </w:r>
          </w:p>
        </w:tc>
        <w:tc>
          <w:tcPr>
            <w:tcW w:w="199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生态环境成本指标</w:t>
            </w:r>
          </w:p>
        </w:tc>
        <w:tc>
          <w:tcPr>
            <w:tcW w:w="199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pStyle w:val="2"/>
      </w:pPr>
    </w:p>
    <w:p/>
    <w:p/>
    <w:p>
      <w:pPr>
        <w:pStyle w:val="2"/>
        <w:jc w:val="both"/>
      </w:pPr>
    </w:p>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rFonts w:hint="eastAsia"/>
          <w:b/>
          <w:bCs/>
          <w:sz w:val="28"/>
          <w:szCs w:val="40"/>
        </w:rPr>
      </w:pPr>
      <w:bookmarkStart w:id="20" w:name="_Toc26499_WPSOffice_Level2"/>
      <w:bookmarkStart w:id="21" w:name="_Toc30064_WPSOffice_Level1"/>
      <w:r>
        <w:rPr>
          <w:rFonts w:hint="eastAsia"/>
          <w:b/>
          <w:bCs/>
          <w:sz w:val="28"/>
          <w:szCs w:val="40"/>
        </w:rPr>
        <w:t>霍尔果斯经济开发区口岸园区国际多式联运集疏中心项目</w:t>
      </w:r>
    </w:p>
    <w:p>
      <w:pPr>
        <w:pStyle w:val="20"/>
        <w:ind w:firstLine="562"/>
        <w:jc w:val="center"/>
        <w:rPr>
          <w:sz w:val="28"/>
          <w:szCs w:val="40"/>
        </w:rPr>
      </w:pPr>
      <w:r>
        <w:rPr>
          <w:rFonts w:hint="eastAsia"/>
          <w:b/>
          <w:bCs/>
          <w:sz w:val="28"/>
          <w:szCs w:val="40"/>
        </w:rPr>
        <w:t>（一期）绩效评价指标体系及综合评分表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764"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5198"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r>
              <w:rPr>
                <w:color w:val="auto"/>
                <w:kern w:val="0"/>
                <w:sz w:val="22"/>
                <w:szCs w:val="22"/>
                <w:highlight w:val="none"/>
              </w:rPr>
              <w:t>过程</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2353"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2A27787"/>
    <w:rsid w:val="05253FFE"/>
    <w:rsid w:val="0F2A6BF7"/>
    <w:rsid w:val="105A23F4"/>
    <w:rsid w:val="109627EE"/>
    <w:rsid w:val="13956A31"/>
    <w:rsid w:val="17136327"/>
    <w:rsid w:val="181871E2"/>
    <w:rsid w:val="19166846"/>
    <w:rsid w:val="20E92B23"/>
    <w:rsid w:val="22AC2218"/>
    <w:rsid w:val="2729052F"/>
    <w:rsid w:val="28C14634"/>
    <w:rsid w:val="2DFC192B"/>
    <w:rsid w:val="2EC724D4"/>
    <w:rsid w:val="2EE30257"/>
    <w:rsid w:val="34DA27CE"/>
    <w:rsid w:val="36411DC5"/>
    <w:rsid w:val="36B72533"/>
    <w:rsid w:val="4057649F"/>
    <w:rsid w:val="450B6AE4"/>
    <w:rsid w:val="54873A1A"/>
    <w:rsid w:val="56796849"/>
    <w:rsid w:val="568F383B"/>
    <w:rsid w:val="5D555EEF"/>
    <w:rsid w:val="5DA95371"/>
    <w:rsid w:val="686F7714"/>
    <w:rsid w:val="6A862BA8"/>
    <w:rsid w:val="6BA4178B"/>
    <w:rsid w:val="6DFC1C65"/>
    <w:rsid w:val="75FA041F"/>
    <w:rsid w:val="760F49BD"/>
    <w:rsid w:val="76E870A0"/>
    <w:rsid w:val="7AE40DD7"/>
    <w:rsid w:val="7CA43F2E"/>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6</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2026-07-02T05:22:48Z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