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highlight w:val="none"/>
        </w:rPr>
      </w:pPr>
    </w:p>
    <w:p>
      <w:pPr>
        <w:jc w:val="center"/>
        <w:rPr>
          <w:rFonts w:ascii="宋体" w:hAnsi="宋体" w:eastAsia="宋体" w:cs="Arial"/>
          <w:b/>
          <w:bCs/>
          <w:color w:val="auto"/>
          <w:sz w:val="48"/>
          <w:szCs w:val="48"/>
          <w:highlight w:val="none"/>
        </w:rPr>
      </w:pPr>
    </w:p>
    <w:p>
      <w:pPr>
        <w:spacing w:line="540" w:lineRule="exact"/>
        <w:jc w:val="center"/>
        <w:rPr>
          <w:rFonts w:eastAsia="方正小标宋_GBK"/>
          <w:color w:val="auto"/>
          <w:kern w:val="0"/>
          <w:sz w:val="48"/>
          <w:szCs w:val="48"/>
          <w:highlight w:val="none"/>
        </w:rPr>
      </w:pPr>
      <w:r>
        <w:rPr>
          <w:rFonts w:hint="eastAsia" w:ascii="宋体" w:hAnsi="宋体" w:eastAsia="宋体" w:cs="Arial"/>
          <w:b/>
          <w:bCs/>
          <w:color w:val="auto"/>
          <w:sz w:val="48"/>
          <w:szCs w:val="48"/>
          <w:highlight w:val="none"/>
        </w:rPr>
        <w:t>2022年自治区创新环境（人才、基地）建设专项-科技创新基地建设项目</w:t>
      </w:r>
      <w:r>
        <w:rPr>
          <w:rFonts w:eastAsia="方正小标宋_GBK"/>
          <w:color w:val="auto"/>
          <w:kern w:val="0"/>
          <w:sz w:val="48"/>
          <w:szCs w:val="48"/>
          <w:highlight w:val="none"/>
        </w:rPr>
        <w:t>资金项目支出绩效评价报告</w:t>
      </w:r>
    </w:p>
    <w:p>
      <w:pPr>
        <w:jc w:val="center"/>
        <w:rPr>
          <w:rFonts w:ascii="宋体" w:hAnsi="宋体" w:eastAsia="宋体" w:cs="Arial"/>
          <w:b/>
          <w:bCs/>
          <w:color w:val="auto"/>
          <w:sz w:val="48"/>
          <w:szCs w:val="48"/>
          <w:highlight w:val="none"/>
        </w:rPr>
      </w:pPr>
    </w:p>
    <w:p>
      <w:pPr>
        <w:widowControl/>
        <w:spacing w:line="560" w:lineRule="exact"/>
        <w:jc w:val="center"/>
        <w:rPr>
          <w:rFonts w:ascii="仿宋_GB2312" w:hAnsi="仿宋_GB2312" w:cs="仿宋_GB2312"/>
          <w:b/>
          <w:color w:val="auto"/>
          <w:kern w:val="0"/>
          <w:sz w:val="50"/>
          <w:szCs w:val="50"/>
          <w:highlight w:val="none"/>
          <w:lang w:bidi="en-US"/>
        </w:rPr>
      </w:pPr>
      <w:r>
        <w:rPr>
          <w:rFonts w:hint="eastAsia" w:ascii="红豆小标宋简体" w:hAnsi="红豆小标宋简体" w:eastAsia="红豆小标宋简体" w:cs="红豆小标宋简体"/>
          <w:color w:val="auto"/>
          <w:kern w:val="0"/>
          <w:sz w:val="36"/>
          <w:szCs w:val="36"/>
          <w:highlight w:val="none"/>
        </w:rPr>
        <w:t>（2</w:t>
      </w:r>
      <w:r>
        <w:rPr>
          <w:rFonts w:ascii="红豆小标宋简体" w:hAnsi="红豆小标宋简体" w:eastAsia="红豆小标宋简体" w:cs="红豆小标宋简体"/>
          <w:color w:val="auto"/>
          <w:kern w:val="0"/>
          <w:sz w:val="36"/>
          <w:szCs w:val="36"/>
          <w:highlight w:val="none"/>
        </w:rPr>
        <w:t>02</w:t>
      </w:r>
      <w:r>
        <w:rPr>
          <w:rFonts w:hint="eastAsia" w:ascii="红豆小标宋简体" w:hAnsi="红豆小标宋简体" w:eastAsia="红豆小标宋简体" w:cs="红豆小标宋简体"/>
          <w:color w:val="auto"/>
          <w:kern w:val="0"/>
          <w:sz w:val="36"/>
          <w:szCs w:val="36"/>
          <w:highlight w:val="none"/>
          <w:lang w:val="en-US" w:eastAsia="zh-CN"/>
        </w:rPr>
        <w:t>3</w:t>
      </w:r>
      <w:r>
        <w:rPr>
          <w:rFonts w:hint="eastAsia" w:ascii="红豆小标宋简体" w:hAnsi="红豆小标宋简体" w:eastAsia="红豆小标宋简体" w:cs="红豆小标宋简体"/>
          <w:color w:val="auto"/>
          <w:kern w:val="0"/>
          <w:sz w:val="36"/>
          <w:szCs w:val="36"/>
          <w:highlight w:val="none"/>
        </w:rPr>
        <w:t>年度）</w:t>
      </w:r>
    </w:p>
    <w:p>
      <w:pPr>
        <w:spacing w:line="480" w:lineRule="auto"/>
        <w:jc w:val="center"/>
        <w:rPr>
          <w:rFonts w:ascii="仿宋_GB2312" w:hAnsi="仿宋_GB2312" w:cs="仿宋_GB2312"/>
          <w:b/>
          <w:color w:val="auto"/>
          <w:kern w:val="0"/>
          <w:sz w:val="50"/>
          <w:szCs w:val="50"/>
          <w:highlight w:val="none"/>
          <w:lang w:bidi="en-US"/>
        </w:rPr>
      </w:pPr>
    </w:p>
    <w:p>
      <w:pPr>
        <w:spacing w:line="480" w:lineRule="auto"/>
        <w:jc w:val="center"/>
        <w:rPr>
          <w:rFonts w:ascii="仿宋_GB2312" w:hAnsi="仿宋_GB2312" w:cs="仿宋_GB2312"/>
          <w:b/>
          <w:color w:val="auto"/>
          <w:kern w:val="0"/>
          <w:sz w:val="50"/>
          <w:szCs w:val="50"/>
          <w:highlight w:val="none"/>
          <w:lang w:bidi="en-US"/>
        </w:rPr>
      </w:pPr>
    </w:p>
    <w:p>
      <w:pPr>
        <w:spacing w:line="480" w:lineRule="auto"/>
        <w:jc w:val="center"/>
        <w:rPr>
          <w:rFonts w:ascii="仿宋_GB2312" w:hAnsi="仿宋_GB2312" w:cs="仿宋_GB2312"/>
          <w:b/>
          <w:color w:val="auto"/>
          <w:kern w:val="0"/>
          <w:sz w:val="50"/>
          <w:szCs w:val="50"/>
          <w:highlight w:val="none"/>
          <w:lang w:bidi="en-US"/>
        </w:rPr>
      </w:pPr>
    </w:p>
    <w:p>
      <w:pPr>
        <w:spacing w:line="480" w:lineRule="auto"/>
        <w:jc w:val="center"/>
        <w:rPr>
          <w:rFonts w:ascii="仿宋_GB2312" w:hAnsi="仿宋_GB2312" w:cs="仿宋_GB2312"/>
          <w:b/>
          <w:color w:val="auto"/>
          <w:kern w:val="0"/>
          <w:sz w:val="50"/>
          <w:szCs w:val="50"/>
          <w:highlight w:val="none"/>
          <w:lang w:bidi="en-US"/>
        </w:rPr>
      </w:pPr>
    </w:p>
    <w:p>
      <w:pPr>
        <w:spacing w:line="480" w:lineRule="auto"/>
        <w:jc w:val="center"/>
        <w:rPr>
          <w:rFonts w:ascii="仿宋_GB2312" w:hAnsi="仿宋_GB2312" w:cs="仿宋_GB2312"/>
          <w:b/>
          <w:color w:val="auto"/>
          <w:kern w:val="0"/>
          <w:sz w:val="50"/>
          <w:szCs w:val="50"/>
          <w:highlight w:val="none"/>
          <w:lang w:bidi="en-US"/>
        </w:rPr>
      </w:pPr>
    </w:p>
    <w:p>
      <w:pPr>
        <w:spacing w:line="560" w:lineRule="exact"/>
        <w:ind w:left="3209" w:leftChars="106" w:hanging="2891" w:hangingChars="900"/>
        <w:jc w:val="both"/>
        <w:rPr>
          <w:rFonts w:hint="eastAsia" w:ascii="宋体" w:hAnsi="宋体" w:eastAsia="宋体" w:cs="仿宋_GB2312"/>
          <w:b/>
          <w:bCs/>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项目名称：</w:t>
      </w:r>
      <w:r>
        <w:rPr>
          <w:rFonts w:hint="eastAsia" w:ascii="宋体" w:hAnsi="宋体" w:eastAsia="宋体" w:cs="宋体"/>
          <w:color w:val="auto"/>
          <w:kern w:val="0"/>
          <w:sz w:val="32"/>
          <w:szCs w:val="32"/>
          <w:highlight w:val="none"/>
        </w:rPr>
        <w:t>2022年自治区创新环境（人才、基地）建设专项-科技创新基地建设项目</w:t>
      </w:r>
      <w:r>
        <w:rPr>
          <w:rFonts w:hint="eastAsia" w:ascii="宋体" w:hAnsi="宋体" w:eastAsia="宋体" w:cs="仿宋_GB2312"/>
          <w:b/>
          <w:bCs/>
          <w:color w:val="auto"/>
          <w:kern w:val="0"/>
          <w:sz w:val="32"/>
          <w:szCs w:val="32"/>
          <w:highlight w:val="none"/>
          <w:lang w:eastAsia="zh-CN"/>
        </w:rPr>
        <w:t>　　　　　</w:t>
      </w:r>
    </w:p>
    <w:p>
      <w:pPr>
        <w:spacing w:line="560" w:lineRule="exact"/>
        <w:ind w:firstLine="1606" w:firstLineChars="500"/>
        <w:jc w:val="both"/>
        <w:rPr>
          <w:rFonts w:hint="default" w:ascii="宋体" w:hAnsi="宋体" w:eastAsia="宋体" w:cs="宋体"/>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rPr>
        <w:t>实施单位（公章）：</w:t>
      </w:r>
      <w:r>
        <w:rPr>
          <w:rFonts w:hint="eastAsia" w:ascii="宋体" w:hAnsi="宋体" w:eastAsia="宋体" w:cs="宋体"/>
          <w:color w:val="auto"/>
          <w:kern w:val="0"/>
          <w:sz w:val="32"/>
          <w:szCs w:val="32"/>
          <w:highlight w:val="none"/>
          <w:lang w:val="en-US" w:eastAsia="zh-CN"/>
        </w:rPr>
        <w:t>霍尔果斯市科学技术局</w:t>
      </w:r>
    </w:p>
    <w:p>
      <w:pPr>
        <w:spacing w:line="560" w:lineRule="exact"/>
        <w:ind w:firstLine="1606" w:firstLineChars="500"/>
        <w:jc w:val="both"/>
        <w:rPr>
          <w:rFonts w:ascii="宋体" w:hAnsi="宋体" w:eastAsia="宋体" w:cs="宋体"/>
          <w:b w:val="0"/>
          <w:bCs w:val="0"/>
          <w:color w:val="auto"/>
          <w:kern w:val="0"/>
          <w:sz w:val="32"/>
          <w:szCs w:val="32"/>
          <w:highlight w:val="none"/>
        </w:rPr>
      </w:pPr>
      <w:r>
        <w:rPr>
          <w:rFonts w:hint="eastAsia" w:ascii="宋体" w:hAnsi="宋体" w:eastAsia="宋体" w:cs="仿宋_GB2312"/>
          <w:b/>
          <w:bCs/>
          <w:color w:val="auto"/>
          <w:kern w:val="0"/>
          <w:sz w:val="32"/>
          <w:szCs w:val="32"/>
          <w:highlight w:val="none"/>
        </w:rPr>
        <w:t>主管部门（公章）：</w:t>
      </w:r>
      <w:r>
        <w:rPr>
          <w:rFonts w:hint="eastAsia" w:ascii="宋体" w:hAnsi="宋体" w:eastAsia="宋体" w:cs="仿宋_GB2312"/>
          <w:b w:val="0"/>
          <w:bCs w:val="0"/>
          <w:color w:val="auto"/>
          <w:kern w:val="0"/>
          <w:sz w:val="32"/>
          <w:szCs w:val="32"/>
          <w:highlight w:val="none"/>
          <w:lang w:val="en-US" w:eastAsia="zh-CN"/>
        </w:rPr>
        <w:t>霍尔果斯市科学技术局</w:t>
      </w:r>
    </w:p>
    <w:p>
      <w:pPr>
        <w:spacing w:line="560" w:lineRule="exact"/>
        <w:ind w:firstLine="321" w:firstLineChars="100"/>
        <w:jc w:val="both"/>
        <w:rPr>
          <w:rFonts w:hint="default" w:ascii="宋体" w:hAnsi="宋体" w:eastAsia="宋体" w:cs="宋体"/>
          <w:b w:val="0"/>
          <w:bCs w:val="0"/>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项目负责人（签章）：</w:t>
      </w:r>
      <w:r>
        <w:rPr>
          <w:rFonts w:hint="eastAsia" w:ascii="宋体" w:hAnsi="宋体" w:eastAsia="宋体" w:cs="仿宋_GB2312"/>
          <w:b w:val="0"/>
          <w:bCs w:val="0"/>
          <w:color w:val="auto"/>
          <w:kern w:val="0"/>
          <w:sz w:val="32"/>
          <w:szCs w:val="32"/>
          <w:highlight w:val="none"/>
          <w:lang w:val="en-US" w:eastAsia="zh-CN"/>
        </w:rPr>
        <w:t>李亚朋</w:t>
      </w:r>
    </w:p>
    <w:p>
      <w:pPr>
        <w:spacing w:line="560" w:lineRule="exact"/>
        <w:ind w:firstLine="321" w:firstLineChars="100"/>
        <w:jc w:val="both"/>
        <w:rPr>
          <w:rFonts w:ascii="宋体" w:hAnsi="宋体" w:eastAsia="宋体" w:cs="仿宋_GB2312"/>
          <w:color w:val="auto"/>
          <w:kern w:val="0"/>
          <w:sz w:val="32"/>
          <w:szCs w:val="32"/>
          <w:highlight w:val="none"/>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填报时间：</w:t>
      </w:r>
      <w:r>
        <w:rPr>
          <w:rFonts w:hint="eastAsia" w:ascii="宋体" w:hAnsi="宋体" w:eastAsia="宋体" w:cs="仿宋_GB2312"/>
          <w:color w:val="auto"/>
          <w:kern w:val="0"/>
          <w:sz w:val="32"/>
          <w:szCs w:val="32"/>
          <w:highlight w:val="none"/>
        </w:rPr>
        <w:t>202</w:t>
      </w:r>
      <w:r>
        <w:rPr>
          <w:rFonts w:hint="eastAsia" w:ascii="宋体" w:hAnsi="宋体" w:eastAsia="宋体" w:cs="仿宋_GB2312"/>
          <w:color w:val="auto"/>
          <w:kern w:val="0"/>
          <w:sz w:val="32"/>
          <w:szCs w:val="32"/>
          <w:highlight w:val="none"/>
          <w:lang w:val="en-US" w:eastAsia="zh-CN"/>
        </w:rPr>
        <w:t>4</w:t>
      </w:r>
      <w:r>
        <w:rPr>
          <w:rFonts w:hint="eastAsia" w:ascii="宋体" w:hAnsi="宋体" w:eastAsia="宋体" w:cs="仿宋_GB2312"/>
          <w:color w:val="auto"/>
          <w:kern w:val="0"/>
          <w:sz w:val="32"/>
          <w:szCs w:val="32"/>
          <w:highlight w:val="none"/>
        </w:rPr>
        <w:t>年</w:t>
      </w:r>
      <w:r>
        <w:rPr>
          <w:rFonts w:hint="eastAsia" w:ascii="宋体" w:hAnsi="宋体" w:eastAsia="宋体" w:cs="仿宋_GB2312"/>
          <w:color w:val="auto"/>
          <w:kern w:val="0"/>
          <w:sz w:val="32"/>
          <w:szCs w:val="32"/>
          <w:highlight w:val="none"/>
          <w:lang w:val="en-US" w:eastAsia="zh-CN"/>
        </w:rPr>
        <w:t>4</w:t>
      </w:r>
      <w:r>
        <w:rPr>
          <w:rFonts w:hint="eastAsia" w:ascii="宋体" w:hAnsi="宋体" w:eastAsia="宋体" w:cs="仿宋_GB2312"/>
          <w:color w:val="auto"/>
          <w:kern w:val="0"/>
          <w:sz w:val="32"/>
          <w:szCs w:val="32"/>
          <w:highlight w:val="none"/>
        </w:rPr>
        <w:t>月</w:t>
      </w:r>
      <w:r>
        <w:rPr>
          <w:rFonts w:hint="eastAsia" w:ascii="宋体" w:hAnsi="宋体" w:eastAsia="宋体" w:cs="仿宋_GB2312"/>
          <w:color w:val="auto"/>
          <w:kern w:val="0"/>
          <w:sz w:val="32"/>
          <w:szCs w:val="32"/>
          <w:highlight w:val="none"/>
          <w:lang w:val="en-US" w:eastAsia="zh-CN"/>
        </w:rPr>
        <w:t>17</w:t>
      </w:r>
      <w:r>
        <w:rPr>
          <w:rFonts w:hint="eastAsia" w:ascii="宋体" w:hAnsi="宋体" w:eastAsia="宋体" w:cs="仿宋_GB2312"/>
          <w:color w:val="auto"/>
          <w:kern w:val="0"/>
          <w:sz w:val="32"/>
          <w:szCs w:val="32"/>
          <w:highlight w:val="none"/>
        </w:rPr>
        <w:t>日</w:t>
      </w:r>
    </w:p>
    <w:p>
      <w:pPr>
        <w:widowControl/>
        <w:jc w:val="left"/>
        <w:rPr>
          <w:rFonts w:ascii="宋体" w:hAnsi="宋体" w:eastAsia="宋体" w:cs="Arial"/>
          <w:b/>
          <w:bCs/>
          <w:color w:val="auto"/>
          <w:sz w:val="36"/>
          <w:szCs w:val="36"/>
          <w:highlight w:val="none"/>
        </w:rPr>
      </w:pPr>
      <w:r>
        <w:rPr>
          <w:rFonts w:ascii="宋体" w:hAnsi="宋体" w:eastAsia="宋体" w:cs="Arial"/>
          <w:b/>
          <w:bCs/>
          <w:color w:val="auto"/>
          <w:sz w:val="36"/>
          <w:szCs w:val="36"/>
          <w:highlight w:val="none"/>
        </w:rPr>
        <w:br w:type="page"/>
      </w:r>
    </w:p>
    <w:p>
      <w:pPr>
        <w:numPr>
          <w:ilvl w:val="0"/>
          <w:numId w:val="1"/>
        </w:numPr>
        <w:spacing w:line="560" w:lineRule="exact"/>
        <w:rPr>
          <w:rFonts w:hint="eastAsia" w:ascii="Times New Roman" w:hAnsi="Times New Roman" w:eastAsia="黑体" w:cs="Times New Roman"/>
          <w:bCs/>
          <w:color w:val="auto"/>
          <w:sz w:val="32"/>
          <w:szCs w:val="32"/>
          <w:highlight w:val="none"/>
        </w:rPr>
      </w:pPr>
      <w:bookmarkStart w:id="0" w:name="_Toc68703827"/>
      <w:r>
        <w:rPr>
          <w:rFonts w:hint="eastAsia" w:ascii="Times New Roman" w:hAnsi="Times New Roman" w:eastAsia="黑体" w:cs="Times New Roman"/>
          <w:bCs/>
          <w:color w:val="auto"/>
          <w:sz w:val="32"/>
          <w:szCs w:val="32"/>
          <w:highlight w:val="none"/>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color w:val="auto"/>
          <w:sz w:val="32"/>
          <w:szCs w:val="32"/>
          <w:highlight w:val="none"/>
          <w:lang w:eastAsia="zh-CN"/>
        </w:rPr>
      </w:pPr>
      <w:r>
        <w:rPr>
          <w:rFonts w:hint="eastAsia" w:ascii="Times New Roman" w:hAnsi="Times New Roman" w:eastAsia="楷体_GB2312" w:cs="Times New Roman"/>
          <w:b/>
          <w:bCs/>
          <w:color w:val="auto"/>
          <w:sz w:val="32"/>
          <w:szCs w:val="32"/>
          <w:highlight w:val="none"/>
          <w:lang w:eastAsia="zh-CN"/>
        </w:rPr>
        <w:t>（一）</w:t>
      </w:r>
      <w:r>
        <w:rPr>
          <w:rFonts w:hint="eastAsia" w:ascii="Times New Roman" w:hAnsi="Times New Roman" w:eastAsia="楷体_GB2312" w:cs="Times New Roman"/>
          <w:b/>
          <w:bCs/>
          <w:color w:val="auto"/>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color w:val="auto"/>
          <w:highlight w:val="none"/>
          <w:lang w:eastAsia="zh-CN"/>
        </w:rPr>
      </w:pPr>
      <w:r>
        <w:rPr>
          <w:rFonts w:hint="eastAsia" w:ascii="Times New Roman" w:hAnsi="Times New Roman" w:cs="Times New Roman"/>
          <w:b w:val="0"/>
          <w:bCs w:val="0"/>
          <w:color w:val="auto"/>
          <w:sz w:val="32"/>
          <w:szCs w:val="32"/>
          <w:highlight w:val="none"/>
          <w:lang w:val="en-US" w:eastAsia="zh-CN"/>
        </w:rPr>
        <w:t>　</w:t>
      </w:r>
      <w:r>
        <w:rPr>
          <w:rFonts w:hint="eastAsia" w:ascii="Times New Roman" w:hAnsi="Times New Roman" w:eastAsia="仿宋_GB2312" w:cs="Times New Roman"/>
          <w:b w:val="0"/>
          <w:bCs w:val="0"/>
          <w:color w:val="auto"/>
          <w:sz w:val="32"/>
          <w:szCs w:val="32"/>
          <w:highlight w:val="none"/>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b w:val="0"/>
          <w:bCs w:val="0"/>
          <w:color w:val="auto"/>
          <w:sz w:val="32"/>
          <w:szCs w:val="32"/>
          <w:highlight w:val="none"/>
          <w:lang w:eastAsia="zh-CN"/>
        </w:rPr>
      </w:pPr>
      <w:r>
        <w:rPr>
          <w:rFonts w:hint="eastAsia" w:ascii="仿宋_GB2312"/>
          <w:color w:val="auto"/>
          <w:sz w:val="32"/>
          <w:szCs w:val="32"/>
          <w:highlight w:val="none"/>
        </w:rPr>
        <w:t>落实伊犁州科技局《2023年度自治州重点研究与技术开发专项申报指南》要求，企业所在县市财政需按照州本级财政经费10%的比例给予配套资金支持。车马赫、跨境数字创新园2家企业获批重点项目支持，累计自治州财政拨款150万元，需霍尔果斯配套支持15万元。其中：霍尔果斯国盛车马赫汽车科技有限公司“铝合金消失模铸造凝固过程数值模拟与工艺研究项目”，自治州财政拨款100万元，霍尔果斯配套10万元；霍尔果斯跨境数字创新园运营管理有限公司“中亚跨境数字综合服务平台建设项目”，自治州财政拨款50万元，霍尔果斯配套5万元；根据《霍尔果斯经济开发区（市）营利性服务业高质量发展实施方案（试行）的通知和进一步打造服务产业园的请示，打造并宣传火炬创火炬创业园，吸引科技型企业入驻，孵化高新技术企业。根据2022年自治州创新环境（人才、基地）建设专项—科技创新基地建设的预算方案，开展创新能力培训调研活动，对发达地省市产业园区进行考察，学习借鉴先进地区学习先进单位好的经验和做法，赴“一区三园”开展创新能力专题能力调研活动。</w:t>
      </w:r>
      <w:r>
        <w:rPr>
          <w:rFonts w:hint="eastAsia" w:ascii="Times New Roman" w:hAnsi="Times New Roman" w:cs="Times New Roman"/>
          <w:b w:val="0"/>
          <w:bCs w:val="0"/>
          <w:color w:val="auto"/>
          <w:sz w:val="32"/>
          <w:szCs w:val="32"/>
          <w:highlight w:val="none"/>
          <w:lang w:eastAsia="zh-CN"/>
        </w:rPr>
        <w:t>　</w:t>
      </w:r>
    </w:p>
    <w:p>
      <w:pPr>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eastAsia="仿宋_GB2312" w:cs="Times New Roman"/>
          <w:b w:val="0"/>
          <w:bCs w:val="0"/>
          <w:color w:val="auto"/>
          <w:sz w:val="32"/>
          <w:szCs w:val="32"/>
          <w:highlight w:val="none"/>
          <w:lang w:eastAsia="zh-CN"/>
        </w:rPr>
        <w:t>2</w:t>
      </w:r>
      <w:r>
        <w:rPr>
          <w:rFonts w:hint="eastAsia"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rPr>
        <w:t>主要内容：自治州重点研究与技术开发专项目，霍尔果斯市按照州本级财政经费10%的比例给予配套资金支持。给车马赫、跨境数字创新园2家企业给与15万的配套资金奖励。为了营利性服务业高质量发展，打造火炬创业园。开展创新能力培训调研活动，对发达地省市产业园区进行考察，学习借鉴先进地区学习先进单位好的经验和做法，赴“一区三园”开展创新能力专题能力调研活动。</w:t>
      </w:r>
    </w:p>
    <w:p>
      <w:pPr>
        <w:spacing w:line="560" w:lineRule="exact"/>
        <w:ind w:firstLine="640" w:firstLineChars="200"/>
        <w:rPr>
          <w:rFonts w:hint="eastAsia" w:eastAsia="仿宋_GB2312"/>
          <w:color w:val="auto"/>
          <w:sz w:val="32"/>
          <w:szCs w:val="32"/>
          <w:highlight w:val="none"/>
          <w:lang w:val="en-US" w:eastAsia="zh-CN"/>
        </w:rPr>
      </w:pPr>
      <w:r>
        <w:rPr>
          <w:rFonts w:hint="eastAsia" w:ascii="仿宋_GB2312"/>
          <w:color w:val="auto"/>
          <w:sz w:val="32"/>
          <w:szCs w:val="32"/>
          <w:highlight w:val="none"/>
        </w:rPr>
        <w:t>实施情况：</w:t>
      </w:r>
      <w:r>
        <w:rPr>
          <w:rFonts w:eastAsia="仿宋_GB2312"/>
          <w:color w:val="auto"/>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eastAsia="仿宋_GB2312"/>
          <w:color w:val="auto"/>
          <w:sz w:val="32"/>
          <w:szCs w:val="32"/>
          <w:highlight w:val="none"/>
          <w:lang w:val="en-US" w:eastAsia="zh-CN"/>
        </w:rPr>
        <w:t>霍尔果斯市按照州本级财政经费10%的比例给予配套资金支持。给车马赫、跨境数字创新园2家企业给与15万的配套资金奖励。为了营利性服务业高质量发展，打造火炬创业园。开展创新能力培训5次调研活动，对发达地省市产业园区进行考察，学习借鉴先进地区学习先进单位好的经验和做法，赴“一区三园”开展创新能力专题能力调研活动4次。</w:t>
      </w:r>
    </w:p>
    <w:p>
      <w:pPr>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Times New Roman" w:hAnsi="Times New Roman" w:cs="Times New Roman"/>
          <w:b w:val="0"/>
          <w:bCs w:val="0"/>
          <w:color w:val="auto"/>
          <w:sz w:val="32"/>
          <w:szCs w:val="32"/>
          <w:highlight w:val="none"/>
          <w:lang w:eastAsia="zh-CN"/>
        </w:rPr>
      </w:pPr>
      <w:r>
        <w:rPr>
          <w:rFonts w:hint="eastAsia" w:ascii="Times New Roman" w:hAnsi="Times New Roman" w:cs="Times New Roman"/>
          <w:b w:val="0"/>
          <w:bCs w:val="0"/>
          <w:color w:val="auto"/>
          <w:sz w:val="32"/>
          <w:szCs w:val="32"/>
          <w:highlight w:val="none"/>
          <w:lang w:eastAsia="zh-CN"/>
        </w:rPr>
        <w:t>　3</w:t>
      </w:r>
      <w:r>
        <w:rPr>
          <w:rFonts w:hint="eastAsia" w:ascii="Times New Roman" w:hAnsi="Times New Roman" w:cs="Times New Roman"/>
          <w:b w:val="0"/>
          <w:bCs w:val="0"/>
          <w:color w:val="auto"/>
          <w:sz w:val="32"/>
          <w:szCs w:val="32"/>
          <w:highlight w:val="none"/>
          <w:lang w:val="en-US" w:eastAsia="zh-CN"/>
        </w:rPr>
        <w:t>.</w:t>
      </w:r>
      <w:r>
        <w:rPr>
          <w:rFonts w:hint="eastAsia" w:ascii="Times New Roman" w:hAnsi="Times New Roman" w:cs="Times New Roman"/>
          <w:b w:val="0"/>
          <w:bCs w:val="0"/>
          <w:color w:val="auto"/>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资金投入情况：该项目年初预算数</w:t>
      </w:r>
      <w:r>
        <w:rPr>
          <w:rFonts w:hint="eastAsia"/>
          <w:color w:val="auto"/>
          <w:sz w:val="32"/>
          <w:szCs w:val="32"/>
          <w:highlight w:val="none"/>
          <w:lang w:val="en-US" w:eastAsia="zh-CN"/>
        </w:rPr>
        <w:t>30</w:t>
      </w:r>
      <w:r>
        <w:rPr>
          <w:rFonts w:hint="eastAsia"/>
          <w:color w:val="auto"/>
          <w:sz w:val="32"/>
          <w:szCs w:val="32"/>
          <w:highlight w:val="none"/>
        </w:rPr>
        <w:t>万元，全年预算数</w:t>
      </w:r>
      <w:r>
        <w:rPr>
          <w:rFonts w:hint="eastAsia"/>
          <w:color w:val="auto"/>
          <w:sz w:val="32"/>
          <w:szCs w:val="32"/>
          <w:highlight w:val="none"/>
          <w:lang w:val="en-US" w:eastAsia="zh-CN"/>
        </w:rPr>
        <w:t>30</w:t>
      </w:r>
      <w:r>
        <w:rPr>
          <w:rFonts w:hint="eastAsia"/>
          <w:color w:val="auto"/>
          <w:sz w:val="32"/>
          <w:szCs w:val="32"/>
          <w:highlight w:val="none"/>
        </w:rPr>
        <w:t>万元，实际总投入</w:t>
      </w:r>
      <w:r>
        <w:rPr>
          <w:rFonts w:hint="eastAsia"/>
          <w:color w:val="auto"/>
          <w:sz w:val="32"/>
          <w:szCs w:val="32"/>
          <w:highlight w:val="none"/>
          <w:lang w:val="en-US" w:eastAsia="zh-CN"/>
        </w:rPr>
        <w:t>25.4</w:t>
      </w:r>
      <w:r>
        <w:rPr>
          <w:rFonts w:hint="eastAsia"/>
          <w:color w:val="auto"/>
          <w:sz w:val="32"/>
          <w:szCs w:val="32"/>
          <w:highlight w:val="none"/>
        </w:rPr>
        <w:t>万元，该项目资金落实到位</w:t>
      </w:r>
      <w:r>
        <w:rPr>
          <w:rFonts w:hint="eastAsia"/>
          <w:color w:val="auto"/>
          <w:sz w:val="32"/>
          <w:szCs w:val="32"/>
          <w:highlight w:val="none"/>
          <w:lang w:val="en-US" w:eastAsia="zh-CN"/>
        </w:rPr>
        <w:t>25.4</w:t>
      </w:r>
      <w:r>
        <w:rPr>
          <w:rFonts w:hint="eastAsia"/>
          <w:color w:val="auto"/>
          <w:sz w:val="32"/>
          <w:szCs w:val="32"/>
          <w:highlight w:val="none"/>
        </w:rPr>
        <w:t>万元，资金来源为</w:t>
      </w:r>
      <w:r>
        <w:rPr>
          <w:rFonts w:hint="eastAsia"/>
          <w:color w:val="auto"/>
          <w:sz w:val="32"/>
          <w:szCs w:val="32"/>
          <w:highlight w:val="none"/>
          <w:lang w:val="en-US" w:eastAsia="zh-CN"/>
        </w:rPr>
        <w:t>财政拨款</w:t>
      </w:r>
      <w:r>
        <w:rPr>
          <w:rFonts w:hint="eastAsia"/>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资金使用情况：该项目年初预算数</w:t>
      </w:r>
      <w:r>
        <w:rPr>
          <w:rFonts w:hint="eastAsia"/>
          <w:color w:val="auto"/>
          <w:sz w:val="32"/>
          <w:szCs w:val="32"/>
          <w:highlight w:val="none"/>
          <w:lang w:val="en-US" w:eastAsia="zh-CN"/>
        </w:rPr>
        <w:t>30</w:t>
      </w:r>
      <w:r>
        <w:rPr>
          <w:rFonts w:hint="eastAsia"/>
          <w:color w:val="auto"/>
          <w:sz w:val="32"/>
          <w:szCs w:val="32"/>
          <w:highlight w:val="none"/>
        </w:rPr>
        <w:t>万元，全年预算数</w:t>
      </w:r>
      <w:r>
        <w:rPr>
          <w:rFonts w:hint="eastAsia"/>
          <w:color w:val="auto"/>
          <w:sz w:val="32"/>
          <w:szCs w:val="32"/>
          <w:highlight w:val="none"/>
          <w:lang w:val="en-US" w:eastAsia="zh-CN"/>
        </w:rPr>
        <w:t>30</w:t>
      </w:r>
      <w:r>
        <w:rPr>
          <w:rFonts w:hint="eastAsia"/>
          <w:color w:val="auto"/>
          <w:sz w:val="32"/>
          <w:szCs w:val="32"/>
          <w:highlight w:val="none"/>
        </w:rPr>
        <w:t>万元，全年执行数</w:t>
      </w:r>
      <w:r>
        <w:rPr>
          <w:rFonts w:hint="eastAsia"/>
          <w:color w:val="auto"/>
          <w:sz w:val="32"/>
          <w:szCs w:val="32"/>
          <w:highlight w:val="none"/>
          <w:lang w:val="en-US" w:eastAsia="zh-CN"/>
        </w:rPr>
        <w:t>25.4</w:t>
      </w:r>
      <w:r>
        <w:rPr>
          <w:rFonts w:hint="eastAsia"/>
          <w:color w:val="auto"/>
          <w:sz w:val="32"/>
          <w:szCs w:val="32"/>
          <w:highlight w:val="none"/>
        </w:rPr>
        <w:t>万元，预算执行率为</w:t>
      </w:r>
      <w:r>
        <w:rPr>
          <w:rFonts w:hint="eastAsia"/>
          <w:color w:val="auto"/>
          <w:sz w:val="32"/>
          <w:szCs w:val="32"/>
          <w:highlight w:val="none"/>
          <w:lang w:val="en-US" w:eastAsia="zh-CN"/>
        </w:rPr>
        <w:t>84.67</w:t>
      </w:r>
      <w:r>
        <w:rPr>
          <w:rFonts w:hint="eastAsia"/>
          <w:color w:val="auto"/>
          <w:sz w:val="32"/>
          <w:szCs w:val="32"/>
          <w:highlight w:val="none"/>
        </w:rPr>
        <w:t>%，</w:t>
      </w:r>
      <w:r>
        <w:rPr>
          <w:rFonts w:hint="eastAsia"/>
          <w:color w:val="auto"/>
          <w:sz w:val="32"/>
          <w:szCs w:val="32"/>
          <w:highlight w:val="none"/>
          <w:lang w:eastAsia="zh-CN"/>
        </w:rPr>
        <w:t>主要</w:t>
      </w:r>
      <w:r>
        <w:rPr>
          <w:rFonts w:hint="eastAsia"/>
          <w:color w:val="auto"/>
          <w:sz w:val="32"/>
          <w:szCs w:val="32"/>
          <w:highlight w:val="none"/>
        </w:rPr>
        <w:t>用于：</w:t>
      </w:r>
      <w:bookmarkStart w:id="2" w:name="_Toc68703829"/>
      <w:r>
        <w:rPr>
          <w:rFonts w:hint="eastAsia"/>
          <w:color w:val="auto"/>
          <w:sz w:val="32"/>
          <w:szCs w:val="32"/>
          <w:highlight w:val="none"/>
        </w:rPr>
        <w:t>奖补自治州重点研究与技术专项项目资金企业金额</w:t>
      </w:r>
      <w:r>
        <w:rPr>
          <w:rFonts w:hint="eastAsia"/>
          <w:color w:val="auto"/>
          <w:sz w:val="32"/>
          <w:szCs w:val="32"/>
          <w:highlight w:val="none"/>
        </w:rPr>
        <w:tab/>
      </w:r>
      <w:r>
        <w:rPr>
          <w:rFonts w:hint="eastAsia"/>
          <w:color w:val="auto"/>
          <w:sz w:val="32"/>
          <w:szCs w:val="32"/>
          <w:highlight w:val="none"/>
          <w:lang w:val="en-US" w:eastAsia="zh-CN"/>
        </w:rPr>
        <w:t>15万元、</w:t>
      </w:r>
      <w:bookmarkEnd w:id="2"/>
      <w:r>
        <w:rPr>
          <w:rFonts w:hint="eastAsia"/>
          <w:color w:val="auto"/>
          <w:sz w:val="32"/>
          <w:szCs w:val="32"/>
          <w:highlight w:val="none"/>
          <w:lang w:eastAsia="zh-CN"/>
        </w:rPr>
        <w:t>打造火炬创新创业产业园投入、赴一区三园调研、赴发达地区开展创新能力调研、开展培训所需资金10.4万元。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sz w:val="32"/>
          <w:szCs w:val="32"/>
          <w:highlight w:val="none"/>
          <w:lang w:eastAsia="zh-CN"/>
        </w:rPr>
      </w:pPr>
      <w:r>
        <w:rPr>
          <w:rFonts w:hint="eastAsia"/>
          <w:color w:val="auto"/>
          <w:sz w:val="32"/>
          <w:szCs w:val="32"/>
          <w:highlight w:val="none"/>
          <w:lang w:eastAsia="zh-CN"/>
        </w:rPr>
        <w:t>　</w:t>
      </w:r>
      <w:r>
        <w:rPr>
          <w:rFonts w:hint="eastAsia"/>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val="en-US" w:eastAsia="zh-CN"/>
        </w:rPr>
        <w:t>1.总体目标：</w:t>
      </w:r>
      <w:r>
        <w:rPr>
          <w:rFonts w:hint="eastAsia"/>
          <w:color w:val="auto"/>
          <w:sz w:val="32"/>
          <w:szCs w:val="32"/>
          <w:highlight w:val="none"/>
          <w:lang w:eastAsia="zh-CN"/>
        </w:rPr>
        <w:t>落实自治州重点研究与技术开发专项目，霍尔果斯市按照州本级财政经费10%的比例给予配套资金支持。给车马赫、跨境数字创新园2家企业给与15万的配套资金奖励。为了营利性服务业高质量发展，打造火炬创业园。开展创新能力培训调研活动，对发达地省市产业园区进行考察，学习借鉴先进地区学习先进单位好的经验和做法，赴“一区三园”开展创新能力专题能力调研活动。</w:t>
      </w:r>
    </w:p>
    <w:p>
      <w:pPr>
        <w:spacing w:line="560" w:lineRule="exact"/>
        <w:rPr>
          <w:rFonts w:hint="eastAsia"/>
          <w:color w:val="auto"/>
          <w:sz w:val="32"/>
          <w:szCs w:val="32"/>
          <w:highlight w:val="none"/>
          <w:lang w:eastAsia="zh-CN"/>
        </w:rPr>
      </w:pPr>
      <w:r>
        <w:rPr>
          <w:rFonts w:hint="eastAsia"/>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val="en-US" w:eastAsia="zh-CN"/>
        </w:rPr>
        <w:t>2.阶段性目标：</w:t>
      </w:r>
      <w:bookmarkStart w:id="3" w:name="_Toc68703830"/>
      <w:r>
        <w:rPr>
          <w:rFonts w:hint="eastAsia" w:cs="Times New Roman"/>
          <w:b w:val="0"/>
          <w:bCs w:val="0"/>
          <w:color w:val="auto"/>
          <w:sz w:val="32"/>
          <w:szCs w:val="32"/>
          <w:highlight w:val="none"/>
          <w:lang w:val="en-US" w:eastAsia="zh-CN"/>
        </w:rPr>
        <w:t>上半年赴内地开展2-3次</w:t>
      </w:r>
      <w:r>
        <w:rPr>
          <w:rFonts w:hint="eastAsia"/>
          <w:color w:val="auto"/>
          <w:sz w:val="32"/>
          <w:szCs w:val="32"/>
          <w:highlight w:val="none"/>
          <w:lang w:eastAsia="zh-CN"/>
        </w:rPr>
        <w:t>创新能力培训调研活动，对发达地省市产业园区进行考察，学习借鉴先进地区学习先进单位好的经验和做法。为了营利性服务业高质量发展，打造火炬创业园。</w:t>
      </w:r>
      <w:r>
        <w:rPr>
          <w:rFonts w:hint="eastAsia"/>
          <w:color w:val="auto"/>
          <w:sz w:val="32"/>
          <w:szCs w:val="32"/>
          <w:highlight w:val="none"/>
          <w:lang w:val="en-US" w:eastAsia="zh-CN"/>
        </w:rPr>
        <w:t>下半年</w:t>
      </w:r>
      <w:r>
        <w:rPr>
          <w:rFonts w:hint="eastAsia"/>
          <w:color w:val="auto"/>
          <w:sz w:val="32"/>
          <w:szCs w:val="32"/>
          <w:highlight w:val="none"/>
          <w:lang w:eastAsia="zh-CN"/>
        </w:rPr>
        <w:t>赴“一区三园”开展创新能力调研活动</w:t>
      </w:r>
      <w:r>
        <w:rPr>
          <w:rFonts w:hint="eastAsia"/>
          <w:color w:val="auto"/>
          <w:sz w:val="32"/>
          <w:szCs w:val="32"/>
          <w:highlight w:val="none"/>
          <w:lang w:val="en-US" w:eastAsia="zh-CN"/>
        </w:rPr>
        <w:t>4-5次，按照州上公示资金发放情况，</w:t>
      </w:r>
      <w:r>
        <w:rPr>
          <w:rFonts w:hint="eastAsia"/>
          <w:color w:val="auto"/>
          <w:sz w:val="32"/>
          <w:szCs w:val="32"/>
          <w:highlight w:val="none"/>
          <w:lang w:eastAsia="zh-CN"/>
        </w:rPr>
        <w:t>按照州本级财政经费10%的比例给予</w:t>
      </w:r>
      <w:r>
        <w:rPr>
          <w:rFonts w:hint="eastAsia"/>
          <w:color w:val="auto"/>
          <w:sz w:val="32"/>
          <w:szCs w:val="32"/>
          <w:highlight w:val="none"/>
          <w:lang w:val="en-US" w:eastAsia="zh-CN"/>
        </w:rPr>
        <w:t>符合要求的</w:t>
      </w:r>
      <w:r>
        <w:rPr>
          <w:rFonts w:hint="eastAsia"/>
          <w:color w:val="auto"/>
          <w:sz w:val="32"/>
          <w:szCs w:val="32"/>
          <w:highlight w:val="none"/>
          <w:lang w:eastAsia="zh-CN"/>
        </w:rPr>
        <w:t>配套资金支持。</w:t>
      </w:r>
    </w:p>
    <w:p>
      <w:pPr>
        <w:spacing w:line="560" w:lineRule="exact"/>
        <w:rPr>
          <w:rFonts w:hint="eastAsia" w:ascii="Times New Roman" w:hAnsi="Times New Roman" w:eastAsia="黑体" w:cs="Times New Roman"/>
          <w:bCs/>
          <w:color w:val="auto"/>
          <w:sz w:val="32"/>
          <w:szCs w:val="32"/>
          <w:highlight w:val="none"/>
          <w:lang w:val="en-US" w:eastAsia="zh-CN"/>
        </w:rPr>
      </w:pPr>
      <w:r>
        <w:rPr>
          <w:rFonts w:hint="eastAsia" w:ascii="Times New Roman" w:hAnsi="Times New Roman" w:eastAsia="黑体" w:cs="Times New Roman"/>
          <w:bCs/>
          <w:color w:val="auto"/>
          <w:sz w:val="32"/>
          <w:szCs w:val="32"/>
          <w:highlight w:val="none"/>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color w:val="auto"/>
          <w:sz w:val="32"/>
          <w:szCs w:val="32"/>
          <w:highlight w:val="none"/>
          <w:lang w:eastAsia="zh-CN"/>
        </w:rPr>
      </w:pPr>
      <w:bookmarkStart w:id="4" w:name="_Toc68703831"/>
      <w:r>
        <w:rPr>
          <w:rFonts w:hint="eastAsia" w:ascii="Times New Roman" w:hAnsi="Times New Roman" w:eastAsia="楷体_GB2312" w:cs="Times New Roman"/>
          <w:b/>
          <w:bCs/>
          <w:color w:val="auto"/>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1.绩效评价目的</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20"/>
        <w:spacing w:line="560" w:lineRule="exact"/>
        <w:ind w:firstLine="640" w:firstLineChars="200"/>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cs="Times New Roman"/>
          <w:b/>
          <w:bCs/>
          <w:color w:val="auto"/>
          <w:sz w:val="30"/>
          <w:szCs w:val="30"/>
          <w:highlight w:val="none"/>
          <w:lang w:val="en-US" w:eastAsia="zh-CN"/>
        </w:rPr>
        <w:t>　</w:t>
      </w:r>
      <w:r>
        <w:rPr>
          <w:rFonts w:hint="eastAsia" w:ascii="Times New Roman" w:hAnsi="Times New Roman" w:eastAsia="仿宋_GB2312" w:cs="Times New Roman"/>
          <w:b w:val="0"/>
          <w:bCs w:val="0"/>
          <w:color w:val="auto"/>
          <w:sz w:val="32"/>
          <w:szCs w:val="32"/>
          <w:highlight w:val="none"/>
          <w:lang w:val="en-US" w:eastAsia="zh-CN"/>
        </w:rPr>
        <w:t>2.绩效评价对象：</w:t>
      </w:r>
    </w:p>
    <w:p>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2022年自治区创新环境（人才、基地）建设专项-科技创新基地建设项目所包含的全部项目内容。</w:t>
      </w:r>
    </w:p>
    <w:p>
      <w:pPr>
        <w:spacing w:line="560" w:lineRule="exact"/>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2022年自治区创新环境（人才、基地）建设专项-科技创新基地建设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5" w:name="_Toc68703832"/>
      <w:r>
        <w:rPr>
          <w:rFonts w:hint="eastAsia" w:ascii="Times New Roman" w:hAnsi="Times New Roman" w:eastAsia="楷体_GB2312" w:cs="Times New Roman"/>
          <w:b/>
          <w:bCs/>
          <w:color w:val="auto"/>
          <w:kern w:val="2"/>
          <w:sz w:val="32"/>
          <w:szCs w:val="32"/>
          <w:highlight w:val="none"/>
          <w:lang w:val="en-US" w:eastAsia="zh-CN" w:bidi="ar-SA"/>
        </w:rPr>
        <w:t>（二）绩效评价原则、评价指标体系</w:t>
      </w:r>
      <w:r>
        <w:rPr>
          <w:rFonts w:eastAsia="楷体_GB2312"/>
          <w:b/>
          <w:bCs/>
          <w:color w:val="auto"/>
          <w:sz w:val="32"/>
          <w:szCs w:val="32"/>
          <w:highlight w:val="none"/>
        </w:rPr>
        <w:t>（详情见表1）</w:t>
      </w:r>
      <w:r>
        <w:rPr>
          <w:rFonts w:hint="eastAsia" w:ascii="Times New Roman" w:hAnsi="Times New Roman" w:eastAsia="楷体_GB2312" w:cs="Times New Roman"/>
          <w:b/>
          <w:bCs/>
          <w:color w:val="auto"/>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绩效评价原则</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spacing w:line="360" w:lineRule="auto"/>
        <w:ind w:firstLine="600" w:firstLineChars="200"/>
        <w:jc w:val="left"/>
        <w:rPr>
          <w:rFonts w:hint="eastAsia"/>
          <w:color w:val="auto"/>
          <w:sz w:val="32"/>
          <w:szCs w:val="32"/>
          <w:highlight w:val="none"/>
        </w:rPr>
      </w:pPr>
      <w:r>
        <w:rPr>
          <w:rFonts w:hint="eastAsia"/>
          <w:color w:val="auto"/>
          <w:highlight w:val="none"/>
        </w:rPr>
        <w:t>2、</w:t>
      </w:r>
      <w:r>
        <w:rPr>
          <w:rFonts w:hint="eastAsia"/>
          <w:color w:val="auto"/>
          <w:sz w:val="32"/>
          <w:szCs w:val="32"/>
          <w:highlight w:val="none"/>
        </w:rPr>
        <w:t>评价指标体系</w:t>
      </w:r>
    </w:p>
    <w:p>
      <w:pPr>
        <w:spacing w:line="560" w:lineRule="exact"/>
        <w:ind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color w:val="auto"/>
          <w:highlight w:val="none"/>
        </w:rPr>
      </w:pPr>
      <w:r>
        <w:rPr>
          <w:rFonts w:ascii="Times New Roman" w:hAnsi="Times New Roman" w:eastAsia="仿宋_GB2312"/>
          <w:b w:val="0"/>
          <w:bCs w:val="0"/>
          <w:color w:val="auto"/>
          <w:spacing w:val="17"/>
          <w:highlight w:val="none"/>
        </w:rPr>
        <w:t>具体评价指标体系详情见附件1</w:t>
      </w:r>
    </w:p>
    <w:p>
      <w:pPr>
        <w:pStyle w:val="6"/>
        <w:ind w:firstLine="640" w:firstLineChars="200"/>
        <w:rPr>
          <w:rFonts w:hint="eastAsia"/>
          <w:color w:val="auto"/>
          <w:sz w:val="32"/>
          <w:szCs w:val="32"/>
          <w:highlight w:val="none"/>
        </w:rPr>
      </w:pPr>
      <w:r>
        <w:rPr>
          <w:rFonts w:hint="eastAsia"/>
          <w:color w:val="auto"/>
          <w:sz w:val="32"/>
          <w:szCs w:val="32"/>
          <w:highlight w:val="none"/>
        </w:rPr>
        <w:t>3、评价方法</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auto"/>
          <w:sz w:val="32"/>
          <w:szCs w:val="32"/>
          <w:highlight w:val="none"/>
          <w:lang w:eastAsia="zh-CN"/>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因素分析法</w:t>
      </w:r>
    </w:p>
    <w:p>
      <w:pPr>
        <w:spacing w:line="560" w:lineRule="exact"/>
        <w:ind w:firstLine="708" w:firstLineChars="200"/>
        <w:rPr>
          <w:rFonts w:hint="eastAsia" w:eastAsia="仿宋_GB2312"/>
          <w:bCs/>
          <w:color w:val="auto"/>
          <w:sz w:val="32"/>
          <w:szCs w:val="32"/>
          <w:highlight w:val="none"/>
          <w:lang w:eastAsia="zh-CN"/>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highlight w:val="none"/>
        </w:rPr>
      </w:pPr>
      <w:r>
        <w:rPr>
          <w:rFonts w:hint="eastAsia"/>
          <w:color w:val="auto"/>
          <w:highlight w:val="none"/>
          <w:lang w:eastAsia="zh-CN"/>
        </w:rPr>
        <w:t>　　</w:t>
      </w:r>
      <w:r>
        <w:rPr>
          <w:rFonts w:hint="eastAsia"/>
          <w:color w:val="auto"/>
          <w:sz w:val="32"/>
          <w:szCs w:val="32"/>
          <w:highlight w:val="none"/>
        </w:rPr>
        <w:t>4</w:t>
      </w:r>
      <w:r>
        <w:rPr>
          <w:rFonts w:hint="eastAsia"/>
          <w:color w:val="auto"/>
          <w:sz w:val="32"/>
          <w:szCs w:val="32"/>
          <w:highlight w:val="none"/>
          <w:lang w:val="en-US" w:eastAsia="zh-CN"/>
        </w:rPr>
        <w:t>.</w:t>
      </w:r>
      <w:r>
        <w:rPr>
          <w:rFonts w:hint="eastAsia"/>
          <w:color w:val="auto"/>
          <w:sz w:val="32"/>
          <w:szCs w:val="32"/>
          <w:highlight w:val="none"/>
        </w:rPr>
        <w:t>评价标准</w:t>
      </w:r>
    </w:p>
    <w:p>
      <w:pPr>
        <w:spacing w:line="560" w:lineRule="exact"/>
        <w:ind w:firstLine="640"/>
        <w:rPr>
          <w:rFonts w:hint="eastAsia"/>
          <w:bCs/>
          <w:color w:val="auto"/>
          <w:sz w:val="32"/>
          <w:szCs w:val="32"/>
          <w:highlight w:val="none"/>
        </w:rPr>
      </w:pPr>
      <w:r>
        <w:rPr>
          <w:rFonts w:hint="eastAsia"/>
          <w:bCs/>
          <w:color w:val="auto"/>
          <w:sz w:val="32"/>
          <w:szCs w:val="32"/>
          <w:highlight w:val="none"/>
        </w:rPr>
        <w:t>绩效评价标准通常包括计划标准、行业标准、历史标准等，用于对绩效指标完成情况进行比较、分析、评价。本次评价主要采用了</w:t>
      </w:r>
      <w:r>
        <w:rPr>
          <w:rFonts w:hint="eastAsia"/>
          <w:bCs/>
          <w:color w:val="auto"/>
          <w:sz w:val="32"/>
          <w:szCs w:val="32"/>
          <w:highlight w:val="none"/>
          <w:lang w:val="en-US" w:eastAsia="zh-CN"/>
        </w:rPr>
        <w:t>计划</w:t>
      </w:r>
      <w:r>
        <w:rPr>
          <w:rFonts w:hint="eastAsia"/>
          <w:bCs/>
          <w:color w:val="auto"/>
          <w:sz w:val="32"/>
          <w:szCs w:val="32"/>
          <w:highlight w:val="none"/>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rPr>
      </w:pPr>
      <w:bookmarkStart w:id="22" w:name="_GoBack"/>
      <w:bookmarkEnd w:id="22"/>
      <w:r>
        <w:rPr>
          <w:rFonts w:hint="eastAsia"/>
          <w:bCs/>
          <w:color w:val="auto"/>
          <w:sz w:val="32"/>
          <w:szCs w:val="32"/>
          <w:highlight w:val="none"/>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6" w:name="_Toc68703833"/>
      <w:r>
        <w:rPr>
          <w:rFonts w:hint="eastAsia" w:ascii="Times New Roman" w:hAnsi="Times New Roman" w:eastAsia="楷体_GB2312" w:cs="Times New Roman"/>
          <w:b/>
          <w:bCs/>
          <w:color w:val="auto"/>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2</w:t>
      </w:r>
      <w:r>
        <w:rPr>
          <w:rFonts w:hint="eastAsia"/>
          <w:color w:val="auto"/>
          <w:sz w:val="32"/>
          <w:szCs w:val="32"/>
          <w:highlight w:val="none"/>
          <w:lang w:val="en-US" w:eastAsia="zh-CN"/>
        </w:rPr>
        <w:t>.</w:t>
      </w:r>
      <w:r>
        <w:rPr>
          <w:rFonts w:hint="eastAsia"/>
          <w:color w:val="auto"/>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3</w:t>
      </w:r>
      <w:r>
        <w:rPr>
          <w:rFonts w:hint="eastAsia"/>
          <w:color w:val="auto"/>
          <w:sz w:val="32"/>
          <w:szCs w:val="32"/>
          <w:highlight w:val="none"/>
          <w:lang w:val="en-US" w:eastAsia="zh-CN"/>
        </w:rPr>
        <w:t>.</w:t>
      </w:r>
      <w:r>
        <w:rPr>
          <w:rFonts w:hint="eastAsia"/>
          <w:color w:val="auto"/>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color w:val="auto"/>
          <w:sz w:val="32"/>
          <w:szCs w:val="32"/>
          <w:highlight w:val="none"/>
        </w:rPr>
      </w:pPr>
      <w:bookmarkStart w:id="7" w:name="_Toc68703834"/>
      <w:r>
        <w:rPr>
          <w:rFonts w:hint="eastAsia" w:eastAsia="仿宋_GB2312"/>
          <w:bCs/>
          <w:color w:val="auto"/>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color w:val="auto"/>
          <w:sz w:val="32"/>
          <w:szCs w:val="32"/>
          <w:highlight w:val="none"/>
          <w:lang w:val="en-US" w:eastAsia="zh-CN"/>
        </w:rPr>
      </w:pPr>
      <w:r>
        <w:rPr>
          <w:rFonts w:hint="eastAsia" w:eastAsia="黑体" w:cs="Times New Roman"/>
          <w:bCs/>
          <w:color w:val="auto"/>
          <w:sz w:val="32"/>
          <w:szCs w:val="32"/>
          <w:highlight w:val="none"/>
          <w:lang w:val="en-US" w:eastAsia="zh-CN"/>
        </w:rPr>
        <w:t>三、</w:t>
      </w:r>
      <w:r>
        <w:rPr>
          <w:rFonts w:hint="eastAsia" w:ascii="Times New Roman" w:hAnsi="Times New Roman" w:eastAsia="黑体" w:cs="Times New Roman"/>
          <w:bCs/>
          <w:color w:val="auto"/>
          <w:sz w:val="32"/>
          <w:szCs w:val="32"/>
          <w:highlight w:val="none"/>
          <w:lang w:val="en-US" w:eastAsia="zh-CN"/>
        </w:rPr>
        <w:t>综合评价情况及评价结论</w:t>
      </w:r>
      <w:bookmarkEnd w:id="7"/>
      <w:r>
        <w:rPr>
          <w:rFonts w:eastAsia="黑体"/>
          <w:color w:val="auto"/>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8" w:name="_Toc68703835"/>
      <w:r>
        <w:rPr>
          <w:rFonts w:hint="eastAsia" w:ascii="Times New Roman" w:hAnsi="Times New Roman" w:eastAsia="楷体_GB2312" w:cs="Times New Roman"/>
          <w:b/>
          <w:bCs/>
          <w:color w:val="auto"/>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9" w:name="_Toc68703836"/>
      <w:r>
        <w:rPr>
          <w:rFonts w:hint="eastAsia" w:ascii="Times New Roman" w:hAnsi="Times New Roman" w:eastAsia="楷体_GB2312" w:cs="Times New Roman"/>
          <w:b/>
          <w:bCs/>
          <w:color w:val="auto"/>
          <w:kern w:val="2"/>
          <w:sz w:val="32"/>
          <w:szCs w:val="32"/>
          <w:highlight w:val="none"/>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color w:val="auto"/>
          <w:highlight w:val="none"/>
        </w:rPr>
      </w:pPr>
      <w:r>
        <w:rPr>
          <w:rFonts w:hint="eastAsia" w:ascii="Times New Roman" w:hAnsi="Times New Roman" w:eastAsia="仿宋_GB2312"/>
          <w:b w:val="0"/>
          <w:bCs w:val="0"/>
          <w:color w:val="auto"/>
          <w:highlight w:val="none"/>
          <w:lang w:eastAsia="zh-CN"/>
        </w:rPr>
        <w:t>　　</w:t>
      </w:r>
      <w:r>
        <w:rPr>
          <w:rFonts w:hint="eastAsia" w:ascii="Times New Roman" w:hAnsi="Times New Roman" w:eastAsia="仿宋_GB2312"/>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color w:val="auto"/>
          <w:highlight w:val="none"/>
          <w:lang w:val="en-US" w:eastAsia="zh-CN"/>
        </w:rPr>
        <w:t>99.39</w:t>
      </w:r>
      <w:r>
        <w:rPr>
          <w:rFonts w:hint="eastAsia" w:ascii="Times New Roman" w:hAnsi="Times New Roman" w:eastAsia="仿宋_GB2312"/>
          <w:b w:val="0"/>
          <w:bCs w:val="0"/>
          <w:color w:val="auto"/>
          <w:highlight w:val="none"/>
        </w:rPr>
        <w:t>分，属于“</w:t>
      </w:r>
      <w:r>
        <w:rPr>
          <w:rFonts w:hint="eastAsia" w:ascii="Times New Roman" w:hAnsi="Times New Roman" w:eastAsia="仿宋_GB2312"/>
          <w:b w:val="0"/>
          <w:bCs w:val="0"/>
          <w:color w:val="auto"/>
          <w:highlight w:val="none"/>
          <w:lang w:val="en-US" w:eastAsia="zh-CN"/>
        </w:rPr>
        <w:t>优</w:t>
      </w:r>
      <w:r>
        <w:rPr>
          <w:rFonts w:hint="eastAsia" w:ascii="Times New Roman" w:hAnsi="Times New Roman" w:eastAsia="仿宋_GB2312"/>
          <w:b w:val="0"/>
          <w:bCs w:val="0"/>
          <w:color w:val="auto"/>
          <w:highlight w:val="none"/>
        </w:rPr>
        <w:t xml:space="preserve">”。其中，项目决策类指标权重为20分，得分为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19.39</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96.95</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40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%。具体打分情况详见：附件1综合评分表</w:t>
      </w:r>
      <w:r>
        <w:rPr>
          <w:rFonts w:hint="eastAsia" w:ascii="Times New Roman" w:hAnsi="Times New Roman" w:eastAsia="仿宋_GB2312"/>
          <w:b w:val="0"/>
          <w:bCs w:val="0"/>
          <w:color w:val="auto"/>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color w:val="auto"/>
          <w:kern w:val="28"/>
          <w:sz w:val="32"/>
          <w:szCs w:val="32"/>
          <w:highlight w:val="none"/>
          <w:lang w:val="en-US" w:eastAsia="zh-CN" w:bidi="ar-SA"/>
        </w:rPr>
      </w:pPr>
      <w:r>
        <w:rPr>
          <w:rFonts w:hint="eastAsia"/>
          <w:color w:val="auto"/>
          <w:sz w:val="30"/>
          <w:szCs w:val="30"/>
          <w:highlight w:val="none"/>
          <w:lang w:eastAsia="zh-CN"/>
        </w:rPr>
        <w:t>　　　　　　　　</w:t>
      </w:r>
      <w:r>
        <w:rPr>
          <w:rFonts w:hint="eastAsia" w:ascii="Times New Roman" w:hAnsi="Times New Roman" w:eastAsia="仿宋_GB2312" w:cs="Times New Roman"/>
          <w:b w:val="0"/>
          <w:bCs w:val="0"/>
          <w:color w:val="auto"/>
          <w:kern w:val="28"/>
          <w:sz w:val="32"/>
          <w:szCs w:val="32"/>
          <w:highlight w:val="none"/>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19.39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auto"/>
                <w:sz w:val="22"/>
                <w:highlight w:val="none"/>
              </w:rPr>
            </w:pPr>
            <w:r>
              <w:rPr>
                <w:rFonts w:hint="eastAsia" w:cs="宋体"/>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highlight w:val="none"/>
                <w:lang w:val="en-US" w:eastAsia="zh-CN"/>
              </w:rPr>
            </w:pPr>
            <w:r>
              <w:rPr>
                <w:rFonts w:hint="eastAsia"/>
                <w:b/>
                <w:bCs/>
                <w:color w:val="auto"/>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highlight w:val="none"/>
                <w:lang w:val="en-US" w:eastAsia="zh-CN"/>
              </w:rPr>
            </w:pPr>
            <w:r>
              <w:rPr>
                <w:rFonts w:hint="eastAsia"/>
                <w:b/>
                <w:bCs/>
                <w:color w:val="auto"/>
                <w:sz w:val="22"/>
                <w:highlight w:val="none"/>
                <w:lang w:val="en-US" w:eastAsia="zh-CN"/>
              </w:rPr>
              <w:t>99.39</w:t>
            </w:r>
          </w:p>
        </w:tc>
      </w:tr>
    </w:tbl>
    <w:p>
      <w:pPr>
        <w:spacing w:line="560" w:lineRule="exact"/>
        <w:rPr>
          <w:rFonts w:hint="eastAsia" w:ascii="Times New Roman" w:hAnsi="Times New Roman" w:eastAsia="黑体" w:cs="Times New Roman"/>
          <w:bCs/>
          <w:color w:val="auto"/>
          <w:sz w:val="32"/>
          <w:szCs w:val="32"/>
          <w:highlight w:val="none"/>
          <w:lang w:val="en-US" w:eastAsia="zh-CN"/>
        </w:rPr>
      </w:pPr>
      <w:bookmarkStart w:id="10" w:name="_Toc68703837"/>
      <w:r>
        <w:rPr>
          <w:rFonts w:hint="eastAsia" w:ascii="Times New Roman" w:hAnsi="Times New Roman" w:eastAsia="黑体" w:cs="Times New Roman"/>
          <w:bCs/>
          <w:color w:val="auto"/>
          <w:sz w:val="32"/>
          <w:szCs w:val="32"/>
          <w:highlight w:val="none"/>
          <w:lang w:val="en-US" w:eastAsia="zh-CN"/>
        </w:rPr>
        <w:t>四、绩效评价指标分析</w:t>
      </w:r>
      <w:bookmarkEnd w:id="10"/>
    </w:p>
    <w:p>
      <w:pPr>
        <w:spacing w:line="560" w:lineRule="exact"/>
        <w:rPr>
          <w:rFonts w:hint="eastAsia" w:ascii="Times New Roman" w:hAnsi="Times New Roman" w:eastAsia="楷体_GB2312" w:cs="Times New Roman"/>
          <w:b/>
          <w:bCs/>
          <w:color w:val="auto"/>
          <w:kern w:val="2"/>
          <w:sz w:val="32"/>
          <w:szCs w:val="32"/>
          <w:highlight w:val="none"/>
          <w:lang w:val="en-US" w:eastAsia="zh-CN" w:bidi="ar-SA"/>
        </w:rPr>
      </w:pPr>
      <w:bookmarkStart w:id="11" w:name="_Toc68703838"/>
      <w:r>
        <w:rPr>
          <w:rFonts w:hint="eastAsia" w:ascii="Times New Roman" w:hAnsi="Times New Roman" w:eastAsia="楷体_GB2312" w:cs="Times New Roman"/>
          <w:b/>
          <w:bCs/>
          <w:color w:val="auto"/>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highlight w:val="none"/>
          <w:lang w:val="en-US" w:eastAsia="zh-CN"/>
        </w:rPr>
      </w:pPr>
      <w:r>
        <w:rPr>
          <w:rFonts w:hint="eastAsia"/>
          <w:b w:val="0"/>
          <w:bCs w:val="0"/>
          <w:color w:val="auto"/>
          <w:sz w:val="32"/>
          <w:szCs w:val="32"/>
          <w:highlight w:val="none"/>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val="en-US" w:eastAsia="zh-CN"/>
        </w:rPr>
        <w:t>项目立项</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w:t>
      </w:r>
    </w:p>
    <w:p>
      <w:pPr>
        <w:shd w:val="clear"/>
        <w:spacing w:line="600" w:lineRule="exact"/>
        <w:ind w:firstLine="640" w:firstLineChars="200"/>
        <w:outlineLvl w:val="0"/>
        <w:rPr>
          <w:color w:val="auto"/>
          <w:sz w:val="32"/>
          <w:szCs w:val="32"/>
          <w:highlight w:val="none"/>
        </w:rPr>
      </w:pPr>
      <w:r>
        <w:rPr>
          <w:rFonts w:hint="eastAsia" w:ascii="仿宋_GB2312" w:hAnsi="仿宋_GB2312" w:eastAsia="仿宋_GB2312" w:cs="仿宋_GB2312"/>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color w:val="auto"/>
          <w:sz w:val="32"/>
          <w:szCs w:val="32"/>
          <w:highlight w:val="none"/>
        </w:rPr>
      </w:pPr>
      <w:r>
        <w:rPr>
          <w:rFonts w:hint="eastAsia"/>
          <w:b w:val="0"/>
          <w:bCs w:val="0"/>
          <w:color w:val="auto"/>
          <w:sz w:val="32"/>
          <w:szCs w:val="32"/>
          <w:highlight w:val="none"/>
        </w:rPr>
        <w:t>2</w:t>
      </w:r>
      <w:r>
        <w:rPr>
          <w:rFonts w:hint="eastAsia"/>
          <w:b w:val="0"/>
          <w:bCs w:val="0"/>
          <w:color w:val="auto"/>
          <w:sz w:val="32"/>
          <w:szCs w:val="32"/>
          <w:highlight w:val="none"/>
          <w:lang w:val="en-US" w:eastAsia="zh-CN"/>
        </w:rPr>
        <w:t>.</w:t>
      </w:r>
      <w:r>
        <w:rPr>
          <w:rFonts w:hint="eastAsia"/>
          <w:b w:val="0"/>
          <w:bCs w:val="0"/>
          <w:color w:val="auto"/>
          <w:sz w:val="32"/>
          <w:szCs w:val="32"/>
          <w:highlight w:val="none"/>
        </w:rPr>
        <w:t>立项程序规范性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w:t>
      </w:r>
      <w:r>
        <w:rPr>
          <w:rFonts w:hint="eastAsia" w:ascii="仿宋_GB2312" w:hAnsi="仿宋_GB2312" w:eastAsia="仿宋_GB2312" w:cs="仿宋_GB2312"/>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2.绩效目标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Hans"/>
        </w:rPr>
        <w:t>年初结合实际工作内容</w:t>
      </w:r>
      <w:r>
        <w:rPr>
          <w:rFonts w:hint="eastAsia" w:ascii="仿宋_GB2312" w:hAnsi="仿宋_GB2312" w:eastAsia="仿宋_GB2312" w:cs="仿宋_GB2312"/>
          <w:color w:val="auto"/>
          <w:sz w:val="32"/>
          <w:szCs w:val="32"/>
          <w:highlight w:val="none"/>
          <w:lang w:val="en-US" w:eastAsia="zh-CN"/>
        </w:rPr>
        <w:t>设定绩效目标</w:t>
      </w:r>
      <w:r>
        <w:rPr>
          <w:rFonts w:hint="eastAsia" w:ascii="仿宋_GB2312" w:hAnsi="仿宋_GB2312" w:eastAsia="仿宋_GB2312" w:cs="仿宋_GB2312"/>
          <w:color w:val="auto"/>
          <w:sz w:val="32"/>
          <w:szCs w:val="32"/>
          <w:highlight w:val="none"/>
          <w:lang w:val="en-US" w:eastAsia="zh-Hans"/>
        </w:rPr>
        <w:t>，绩效目标</w:t>
      </w:r>
      <w:r>
        <w:rPr>
          <w:rFonts w:hint="eastAsia" w:ascii="仿宋_GB2312" w:hAnsi="仿宋_GB2312" w:eastAsia="仿宋_GB2312" w:cs="仿宋_GB2312"/>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bookmarkStart w:id="12" w:name="_Hlk68699917"/>
      <w:r>
        <w:rPr>
          <w:rFonts w:hint="eastAsia" w:ascii="仿宋_GB2312" w:hAnsi="仿宋_GB2312" w:eastAsia="仿宋_GB2312" w:cs="仿宋_GB2312"/>
          <w:color w:val="auto"/>
          <w:sz w:val="32"/>
          <w:szCs w:val="32"/>
          <w:highlight w:val="none"/>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val="en-US" w:eastAsia="zh-CN"/>
        </w:rPr>
        <w:t>资金投入</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color w:val="auto"/>
          <w:highlight w:val="none"/>
        </w:rPr>
      </w:pPr>
      <w:r>
        <w:rPr>
          <w:rFonts w:hint="eastAsia" w:ascii="楷体" w:hAnsi="楷体" w:eastAsia="楷体" w:cs="楷体"/>
          <w:color w:val="auto"/>
          <w:highlight w:val="none"/>
          <w:lang w:eastAsia="zh-CN"/>
        </w:rPr>
        <w:t>（二）</w:t>
      </w:r>
      <w:r>
        <w:rPr>
          <w:rFonts w:hint="eastAsia" w:ascii="楷体" w:hAnsi="楷体" w:eastAsia="楷体" w:cs="楷体"/>
          <w:color w:val="auto"/>
          <w:highlight w:val="none"/>
        </w:rPr>
        <w:t>项目过程情况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项目过程类指标包括资金管理和组织实施两方面的内容，由5个三级指标构成，权重分值为20分，实际得分</w:t>
      </w:r>
      <w:r>
        <w:rPr>
          <w:rFonts w:hint="eastAsia" w:ascii="仿宋_GB2312" w:hAnsi="仿宋_GB2312" w:cs="仿宋_GB2312"/>
          <w:color w:val="auto"/>
          <w:sz w:val="32"/>
          <w:szCs w:val="32"/>
          <w:highlight w:val="none"/>
          <w:lang w:val="en-US" w:eastAsia="zh-CN"/>
        </w:rPr>
        <w:t>19.39</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96.95</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万元，财政资金及时足额到位，到位率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w:t>
      </w:r>
      <w:r>
        <w:rPr>
          <w:rFonts w:hint="eastAsia" w:ascii="仿宋_GB2312" w:hAnsi="仿宋_GB2312" w:cs="仿宋_GB2312"/>
          <w:color w:val="auto"/>
          <w:sz w:val="32"/>
          <w:szCs w:val="32"/>
          <w:highlight w:val="none"/>
          <w:lang w:val="en-US" w:eastAsia="zh-CN"/>
        </w:rPr>
        <w:t>25.4</w:t>
      </w:r>
      <w:r>
        <w:rPr>
          <w:rFonts w:hint="eastAsia" w:ascii="仿宋_GB2312" w:hAnsi="仿宋_GB2312" w:eastAsia="仿宋_GB2312" w:cs="仿宋_GB2312"/>
          <w:color w:val="auto"/>
          <w:sz w:val="32"/>
          <w:szCs w:val="32"/>
          <w:highlight w:val="none"/>
          <w:lang w:val="en-US" w:eastAsia="zh-CN"/>
        </w:rPr>
        <w:t>万元，预算执行率为</w:t>
      </w:r>
      <w:r>
        <w:rPr>
          <w:rFonts w:hint="eastAsia" w:ascii="仿宋_GB2312" w:hAnsi="仿宋_GB2312" w:cs="仿宋_GB2312"/>
          <w:color w:val="auto"/>
          <w:sz w:val="32"/>
          <w:szCs w:val="32"/>
          <w:highlight w:val="none"/>
          <w:lang w:val="en-US" w:eastAsia="zh-CN"/>
        </w:rPr>
        <w:t>84.67</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2.组织实施</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ind w:firstLine="643" w:firstLineChars="200"/>
        <w:rPr>
          <w:rFonts w:hint="eastAsia" w:ascii="Times New Roman" w:hAnsi="Times New Roman" w:eastAsia="楷体_GB2312" w:cs="Times New Roman"/>
          <w:b/>
          <w:bCs/>
          <w:color w:val="auto"/>
          <w:kern w:val="2"/>
          <w:sz w:val="32"/>
          <w:szCs w:val="32"/>
          <w:highlight w:val="none"/>
          <w:lang w:val="en-US" w:eastAsia="zh-CN" w:bidi="ar-SA"/>
        </w:rPr>
      </w:pPr>
      <w:bookmarkStart w:id="13" w:name="_Toc68703840"/>
      <w:r>
        <w:rPr>
          <w:rFonts w:hint="eastAsia" w:ascii="Times New Roman" w:hAnsi="Times New Roman" w:eastAsia="楷体_GB2312" w:cs="Times New Roman"/>
          <w:b/>
          <w:bCs/>
          <w:color w:val="auto"/>
          <w:kern w:val="2"/>
          <w:sz w:val="32"/>
          <w:szCs w:val="32"/>
          <w:highlight w:val="none"/>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项目产出类指标包括产出数量、产出质量、产出时效、产出成本四方面的内容，由</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个三级指标构成，权重分为</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　奖补自治州重点研究与技术专项项目资金企业个数　</w:t>
      </w:r>
      <w:r>
        <w:rPr>
          <w:rFonts w:hint="eastAsia"/>
          <w:color w:val="auto"/>
          <w:sz w:val="32"/>
          <w:szCs w:val="32"/>
          <w:highlight w:val="none"/>
        </w:rPr>
        <w:t>，指标值：</w:t>
      </w:r>
      <w:r>
        <w:rPr>
          <w:rFonts w:hint="eastAsia"/>
          <w:color w:val="auto"/>
          <w:sz w:val="32"/>
          <w:szCs w:val="32"/>
          <w:highlight w:val="none"/>
          <w:lang w:val="en-US" w:eastAsia="zh-CN"/>
        </w:rPr>
        <w:t>&gt;=2家</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2家</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val="en-US" w:eastAsia="zh-CN"/>
        </w:rPr>
      </w:pPr>
      <w:r>
        <w:rPr>
          <w:rFonts w:hint="eastAsia"/>
          <w:color w:val="auto"/>
          <w:sz w:val="32"/>
          <w:szCs w:val="32"/>
          <w:highlight w:val="none"/>
        </w:rPr>
        <w:t>指标2：配套扶持资金发放完成率，指标值：</w:t>
      </w:r>
      <w:r>
        <w:rPr>
          <w:rFonts w:hint="eastAsia"/>
          <w:color w:val="auto"/>
          <w:sz w:val="32"/>
          <w:szCs w:val="32"/>
          <w:highlight w:val="none"/>
          <w:lang w:val="en-US" w:eastAsia="zh-CN"/>
        </w:rPr>
        <w:t>100%</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w:t>
      </w:r>
      <w:r>
        <w:rPr>
          <w:rFonts w:hint="eastAsia"/>
          <w:color w:val="auto"/>
          <w:sz w:val="32"/>
          <w:szCs w:val="32"/>
          <w:highlight w:val="none"/>
          <w:lang w:val="en-US" w:eastAsia="zh-CN"/>
        </w:rPr>
        <w:t>3</w:t>
      </w:r>
      <w:r>
        <w:rPr>
          <w:rFonts w:hint="eastAsia"/>
          <w:color w:val="auto"/>
          <w:sz w:val="32"/>
          <w:szCs w:val="32"/>
          <w:highlight w:val="none"/>
        </w:rPr>
        <w:t>：赴内地发达地区开展创新能力调研活动，指标值：</w:t>
      </w:r>
      <w:r>
        <w:rPr>
          <w:rFonts w:hint="eastAsia"/>
          <w:color w:val="auto"/>
          <w:sz w:val="32"/>
          <w:szCs w:val="32"/>
          <w:highlight w:val="none"/>
          <w:lang w:val="en-US" w:eastAsia="zh-CN"/>
        </w:rPr>
        <w:t>&gt;4次</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5次</w:t>
      </w:r>
      <w:r>
        <w:rPr>
          <w:rFonts w:hint="eastAsia"/>
          <w:color w:val="auto"/>
          <w:sz w:val="32"/>
          <w:szCs w:val="32"/>
          <w:highlight w:val="none"/>
        </w:rPr>
        <w:t>，指标完成率</w:t>
      </w:r>
      <w:r>
        <w:rPr>
          <w:rFonts w:hint="eastAsia"/>
          <w:color w:val="auto"/>
          <w:sz w:val="32"/>
          <w:szCs w:val="32"/>
          <w:highlight w:val="none"/>
          <w:lang w:val="en-US" w:eastAsia="zh-CN"/>
        </w:rPr>
        <w:t>125</w:t>
      </w:r>
      <w:r>
        <w:rPr>
          <w:rFonts w:hint="eastAsia"/>
          <w:color w:val="auto"/>
          <w:sz w:val="32"/>
          <w:szCs w:val="32"/>
          <w:highlight w:val="none"/>
        </w:rPr>
        <w:t>%</w:t>
      </w:r>
      <w:r>
        <w:rPr>
          <w:rFonts w:hint="eastAsia"/>
          <w:color w:val="auto"/>
          <w:sz w:val="32"/>
          <w:szCs w:val="32"/>
          <w:highlight w:val="none"/>
          <w:lang w:val="en-US" w:eastAsia="zh-CN"/>
        </w:rPr>
        <w:t>,</w:t>
      </w:r>
      <w:r>
        <w:rPr>
          <w:rFonts w:hint="eastAsia"/>
          <w:color w:val="auto"/>
          <w:sz w:val="32"/>
          <w:szCs w:val="32"/>
          <w:highlight w:val="none"/>
        </w:rPr>
        <w:t>偏差原因：</w:t>
      </w:r>
      <w:r>
        <w:rPr>
          <w:rFonts w:hint="eastAsia"/>
          <w:color w:val="auto"/>
          <w:sz w:val="32"/>
          <w:szCs w:val="32"/>
          <w:highlight w:val="none"/>
          <w:lang w:val="en-US" w:eastAsia="zh-CN"/>
        </w:rPr>
        <w:t>年底</w:t>
      </w:r>
      <w:r>
        <w:rPr>
          <w:rFonts w:hint="eastAsia"/>
          <w:color w:val="auto"/>
          <w:sz w:val="32"/>
          <w:szCs w:val="32"/>
          <w:highlight w:val="none"/>
        </w:rPr>
        <w:t>根据实际业务需要</w:t>
      </w:r>
      <w:r>
        <w:rPr>
          <w:rFonts w:hint="eastAsia"/>
          <w:color w:val="auto"/>
          <w:sz w:val="32"/>
          <w:szCs w:val="32"/>
          <w:highlight w:val="none"/>
          <w:lang w:eastAsia="zh-CN"/>
        </w:rPr>
        <w:t>，</w:t>
      </w:r>
      <w:r>
        <w:rPr>
          <w:rFonts w:hint="eastAsia"/>
          <w:color w:val="auto"/>
          <w:sz w:val="32"/>
          <w:szCs w:val="32"/>
          <w:highlight w:val="none"/>
        </w:rPr>
        <w:t>为自贸区建设进行考察</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w:t>
      </w:r>
      <w:r>
        <w:rPr>
          <w:rFonts w:hint="eastAsia"/>
          <w:color w:val="auto"/>
          <w:sz w:val="32"/>
          <w:szCs w:val="32"/>
          <w:highlight w:val="none"/>
          <w:lang w:val="en-US" w:eastAsia="zh-CN"/>
        </w:rPr>
        <w:t>4</w:t>
      </w:r>
      <w:r>
        <w:rPr>
          <w:rFonts w:hint="eastAsia"/>
          <w:color w:val="auto"/>
          <w:sz w:val="32"/>
          <w:szCs w:val="32"/>
          <w:highlight w:val="none"/>
        </w:rPr>
        <w:t>：局里干部参加创新能力培训次数，指标值：</w:t>
      </w:r>
      <w:r>
        <w:rPr>
          <w:rFonts w:hint="eastAsia"/>
          <w:color w:val="auto"/>
          <w:sz w:val="32"/>
          <w:szCs w:val="32"/>
          <w:highlight w:val="none"/>
          <w:lang w:val="en-US" w:eastAsia="zh-CN"/>
        </w:rPr>
        <w:t>&gt;2次</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2次</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w:t>
      </w:r>
      <w:r>
        <w:rPr>
          <w:rFonts w:hint="eastAsia"/>
          <w:color w:val="auto"/>
          <w:sz w:val="32"/>
          <w:szCs w:val="32"/>
          <w:highlight w:val="none"/>
          <w:lang w:val="en-US" w:eastAsia="zh-CN"/>
        </w:rPr>
        <w:t>5</w:t>
      </w:r>
      <w:r>
        <w:rPr>
          <w:rFonts w:hint="eastAsia"/>
          <w:color w:val="auto"/>
          <w:sz w:val="32"/>
          <w:szCs w:val="32"/>
          <w:highlight w:val="none"/>
        </w:rPr>
        <w:t>：赴一区三园开展调研次数，指标值：</w:t>
      </w:r>
      <w:r>
        <w:rPr>
          <w:rFonts w:hint="eastAsia"/>
          <w:color w:val="auto"/>
          <w:sz w:val="32"/>
          <w:szCs w:val="32"/>
          <w:highlight w:val="none"/>
          <w:lang w:val="en-US" w:eastAsia="zh-CN"/>
        </w:rPr>
        <w:t>&gt;3次</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4次</w:t>
      </w:r>
      <w:r>
        <w:rPr>
          <w:rFonts w:hint="eastAsia"/>
          <w:color w:val="auto"/>
          <w:sz w:val="32"/>
          <w:szCs w:val="32"/>
          <w:highlight w:val="none"/>
        </w:rPr>
        <w:t>，指标完成率</w:t>
      </w:r>
      <w:r>
        <w:rPr>
          <w:rFonts w:hint="eastAsia"/>
          <w:color w:val="auto"/>
          <w:sz w:val="32"/>
          <w:szCs w:val="32"/>
          <w:highlight w:val="none"/>
          <w:lang w:val="en-US" w:eastAsia="zh-CN"/>
        </w:rPr>
        <w:t>133.33</w:t>
      </w:r>
      <w:r>
        <w:rPr>
          <w:rFonts w:hint="eastAsia"/>
          <w:color w:val="auto"/>
          <w:sz w:val="32"/>
          <w:szCs w:val="32"/>
          <w:highlight w:val="none"/>
        </w:rPr>
        <w:t>%</w:t>
      </w:r>
      <w:r>
        <w:rPr>
          <w:rFonts w:hint="eastAsia"/>
          <w:color w:val="auto"/>
          <w:sz w:val="32"/>
          <w:szCs w:val="32"/>
          <w:highlight w:val="none"/>
          <w:lang w:eastAsia="zh-CN"/>
        </w:rPr>
        <w:t>，</w:t>
      </w:r>
      <w:r>
        <w:rPr>
          <w:rFonts w:hint="eastAsia"/>
          <w:color w:val="auto"/>
          <w:sz w:val="32"/>
          <w:szCs w:val="32"/>
          <w:highlight w:val="none"/>
        </w:rPr>
        <w:t>偏差原因：</w:t>
      </w:r>
      <w:r>
        <w:rPr>
          <w:rFonts w:hint="eastAsia"/>
          <w:color w:val="auto"/>
          <w:sz w:val="32"/>
          <w:szCs w:val="32"/>
          <w:highlight w:val="none"/>
          <w:lang w:val="en-US" w:eastAsia="zh-CN"/>
        </w:rPr>
        <w:t>年底</w:t>
      </w:r>
      <w:r>
        <w:rPr>
          <w:rFonts w:hint="eastAsia"/>
          <w:color w:val="auto"/>
          <w:sz w:val="32"/>
          <w:szCs w:val="32"/>
          <w:highlight w:val="none"/>
        </w:rPr>
        <w:t>收到上级通知，对高企进行三方核查</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bookmarkStart w:id="14" w:name="_Toc68703841"/>
      <w:r>
        <w:rPr>
          <w:rFonts w:hint="eastAsia"/>
          <w:color w:val="auto"/>
          <w:sz w:val="32"/>
          <w:szCs w:val="32"/>
          <w:highlight w:val="none"/>
          <w:lang w:eastAsia="zh-CN"/>
        </w:rPr>
        <w:t>指标</w:t>
      </w:r>
      <w:r>
        <w:rPr>
          <w:rFonts w:hint="eastAsia"/>
          <w:color w:val="auto"/>
          <w:sz w:val="32"/>
          <w:szCs w:val="32"/>
          <w:highlight w:val="none"/>
          <w:lang w:val="en-US" w:eastAsia="zh-CN"/>
        </w:rPr>
        <w:t>1</w:t>
      </w:r>
      <w:r>
        <w:rPr>
          <w:rFonts w:hint="eastAsia"/>
          <w:color w:val="auto"/>
          <w:sz w:val="32"/>
          <w:szCs w:val="32"/>
          <w:highlight w:val="none"/>
          <w:lang w:eastAsia="zh-CN"/>
        </w:rPr>
        <w:t>：资金拨付的及时性，指标值：</w:t>
      </w:r>
      <w:r>
        <w:rPr>
          <w:rFonts w:hint="eastAsia"/>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100%</w:t>
      </w:r>
      <w:r>
        <w:rPr>
          <w:rFonts w:hint="eastAsia"/>
          <w:color w:val="auto"/>
          <w:sz w:val="32"/>
          <w:szCs w:val="32"/>
          <w:highlight w:val="none"/>
          <w:lang w:eastAsia="zh-CN"/>
        </w:rPr>
        <w:t>，实际完成值：</w:t>
      </w:r>
      <w:r>
        <w:rPr>
          <w:rFonts w:hint="eastAsia" w:ascii="仿宋_GB2312" w:hAnsi="仿宋_GB2312" w:eastAsia="仿宋_GB2312" w:cs="仿宋_GB2312"/>
          <w:color w:val="auto"/>
          <w:sz w:val="32"/>
          <w:szCs w:val="32"/>
          <w:highlight w:val="none"/>
          <w:lang w:val="en-US" w:eastAsia="zh-CN"/>
        </w:rPr>
        <w:t>100%</w:t>
      </w:r>
      <w:r>
        <w:rPr>
          <w:rFonts w:hint="eastAsia"/>
          <w:color w:val="auto"/>
          <w:sz w:val="32"/>
          <w:szCs w:val="32"/>
          <w:highlight w:val="none"/>
          <w:lang w:eastAsia="zh-CN"/>
        </w:rPr>
        <w:t>，指标完成率</w:t>
      </w:r>
      <w:r>
        <w:rPr>
          <w:rFonts w:hint="eastAsia"/>
          <w:color w:val="auto"/>
          <w:sz w:val="32"/>
          <w:szCs w:val="32"/>
          <w:highlight w:val="none"/>
          <w:lang w:val="en-US" w:eastAsia="zh-CN"/>
        </w:rPr>
        <w:t>100</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val="en-US" w:eastAsia="zh-CN"/>
        </w:rPr>
        <w:t>成本指标：</w:t>
      </w:r>
    </w:p>
    <w:p>
      <w:pPr>
        <w:shd w:val="clear"/>
        <w:spacing w:line="600" w:lineRule="exact"/>
        <w:ind w:firstLine="640" w:firstLineChars="200"/>
        <w:outlineLvl w:val="0"/>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指标1：奖补自治州重点研究与技术专项项目资金企业金额，指标值：&lt;=15万元，实际完成值：</w:t>
      </w:r>
      <w:r>
        <w:rPr>
          <w:rFonts w:hint="eastAsia" w:ascii="仿宋_GB2312" w:hAnsi="仿宋_GB2312" w:cs="仿宋_GB2312"/>
          <w:color w:val="auto"/>
          <w:sz w:val="32"/>
          <w:szCs w:val="32"/>
          <w:highlight w:val="none"/>
          <w:lang w:val="en-US" w:eastAsia="zh-CN"/>
        </w:rPr>
        <w:t>15万元</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 xml:space="preserve">      </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指标2：打造火炬创新创业产业园投入、赴一区三园调研、赴发达地区开展创新能力调研、开展培训所需资金，指标值：&lt;=15万元，实际完成值：10.4万元，指标完成率69%。</w:t>
      </w:r>
      <w:r>
        <w:rPr>
          <w:rFonts w:hint="eastAsia"/>
          <w:color w:val="auto"/>
          <w:sz w:val="32"/>
          <w:szCs w:val="32"/>
          <w:highlight w:val="none"/>
        </w:rPr>
        <w:t>偏差原因：单位人手不够，每次派出去调研的人少，有些</w:t>
      </w:r>
      <w:r>
        <w:rPr>
          <w:rFonts w:hint="eastAsia"/>
          <w:color w:val="auto"/>
          <w:sz w:val="32"/>
          <w:szCs w:val="32"/>
          <w:highlight w:val="none"/>
          <w:lang w:val="en-US" w:eastAsia="zh-CN"/>
        </w:rPr>
        <w:t>配套奖补的企业</w:t>
      </w:r>
      <w:r>
        <w:rPr>
          <w:rFonts w:hint="eastAsia"/>
          <w:color w:val="auto"/>
          <w:sz w:val="32"/>
          <w:szCs w:val="32"/>
          <w:highlight w:val="none"/>
        </w:rPr>
        <w:t>还没得到公示，不能申请资金</w:t>
      </w:r>
      <w:r>
        <w:rPr>
          <w:rFonts w:hint="eastAsia"/>
          <w:color w:val="auto"/>
          <w:sz w:val="32"/>
          <w:szCs w:val="32"/>
          <w:highlight w:val="none"/>
          <w:lang w:eastAsia="zh-CN"/>
        </w:rPr>
        <w:t>。</w:t>
      </w:r>
    </w:p>
    <w:p>
      <w:pPr>
        <w:shd w:val="clear"/>
        <w:spacing w:line="600" w:lineRule="exact"/>
        <w:ind w:firstLine="643" w:firstLineChars="200"/>
        <w:outlineLvl w:val="0"/>
        <w:rPr>
          <w:rFonts w:hint="eastAsia" w:ascii="Times New Roman" w:hAnsi="Times New Roman" w:eastAsia="楷体_GB2312" w:cs="Times New Roman"/>
          <w:b/>
          <w:bCs/>
          <w:color w:val="auto"/>
          <w:kern w:val="2"/>
          <w:sz w:val="32"/>
          <w:szCs w:val="32"/>
          <w:highlight w:val="none"/>
          <w:lang w:val="en-US" w:eastAsia="zh-CN" w:bidi="ar-SA"/>
        </w:rPr>
      </w:pPr>
      <w:r>
        <w:rPr>
          <w:rFonts w:hint="eastAsia" w:ascii="Times New Roman" w:hAnsi="Times New Roman" w:eastAsia="楷体_GB2312" w:cs="Times New Roman"/>
          <w:b/>
          <w:bCs/>
          <w:color w:val="auto"/>
          <w:kern w:val="2"/>
          <w:sz w:val="32"/>
          <w:szCs w:val="32"/>
          <w:highlight w:val="none"/>
          <w:lang w:val="en-US" w:eastAsia="zh-CN" w:bidi="ar-SA"/>
        </w:rPr>
        <w:t>（四）项目效益情况</w:t>
      </w:r>
      <w:bookmarkEnd w:id="14"/>
    </w:p>
    <w:p>
      <w:pPr>
        <w:shd w:val="clear"/>
        <w:spacing w:line="600" w:lineRule="exact"/>
        <w:ind w:firstLine="640" w:firstLineChars="200"/>
        <w:outlineLvl w:val="0"/>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个三级指标构成，权重分为20分，实际得分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指标1：奖补自治州重点研究与技术专项项目资金企业金额，指标值：</w:t>
      </w:r>
      <w:r>
        <w:rPr>
          <w:rFonts w:hint="eastAsia" w:ascii="仿宋_GB2312" w:hAnsi="仿宋_GB2312" w:cs="仿宋_GB2312"/>
          <w:color w:val="auto"/>
          <w:sz w:val="32"/>
          <w:szCs w:val="32"/>
          <w:highlight w:val="none"/>
          <w:lang w:val="en-US" w:eastAsia="zh-CN"/>
        </w:rPr>
        <w:t>不断提升</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不断提升</w:t>
      </w:r>
      <w:r>
        <w:rPr>
          <w:rFonts w:hint="eastAsia" w:ascii="仿宋_GB2312" w:hAnsi="仿宋_GB2312" w:eastAsia="仿宋_GB2312" w:cs="仿宋_GB2312"/>
          <w:color w:val="auto"/>
          <w:sz w:val="32"/>
          <w:szCs w:val="32"/>
          <w:highlight w:val="none"/>
          <w:lang w:val="en-US" w:eastAsia="zh-CN"/>
        </w:rPr>
        <w:t>，指标完成率100%。</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w:t>
      </w:r>
    </w:p>
    <w:p>
      <w:pPr>
        <w:shd w:val="clear"/>
        <w:spacing w:line="600" w:lineRule="exact"/>
        <w:ind w:firstLine="640" w:firstLineChars="200"/>
        <w:outlineLvl w:val="0"/>
        <w:rPr>
          <w:rFonts w:hint="default"/>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指标1：扶持企业满意度，指标值：</w:t>
      </w:r>
      <w:r>
        <w:rPr>
          <w:rFonts w:hint="eastAsia" w:ascii="仿宋_GB2312" w:hAnsi="仿宋_GB2312" w:cs="仿宋_GB2312"/>
          <w:color w:val="auto"/>
          <w:sz w:val="32"/>
          <w:szCs w:val="32"/>
          <w:highlight w:val="none"/>
          <w:lang w:val="en-US" w:eastAsia="zh-CN"/>
        </w:rPr>
        <w:t>&gt;=95%</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spacing w:line="560" w:lineRule="exact"/>
        <w:rPr>
          <w:rFonts w:hint="eastAsia" w:ascii="Times New Roman" w:hAnsi="Times New Roman" w:eastAsia="黑体" w:cs="Times New Roman"/>
          <w:color w:val="auto"/>
          <w:sz w:val="32"/>
          <w:szCs w:val="32"/>
          <w:highlight w:val="none"/>
          <w:lang w:eastAsia="zh-Hans"/>
        </w:rPr>
      </w:pPr>
      <w:r>
        <w:rPr>
          <w:rFonts w:hint="eastAsia" w:ascii="Times New Roman" w:hAnsi="Times New Roman" w:eastAsia="黑体" w:cs="Times New Roman"/>
          <w:color w:val="auto"/>
          <w:sz w:val="32"/>
          <w:szCs w:val="32"/>
          <w:highlight w:val="none"/>
          <w:lang w:eastAsia="zh-Hans"/>
        </w:rPr>
        <w:t>五、预算执行进度与绩效指标总体完成率偏差</w:t>
      </w:r>
    </w:p>
    <w:p>
      <w:pPr>
        <w:pStyle w:val="20"/>
        <w:spacing w:line="56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cs="仿宋_GB2312"/>
          <w:color w:val="auto"/>
          <w:kern w:val="2"/>
          <w:sz w:val="32"/>
          <w:szCs w:val="32"/>
          <w:highlight w:val="none"/>
          <w:lang w:val="en-US" w:eastAsia="zh-CN" w:bidi="ar-SA"/>
        </w:rPr>
        <w:t>2023</w:t>
      </w:r>
      <w:r>
        <w:rPr>
          <w:rFonts w:hint="eastAsia" w:ascii="仿宋_GB2312" w:hAnsi="仿宋_GB2312" w:eastAsia="仿宋_GB2312" w:cs="仿宋_GB2312"/>
          <w:color w:val="auto"/>
          <w:kern w:val="2"/>
          <w:sz w:val="32"/>
          <w:szCs w:val="32"/>
          <w:highlight w:val="none"/>
          <w:lang w:val="en-US" w:eastAsia="zh-CN" w:bidi="ar-SA"/>
        </w:rPr>
        <w:t>项目年初预算</w:t>
      </w:r>
      <w:r>
        <w:rPr>
          <w:rFonts w:hint="eastAsia" w:ascii="仿宋_GB2312" w:hAnsi="仿宋_GB2312" w:cs="仿宋_GB2312"/>
          <w:color w:val="auto"/>
          <w:kern w:val="2"/>
          <w:sz w:val="32"/>
          <w:szCs w:val="32"/>
          <w:highlight w:val="none"/>
          <w:lang w:val="en-US" w:eastAsia="zh-CN" w:bidi="ar-SA"/>
        </w:rPr>
        <w:t>30</w:t>
      </w:r>
      <w:r>
        <w:rPr>
          <w:rFonts w:hint="eastAsia" w:ascii="仿宋_GB2312" w:hAnsi="仿宋_GB2312" w:eastAsia="仿宋_GB2312" w:cs="仿宋_GB2312"/>
          <w:color w:val="auto"/>
          <w:kern w:val="2"/>
          <w:sz w:val="32"/>
          <w:szCs w:val="32"/>
          <w:highlight w:val="none"/>
          <w:lang w:val="en-US" w:eastAsia="zh-CN" w:bidi="ar-SA"/>
        </w:rPr>
        <w:t>万元，全年预算</w:t>
      </w:r>
      <w:r>
        <w:rPr>
          <w:rFonts w:hint="eastAsia" w:ascii="仿宋_GB2312" w:hAnsi="仿宋_GB2312" w:cs="仿宋_GB2312"/>
          <w:color w:val="auto"/>
          <w:kern w:val="2"/>
          <w:sz w:val="32"/>
          <w:szCs w:val="32"/>
          <w:highlight w:val="none"/>
          <w:lang w:val="en-US" w:eastAsia="zh-CN" w:bidi="ar-SA"/>
        </w:rPr>
        <w:t>30</w:t>
      </w:r>
      <w:r>
        <w:rPr>
          <w:rFonts w:hint="eastAsia" w:ascii="仿宋_GB2312" w:hAnsi="仿宋_GB2312" w:eastAsia="仿宋_GB2312" w:cs="仿宋_GB2312"/>
          <w:color w:val="auto"/>
          <w:kern w:val="2"/>
          <w:sz w:val="32"/>
          <w:szCs w:val="32"/>
          <w:highlight w:val="none"/>
          <w:lang w:val="en-US" w:eastAsia="zh-CN" w:bidi="ar-SA"/>
        </w:rPr>
        <w:t>万元，实际支出</w:t>
      </w:r>
      <w:r>
        <w:rPr>
          <w:rFonts w:hint="eastAsia" w:ascii="仿宋_GB2312" w:hAnsi="仿宋_GB2312" w:cs="仿宋_GB2312"/>
          <w:color w:val="auto"/>
          <w:kern w:val="2"/>
          <w:sz w:val="32"/>
          <w:szCs w:val="32"/>
          <w:highlight w:val="none"/>
          <w:lang w:val="en-US" w:eastAsia="zh-CN" w:bidi="ar-SA"/>
        </w:rPr>
        <w:t>25.4</w:t>
      </w:r>
      <w:r>
        <w:rPr>
          <w:rFonts w:hint="eastAsia" w:ascii="仿宋_GB2312" w:hAnsi="仿宋_GB2312" w:eastAsia="仿宋_GB2312" w:cs="仿宋_GB2312"/>
          <w:color w:val="auto"/>
          <w:kern w:val="2"/>
          <w:sz w:val="32"/>
          <w:szCs w:val="32"/>
          <w:highlight w:val="none"/>
          <w:lang w:val="en-US" w:eastAsia="zh-CN" w:bidi="ar-SA"/>
        </w:rPr>
        <w:t>万元，预算执行率为</w:t>
      </w:r>
      <w:r>
        <w:rPr>
          <w:rFonts w:hint="eastAsia" w:ascii="仿宋_GB2312" w:hAnsi="仿宋_GB2312" w:cs="仿宋_GB2312"/>
          <w:color w:val="auto"/>
          <w:kern w:val="2"/>
          <w:sz w:val="32"/>
          <w:szCs w:val="32"/>
          <w:highlight w:val="none"/>
          <w:lang w:val="en-US" w:eastAsia="zh-CN" w:bidi="ar-SA"/>
        </w:rPr>
        <w:t>84.67</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102.73</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18.06</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偏差</w:t>
      </w:r>
      <w:r>
        <w:rPr>
          <w:rFonts w:hint="eastAsia" w:ascii="仿宋_GB2312" w:hAnsi="仿宋_GB2312" w:eastAsia="仿宋_GB2312" w:cs="仿宋_GB2312"/>
          <w:color w:val="auto"/>
          <w:kern w:val="2"/>
          <w:sz w:val="32"/>
          <w:szCs w:val="32"/>
          <w:highlight w:val="none"/>
          <w:lang w:val="en-US" w:eastAsia="zh-CN" w:bidi="ar-SA"/>
        </w:rPr>
        <w:t>原因</w:t>
      </w:r>
      <w:r>
        <w:rPr>
          <w:rFonts w:hint="eastAsia" w:ascii="仿宋_GB2312" w:hAnsi="仿宋_GB2312" w:cs="仿宋_GB2312"/>
          <w:color w:val="auto"/>
          <w:kern w:val="2"/>
          <w:sz w:val="32"/>
          <w:szCs w:val="32"/>
          <w:highlight w:val="none"/>
          <w:lang w:val="en-US" w:eastAsia="zh-CN" w:bidi="ar-SA"/>
        </w:rPr>
        <w:t>：年底</w:t>
      </w:r>
      <w:r>
        <w:rPr>
          <w:rFonts w:hint="eastAsia" w:ascii="仿宋_GB2312" w:hAnsi="仿宋_GB2312" w:eastAsia="仿宋_GB2312" w:cs="仿宋_GB2312"/>
          <w:color w:val="auto"/>
          <w:kern w:val="2"/>
          <w:sz w:val="32"/>
          <w:szCs w:val="32"/>
          <w:highlight w:val="none"/>
          <w:lang w:val="en-US" w:eastAsia="zh-CN" w:bidi="ar-SA"/>
        </w:rPr>
        <w:t>根据实际业务需要，为自贸区建设进行考，对高企进行三方核查</w:t>
      </w:r>
      <w:r>
        <w:rPr>
          <w:rFonts w:hint="eastAsia" w:ascii="仿宋_GB2312" w:hAnsi="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故赴内地发达地区开展创新能力调研活动、赴内地发达地区开展创新能力调研活动</w:t>
      </w:r>
      <w:r>
        <w:rPr>
          <w:rFonts w:hint="eastAsia" w:ascii="仿宋_GB2312" w:hAnsi="仿宋_GB2312" w:cs="仿宋_GB2312"/>
          <w:color w:val="auto"/>
          <w:kern w:val="2"/>
          <w:sz w:val="32"/>
          <w:szCs w:val="32"/>
          <w:highlight w:val="none"/>
          <w:lang w:val="en-US" w:eastAsia="zh-CN" w:bidi="ar-SA"/>
        </w:rPr>
        <w:t>次数比预计的多了一次，</w:t>
      </w:r>
      <w:r>
        <w:rPr>
          <w:rFonts w:hint="eastAsia" w:ascii="仿宋_GB2312" w:hAnsi="仿宋_GB2312" w:eastAsia="仿宋_GB2312" w:cs="仿宋_GB2312"/>
          <w:color w:val="auto"/>
          <w:kern w:val="2"/>
          <w:sz w:val="32"/>
          <w:szCs w:val="32"/>
          <w:highlight w:val="none"/>
          <w:lang w:val="en-US" w:eastAsia="zh-CN" w:bidi="ar-SA"/>
        </w:rPr>
        <w:t>单位人手不够，每次派出去调研的人少，有些项目还没得到公示，不能申请资金，故打造火炬创新创业产业园投入、赴一区三园调研、赴发达地区开展创新能力调研、开展培训所需资金</w:t>
      </w:r>
      <w:r>
        <w:rPr>
          <w:rFonts w:hint="eastAsia" w:ascii="仿宋_GB2312" w:hAnsi="仿宋_GB2312" w:cs="仿宋_GB2312"/>
          <w:color w:val="auto"/>
          <w:kern w:val="2"/>
          <w:sz w:val="32"/>
          <w:szCs w:val="32"/>
          <w:highlight w:val="none"/>
          <w:lang w:val="en-US" w:eastAsia="zh-CN" w:bidi="ar-SA"/>
        </w:rPr>
        <w:t>比预计少支付4.6万元。</w:t>
      </w:r>
      <w:r>
        <w:rPr>
          <w:rFonts w:hint="eastAsia" w:ascii="仿宋_GB2312" w:hAnsi="仿宋_GB2312" w:eastAsia="仿宋_GB2312" w:cs="仿宋_GB2312"/>
          <w:color w:val="auto"/>
          <w:kern w:val="2"/>
          <w:sz w:val="32"/>
          <w:szCs w:val="32"/>
          <w:highlight w:val="none"/>
          <w:lang w:val="en-US" w:eastAsia="zh-CN" w:bidi="ar-SA"/>
        </w:rPr>
        <w:t>改进措施：一是做好统筹协调工作，建立决策机制，加大预算管理力度，提高预算管理工作质量，全面落实制度建设，做好统筹管理工作，提高相关工作平衡性。二是要全面提升人员的预算执行意识，做到全员共同参与，充分认识到预算管理的重要性，定期在局务会上对预算的执行情况进行分析，有效解决预算执行过程中出现的问题。三是业务科室需要提高预算编制质量，维护预算严肃性。应准确研判相关的科技奖补政策，并进行大量走访调研，参照历年奖补情况，结合市域经济发展实际和服务企业业务工作状况，科学、客观、准确的项目编制预算支出计划，平时做好项目资料的收集工作，提高预算的执行率。四是加大支付力度，对已收集好的资料，及时走资金审批程序，对资金审批过程中遇到的细节问题，及时处理，将符合要求企业的奖补资金发放到位</w:t>
      </w:r>
    </w:p>
    <w:p>
      <w:pPr>
        <w:rPr>
          <w:color w:val="auto"/>
          <w:highlight w:val="none"/>
        </w:rPr>
      </w:pPr>
    </w:p>
    <w:p>
      <w:pPr>
        <w:spacing w:line="560" w:lineRule="exact"/>
        <w:rPr>
          <w:rFonts w:hint="eastAsia" w:ascii="Times New Roman" w:hAnsi="Times New Roman" w:eastAsia="黑体" w:cs="Times New Roman"/>
          <w:bCs/>
          <w:color w:val="auto"/>
          <w:sz w:val="32"/>
          <w:szCs w:val="32"/>
          <w:highlight w:val="none"/>
          <w:lang w:val="en-US" w:eastAsia="zh-CN"/>
        </w:rPr>
      </w:pPr>
      <w:bookmarkStart w:id="15" w:name="_Toc68703842"/>
      <w:r>
        <w:rPr>
          <w:rFonts w:hint="eastAsia" w:eastAsia="黑体" w:cs="Times New Roman"/>
          <w:bCs/>
          <w:color w:val="auto"/>
          <w:sz w:val="32"/>
          <w:szCs w:val="32"/>
          <w:highlight w:val="none"/>
          <w:lang w:val="en-US" w:eastAsia="zh-CN"/>
        </w:rPr>
        <w:t>六</w:t>
      </w:r>
      <w:r>
        <w:rPr>
          <w:rFonts w:hint="eastAsia" w:ascii="Times New Roman" w:hAnsi="Times New Roman" w:eastAsia="黑体" w:cs="Times New Roman"/>
          <w:bCs/>
          <w:color w:val="auto"/>
          <w:sz w:val="32"/>
          <w:szCs w:val="32"/>
          <w:highlight w:val="none"/>
          <w:lang w:val="en-US" w:eastAsia="zh-CN"/>
        </w:rPr>
        <w:t>、主要经验及做法、存在的问题及原因分析</w:t>
      </w:r>
      <w:bookmarkEnd w:id="15"/>
    </w:p>
    <w:p>
      <w:pPr>
        <w:spacing w:line="560" w:lineRule="exact"/>
        <w:rPr>
          <w:rFonts w:hint="eastAsia" w:ascii="Times New Roman" w:hAnsi="Times New Roman" w:eastAsia="楷体_GB2312" w:cs="Times New Roman"/>
          <w:b/>
          <w:bCs/>
          <w:color w:val="auto"/>
          <w:kern w:val="2"/>
          <w:sz w:val="32"/>
          <w:szCs w:val="32"/>
          <w:highlight w:val="none"/>
          <w:lang w:val="en-US" w:eastAsia="zh-CN" w:bidi="ar-SA"/>
        </w:rPr>
      </w:pPr>
      <w:bookmarkStart w:id="16" w:name="_Toc68703843"/>
      <w:r>
        <w:rPr>
          <w:rFonts w:hint="eastAsia" w:ascii="Times New Roman" w:hAnsi="Times New Roman" w:eastAsia="楷体_GB2312" w:cs="Times New Roman"/>
          <w:b/>
          <w:bCs/>
          <w:color w:val="auto"/>
          <w:kern w:val="2"/>
          <w:sz w:val="32"/>
          <w:szCs w:val="32"/>
          <w:highlight w:val="none"/>
          <w:lang w:val="en-US" w:eastAsia="zh-CN" w:bidi="ar-SA"/>
        </w:rPr>
        <w:t>（一）主要经验及做法</w:t>
      </w:r>
      <w:bookmarkEnd w:id="16"/>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color w:val="auto"/>
          <w:highlight w:val="none"/>
        </w:rPr>
      </w:pPr>
      <w:r>
        <w:rPr>
          <w:rFonts w:ascii="Times New Roman" w:hAnsi="Times New Roman" w:eastAsia="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17" w:name="_Toc68703844"/>
      <w:r>
        <w:rPr>
          <w:rFonts w:hint="eastAsia" w:ascii="Times New Roman" w:hAnsi="Times New Roman" w:eastAsia="楷体_GB2312" w:cs="Times New Roman"/>
          <w:b/>
          <w:bCs/>
          <w:color w:val="auto"/>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color w:val="auto"/>
          <w:kern w:val="2"/>
          <w:sz w:val="32"/>
          <w:szCs w:val="32"/>
          <w:highlight w:val="none"/>
          <w:lang w:val="en-US" w:eastAsia="zh-CN" w:bidi="ar-SA"/>
        </w:rPr>
        <w:t>　</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2.因轮岗、调动等因素使我单位绩效工作人员流动频繁，造成了工作衔接不到位的情况。</w:t>
      </w:r>
    </w:p>
    <w:p>
      <w:pPr>
        <w:pStyle w:val="3"/>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18" w:name="_Toc68703845"/>
      <w:r>
        <w:rPr>
          <w:rFonts w:hint="eastAsia" w:eastAsia="黑体" w:cs="Times New Roman"/>
          <w:b w:val="0"/>
          <w:bCs/>
          <w:color w:val="auto"/>
          <w:kern w:val="2"/>
          <w:sz w:val="32"/>
          <w:szCs w:val="32"/>
          <w:highlight w:val="none"/>
          <w:lang w:val="en-US" w:eastAsia="zh-CN" w:bidi="ar-SA"/>
        </w:rPr>
        <w:t>七</w:t>
      </w:r>
      <w:r>
        <w:rPr>
          <w:rFonts w:hint="eastAsia" w:ascii="Times New Roman" w:hAnsi="Times New Roman" w:eastAsia="黑体" w:cs="Times New Roman"/>
          <w:b w:val="0"/>
          <w:bCs/>
          <w:color w:val="auto"/>
          <w:kern w:val="2"/>
          <w:sz w:val="32"/>
          <w:szCs w:val="32"/>
          <w:highlight w:val="none"/>
          <w:lang w:val="en-US" w:eastAsia="zh-CN" w:bidi="ar-SA"/>
        </w:rPr>
        <w:t>、有关建议</w:t>
      </w:r>
      <w:bookmarkEnd w:id="18"/>
      <w:r>
        <w:rPr>
          <w:rFonts w:hint="eastAsia" w:ascii="Times New Roman" w:hAnsi="Times New Roman" w:eastAsia="黑体" w:cs="Times New Roman"/>
          <w:b w:val="0"/>
          <w:bCs/>
          <w:color w:val="auto"/>
          <w:kern w:val="2"/>
          <w:sz w:val="32"/>
          <w:szCs w:val="32"/>
          <w:highlight w:val="none"/>
          <w:lang w:val="en-US" w:eastAsia="zh-CN" w:bidi="ar-SA"/>
        </w:rPr>
        <w:t>　</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color w:val="auto"/>
          <w:sz w:val="22"/>
          <w:szCs w:val="28"/>
          <w:highlight w:val="none"/>
        </w:rPr>
      </w:pPr>
      <w:r>
        <w:rPr>
          <w:rFonts w:hint="eastAsia" w:ascii="仿宋_GB2312" w:hAnsi="仿宋_GB2312" w:eastAsia="仿宋_GB2312" w:cs="仿宋_GB2312"/>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6"/>
          <w:szCs w:val="32"/>
          <w:highlight w:val="none"/>
        </w:rPr>
        <w:t>。</w:t>
      </w:r>
    </w:p>
    <w:p>
      <w:pPr>
        <w:shd w:val="clear"/>
        <w:spacing w:line="600" w:lineRule="exact"/>
        <w:ind w:firstLine="640" w:firstLineChars="200"/>
        <w:outlineLvl w:val="0"/>
        <w:rPr>
          <w:color w:val="auto"/>
          <w:highlight w:val="none"/>
        </w:rPr>
      </w:pPr>
      <w:r>
        <w:rPr>
          <w:rFonts w:hint="eastAsia" w:ascii="仿宋_GB2312" w:hAnsi="仿宋_GB2312" w:eastAsia="仿宋_GB2312" w:cs="仿宋_GB2312"/>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宋体"/>
          <w:color w:val="auto"/>
          <w:sz w:val="32"/>
          <w:szCs w:val="32"/>
          <w:highlight w:val="none"/>
        </w:rPr>
      </w:pPr>
      <w:bookmarkStart w:id="19" w:name="_Toc68703846"/>
      <w:r>
        <w:rPr>
          <w:rFonts w:hint="eastAsia" w:ascii="宋体" w:hAnsi="宋体" w:eastAsia="宋体"/>
          <w:color w:val="auto"/>
          <w:sz w:val="32"/>
          <w:szCs w:val="32"/>
          <w:highlight w:val="none"/>
          <w:lang w:eastAsia="zh-CN"/>
        </w:rPr>
        <w:t>八</w:t>
      </w:r>
      <w:r>
        <w:rPr>
          <w:rFonts w:hint="eastAsia" w:ascii="宋体" w:hAnsi="宋体" w:eastAsia="宋体"/>
          <w:color w:val="auto"/>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auto"/>
          <w:sz w:val="32"/>
          <w:szCs w:val="32"/>
          <w:highlight w:val="none"/>
        </w:rPr>
      </w:pPr>
      <w:r>
        <w:rPr>
          <w:rFonts w:hint="eastAsia" w:ascii="仿宋_GB2312" w:hAnsi="仿宋_GB2312" w:cs="仿宋_GB2312"/>
          <w:color w:val="auto"/>
          <w:sz w:val="32"/>
          <w:szCs w:val="32"/>
          <w:highlight w:val="none"/>
          <w:lang w:eastAsia="zh-CN"/>
        </w:rPr>
        <w:t>　</w:t>
      </w:r>
      <w:r>
        <w:rPr>
          <w:rFonts w:hint="eastAsia" w:ascii="仿宋_GB2312" w:hAnsi="仿宋_GB2312" w:eastAsia="仿宋_GB2312" w:cs="仿宋_GB2312"/>
          <w:color w:val="auto"/>
          <w:sz w:val="32"/>
          <w:szCs w:val="32"/>
          <w:highlight w:val="none"/>
          <w:lang w:eastAsia="zh-Hans"/>
        </w:rPr>
        <w:t>本项目无其他需说明的问题</w:t>
      </w:r>
      <w:r>
        <w:rPr>
          <w:rFonts w:hint="eastAsia" w:ascii="仿宋_GB2312" w:hAnsi="仿宋_GB2312" w:cs="仿宋_GB2312"/>
          <w:color w:val="auto"/>
          <w:sz w:val="32"/>
          <w:szCs w:val="32"/>
          <w:highlight w:val="none"/>
          <w:lang w:eastAsia="zh-CN"/>
        </w:rPr>
        <w:t>。</w:t>
      </w:r>
    </w:p>
    <w:p>
      <w:pPr>
        <w:rPr>
          <w:color w:val="auto"/>
          <w:highlight w:val="none"/>
        </w:rPr>
      </w:pPr>
    </w:p>
    <w:tbl>
      <w:tblPr>
        <w:tblStyle w:val="11"/>
        <w:tblpPr w:leftFromText="180" w:rightFromText="180" w:vertAnchor="text" w:horzAnchor="page" w:tblpX="1504" w:tblpY="436"/>
        <w:tblOverlap w:val="never"/>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33"/>
        <w:gridCol w:w="333"/>
        <w:gridCol w:w="1449"/>
        <w:gridCol w:w="1830"/>
        <w:gridCol w:w="720"/>
        <w:gridCol w:w="1185"/>
        <w:gridCol w:w="810"/>
        <w:gridCol w:w="825"/>
        <w:gridCol w:w="1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90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90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项目名称</w:t>
            </w:r>
          </w:p>
        </w:tc>
        <w:tc>
          <w:tcPr>
            <w:tcW w:w="839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2022年自治区创新环境（人才、基地）建设专项-科技创新基地建设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主管部门</w:t>
            </w:r>
          </w:p>
        </w:tc>
        <w:tc>
          <w:tcPr>
            <w:tcW w:w="39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霍尔果斯市科学技术局</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实施单位</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霍尔果斯市科学技术局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6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项目资金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（万元）</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全年预算数</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全年执行数</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执行率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9" w:hRule="atLeast"/>
        </w:trPr>
        <w:tc>
          <w:tcPr>
            <w:tcW w:w="6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年度资金总额</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25.40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84.67%</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6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其中：当年财政拨款</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25.40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9" w:hRule="atLeast"/>
        </w:trPr>
        <w:tc>
          <w:tcPr>
            <w:tcW w:w="6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上年结转资金</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9" w:hRule="atLeast"/>
        </w:trPr>
        <w:tc>
          <w:tcPr>
            <w:tcW w:w="6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其他资金</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年度总体目标</w:t>
            </w:r>
          </w:p>
        </w:tc>
        <w:tc>
          <w:tcPr>
            <w:tcW w:w="43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预期目标</w:t>
            </w:r>
          </w:p>
        </w:tc>
        <w:tc>
          <w:tcPr>
            <w:tcW w:w="43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332"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落实自治州重点研究与技术开发专项目，霍尔果斯市按照州本级财政经费10%的比例给予配套资金支持。给车马赫、跨境数字创新园2家企业给与15万的配套资金奖励。为了营利性服务业高质量发展，打造火炬创业园。开展创新能力培训调研活动，对发达地省市产业园区进行考察，学习借鉴先进地区学习先进单位好的经验和做法，赴“一区三园”开展创新能力专题能力调研活动。</w:t>
            </w:r>
          </w:p>
        </w:tc>
        <w:tc>
          <w:tcPr>
            <w:tcW w:w="4395"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霍尔果斯市按照州本级财政经费10%的比例给予配套资金支持。给车马赫、跨境数字创新园2家企业给与15万的配套资金奖励。为了营利性服务业高质量发展，打造火炬创业园。开展创新能力培训5次调研活动，对发达地省市产业园区进行考察，学习借鉴先进地区学习先进单位好的经验和做法，赴“一区三园”开展创新能力专题能力调研活动4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年度指标值</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实际完成值</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得分</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年度绩效指标完成情况</w:t>
            </w:r>
          </w:p>
        </w:tc>
        <w:tc>
          <w:tcPr>
            <w:tcW w:w="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奖补自治州重点研究与技术专项项目资金企业个数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&gt;=2家</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2"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配套扶持资金发放完成率</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2"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赴内地发达地区开展创新能力调研活动</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&gt;4次</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5次</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1.偏差原因：根据实际业务需要，为自贸区建设进行考察;2.改进措施：下一年度精准预估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2"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局里干部参加创新能力培训次数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&gt;2次</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2次</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2"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赴一区三园开展调研次数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&gt;3次</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4次</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1.偏差原因：收到上级通知，对高企进行三方核查；2.改进措施：下一年度精准预估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资金拨付的及时性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奖补自治州重点研究与技术专项项目资金企业金额</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&lt;=15万元</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15万元</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打造火炬创新创业产业园投入、赴一区三园调研、赴发达地区开展创新能力调研、开展培训所需资金</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&lt;=15万元</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10.4万元</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6.9</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单位人手不够，每次派出去调研的人少，有些项目还没得到公示，不能申请资金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622"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144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1830"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提高企业的科技创新能力</w:t>
            </w:r>
          </w:p>
        </w:tc>
        <w:tc>
          <w:tcPr>
            <w:tcW w:w="72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不断提升</w:t>
            </w:r>
          </w:p>
        </w:tc>
        <w:tc>
          <w:tcPr>
            <w:tcW w:w="118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不断提升</w:t>
            </w:r>
          </w:p>
        </w:tc>
        <w:tc>
          <w:tcPr>
            <w:tcW w:w="81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82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扶持企业满意度</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扶持企业满意度</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8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95.4分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bl>
    <w:p>
      <w:pPr>
        <w:pStyle w:val="2"/>
        <w:rPr>
          <w:color w:val="auto"/>
          <w:highlight w:val="none"/>
        </w:rPr>
      </w:pPr>
    </w:p>
    <w:p>
      <w:pPr>
        <w:rPr>
          <w:color w:val="auto"/>
          <w:highlight w:val="none"/>
        </w:rPr>
      </w:pPr>
    </w:p>
    <w:p>
      <w:pPr>
        <w:rPr>
          <w:color w:val="auto"/>
          <w:highlight w:val="none"/>
        </w:rPr>
      </w:pPr>
    </w:p>
    <w:p>
      <w:pPr>
        <w:pStyle w:val="2"/>
        <w:jc w:val="both"/>
        <w:rPr>
          <w:color w:val="auto"/>
          <w:highlight w:val="none"/>
        </w:rPr>
      </w:pPr>
    </w:p>
    <w:p>
      <w:pPr>
        <w:spacing w:line="600" w:lineRule="exact"/>
        <w:rPr>
          <w:rFonts w:hint="eastAsia" w:ascii="黑体" w:hAnsi="黑体" w:eastAsia="黑体" w:cs="黑体"/>
          <w:bCs/>
          <w:color w:val="auto"/>
          <w:sz w:val="32"/>
          <w:szCs w:val="32"/>
          <w:highlight w:val="none"/>
        </w:rPr>
        <w:sectPr>
          <w:headerReference r:id="rId3" w:type="default"/>
          <w:pgSz w:w="11906" w:h="16838"/>
          <w:pgMar w:top="1928" w:right="1531" w:bottom="1701" w:left="1531" w:header="737" w:footer="851" w:gutter="0"/>
          <w:cols w:space="720" w:num="1"/>
          <w:docGrid w:type="lines" w:linePitch="408" w:charSpace="0"/>
        </w:sectPr>
      </w:pPr>
    </w:p>
    <w:p>
      <w:pPr>
        <w:pStyle w:val="20"/>
        <w:jc w:val="both"/>
        <w:rPr>
          <w:rFonts w:hint="eastAsia"/>
          <w:b/>
          <w:bCs/>
          <w:color w:val="auto"/>
          <w:sz w:val="28"/>
          <w:szCs w:val="40"/>
          <w:highlight w:val="none"/>
        </w:rPr>
      </w:pPr>
      <w:bookmarkStart w:id="20" w:name="_Toc26499_WPSOffice_Level2"/>
      <w:bookmarkStart w:id="21" w:name="_Toc30064_WPSOffice_Level1"/>
      <w:r>
        <w:rPr>
          <w:rFonts w:hint="eastAsia"/>
          <w:b/>
          <w:bCs/>
          <w:color w:val="auto"/>
          <w:sz w:val="28"/>
          <w:szCs w:val="40"/>
          <w:highlight w:val="none"/>
          <w:lang w:val="en-US" w:eastAsia="zh-CN"/>
        </w:rPr>
        <w:t>2022年自治区创新环境（人才、基地）建设专项-科技创新基地建设</w:t>
      </w:r>
      <w:r>
        <w:rPr>
          <w:rFonts w:hint="eastAsia"/>
          <w:b/>
          <w:bCs/>
          <w:color w:val="auto"/>
          <w:sz w:val="28"/>
          <w:szCs w:val="40"/>
          <w:highlight w:val="none"/>
        </w:rPr>
        <w:t>项目绩效评价指标体系及综合评分表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764"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5198"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36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r>
              <w:rPr>
                <w:color w:val="auto"/>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r>
              <w:rPr>
                <w:color w:val="auto"/>
                <w:kern w:val="0"/>
                <w:sz w:val="22"/>
                <w:szCs w:val="22"/>
                <w:highlight w:val="none"/>
              </w:rPr>
              <w:t>过程</w:t>
            </w:r>
          </w:p>
          <w:p>
            <w:pPr>
              <w:widowControl/>
              <w:spacing w:line="0" w:lineRule="atLeast"/>
              <w:jc w:val="center"/>
              <w:rPr>
                <w:color w:val="auto"/>
                <w:kern w:val="0"/>
                <w:sz w:val="22"/>
                <w:szCs w:val="22"/>
                <w:highlight w:val="none"/>
              </w:rPr>
            </w:pPr>
            <w:r>
              <w:rPr>
                <w:color w:val="auto"/>
                <w:kern w:val="0"/>
                <w:sz w:val="22"/>
                <w:szCs w:val="22"/>
                <w:highlight w:val="none"/>
              </w:rPr>
              <w:t>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3.39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2353"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bl>
    <w:p>
      <w:pPr>
        <w:rPr>
          <w:color w:val="auto"/>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4733B54"/>
    <w:rsid w:val="05253FFE"/>
    <w:rsid w:val="0F2A6BF7"/>
    <w:rsid w:val="109627EE"/>
    <w:rsid w:val="17136327"/>
    <w:rsid w:val="181871E2"/>
    <w:rsid w:val="19166846"/>
    <w:rsid w:val="20E92B23"/>
    <w:rsid w:val="22AC2218"/>
    <w:rsid w:val="2729052F"/>
    <w:rsid w:val="28C14634"/>
    <w:rsid w:val="2EAB4E72"/>
    <w:rsid w:val="2EC724D4"/>
    <w:rsid w:val="2EE30257"/>
    <w:rsid w:val="34451892"/>
    <w:rsid w:val="34C70D7E"/>
    <w:rsid w:val="34DA27CE"/>
    <w:rsid w:val="36411DC5"/>
    <w:rsid w:val="36B72533"/>
    <w:rsid w:val="3DFC1BE1"/>
    <w:rsid w:val="4057649F"/>
    <w:rsid w:val="450B6AE4"/>
    <w:rsid w:val="470A542B"/>
    <w:rsid w:val="54873A1A"/>
    <w:rsid w:val="56796849"/>
    <w:rsid w:val="568F383B"/>
    <w:rsid w:val="59473E76"/>
    <w:rsid w:val="5B0B032C"/>
    <w:rsid w:val="5D555EEF"/>
    <w:rsid w:val="5DA817DD"/>
    <w:rsid w:val="5DA95371"/>
    <w:rsid w:val="67A32996"/>
    <w:rsid w:val="686F7714"/>
    <w:rsid w:val="68956080"/>
    <w:rsid w:val="6A862BA8"/>
    <w:rsid w:val="6C833E13"/>
    <w:rsid w:val="6DFC1C65"/>
    <w:rsid w:val="70975A31"/>
    <w:rsid w:val="71BD0DBC"/>
    <w:rsid w:val="75FA041F"/>
    <w:rsid w:val="760F49BD"/>
    <w:rsid w:val="76E870A0"/>
    <w:rsid w:val="79BF41BB"/>
    <w:rsid w:val="7AE40DD7"/>
    <w:rsid w:val="7D362CE2"/>
    <w:rsid w:val="7FD771BA"/>
    <w:rsid w:val="7FDC0581"/>
    <w:rsid w:val="7FE10466"/>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5042</Words>
  <Characters>5242</Characters>
  <Lines>37</Lines>
  <Paragraphs>10</Paragraphs>
  <TotalTime>25</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2024-06-11T14:37:53Z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C6E910C74B524D4F8E8852F7BBA380EB</vt:lpwstr>
  </property>
</Properties>
</file>