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2" w:name="_GoBack"/>
      <w:bookmarkEnd w:id="22"/>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2023年职工食堂补助</w:t>
      </w:r>
      <w:r>
        <w:rPr>
          <w:rFonts w:eastAsia="方正小标宋_GBK"/>
          <w:kern w:val="0"/>
          <w:sz w:val="48"/>
          <w:szCs w:val="48"/>
        </w:rPr>
        <w:t>资金项目支出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仿宋_GB2312"/>
          <w:b/>
          <w:bCs/>
          <w:color w:val="000000"/>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2023年职工食堂补助</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霍尔果斯口岸机关服务中心</w:t>
      </w:r>
    </w:p>
    <w:p>
      <w:pPr>
        <w:spacing w:line="560" w:lineRule="exact"/>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霍尔果斯口岸机关服务中心</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祝令钊</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1.项目背景：为保障霍尔果斯市各联合办公楼工作人员饮食条件安全可靠，提供良好的就餐环境，让工作人员全身心投入工作，开展工作，</w:t>
      </w:r>
      <w:r>
        <w:rPr>
          <w:rFonts w:hint="eastAsia" w:cs="Times New Roman"/>
          <w:b w:val="0"/>
          <w:bCs w:val="0"/>
          <w:sz w:val="32"/>
          <w:szCs w:val="32"/>
          <w:lang w:val="en-US" w:eastAsia="zh-CN"/>
        </w:rPr>
        <w:t>更好地为</w:t>
      </w:r>
      <w:r>
        <w:rPr>
          <w:rFonts w:hint="eastAsia" w:ascii="Times New Roman" w:hAnsi="Times New Roman" w:eastAsia="仿宋_GB2312" w:cs="Times New Roman"/>
          <w:b w:val="0"/>
          <w:bCs w:val="0"/>
          <w:sz w:val="32"/>
          <w:szCs w:val="32"/>
          <w:lang w:val="en-US" w:eastAsia="zh-CN"/>
        </w:rPr>
        <w:t>群众服务。霍市党纪字【2019】11号</w:t>
      </w:r>
      <w:r>
        <w:rPr>
          <w:rFonts w:hint="eastAsia" w:cs="Times New Roman"/>
          <w:b w:val="0"/>
          <w:bCs w:val="0"/>
          <w:sz w:val="32"/>
          <w:szCs w:val="32"/>
          <w:lang w:val="en-US" w:eastAsia="zh-CN"/>
        </w:rPr>
        <w:t>。创建健康食堂是加强机关建设的重要手段。机关食堂担负着提供餐饮服务、保障食品安全、促进职工身体健康的重要职责，是机关后勤服务保障的重要窗口，也是机关高效、有序运转的重要保证。长期以来，各部门、各单位的大多数干部职工在工作日期间，都在机关食堂用早午餐，有的晚餐也在机关食堂解决。从这个意义上讲，机关食堂关系到机关干部职工的切身利益，关系到机关工作效率和凝聚力，也关系到机关后勤部门的自身发展。通过开展创建健康食堂活动，提高了中央国家机关各部门、各单位后勤餐饮服务水平，增强了广大干部职工的健康素质。可以说，开展创建健康食堂活动的过程，就是后勤服务保障工作上台阶的过程，就是机关食堂科学发展的过程。</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仿宋_GB2312"/>
          <w:sz w:val="32"/>
          <w:szCs w:val="32"/>
        </w:rPr>
        <w:t>主要内容：</w:t>
      </w:r>
      <w:r>
        <w:rPr>
          <w:rFonts w:hint="eastAsia" w:ascii="Times New Roman" w:hAnsi="Times New Roman" w:eastAsia="仿宋_GB2312" w:cs="Times New Roman"/>
          <w:b w:val="0"/>
          <w:bCs w:val="0"/>
          <w:sz w:val="32"/>
          <w:szCs w:val="32"/>
          <w:lang w:val="en-US" w:eastAsia="zh-CN"/>
        </w:rPr>
        <w:t>2023年职工食堂补助</w:t>
      </w:r>
      <w:r>
        <w:rPr>
          <w:rFonts w:hint="eastAsia"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为保障霍尔果斯市各联合办公楼工作人员饮食条件安全可靠，提供良好的就餐环境，让工作人员全身心投入工作，开展工作，</w:t>
      </w:r>
      <w:r>
        <w:rPr>
          <w:rFonts w:hint="eastAsia" w:cs="Times New Roman"/>
          <w:b w:val="0"/>
          <w:bCs w:val="0"/>
          <w:sz w:val="32"/>
          <w:szCs w:val="32"/>
          <w:lang w:val="en-US" w:eastAsia="zh-CN"/>
        </w:rPr>
        <w:t>更好地为</w:t>
      </w:r>
      <w:r>
        <w:rPr>
          <w:rFonts w:hint="eastAsia" w:ascii="Times New Roman" w:hAnsi="Times New Roman" w:eastAsia="仿宋_GB2312" w:cs="Times New Roman"/>
          <w:b w:val="0"/>
          <w:bCs w:val="0"/>
          <w:sz w:val="32"/>
          <w:szCs w:val="32"/>
          <w:lang w:val="en-US" w:eastAsia="zh-CN"/>
        </w:rPr>
        <w:t>群众服务。</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r>
        <w:rPr>
          <w:rFonts w:hint="eastAsia" w:cs="Times New Roman"/>
          <w:b w:val="0"/>
          <w:bCs w:val="0"/>
          <w:sz w:val="32"/>
          <w:szCs w:val="32"/>
          <w:lang w:val="en-US" w:eastAsia="zh-CN"/>
        </w:rPr>
        <w:t>创建健康食堂是加强机关建设的重要手段。机关食堂担负着提供餐饮服务、保障食品安全、促进职工身体健康的重要职责，是机关后勤服务保障的重要窗口，也是机关高效、有序运转的重要保证。长期以来，各部门、各单位的大多数干部职工在工作日期间，都在机关食堂用早午餐，有的晚餐也在机关食堂解决。</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253.44</w:t>
      </w:r>
      <w:r>
        <w:rPr>
          <w:rFonts w:hint="eastAsia"/>
          <w:color w:val="auto"/>
          <w:sz w:val="32"/>
          <w:szCs w:val="32"/>
        </w:rPr>
        <w:t>万元，全年预算数</w:t>
      </w:r>
      <w:r>
        <w:rPr>
          <w:rFonts w:hint="eastAsia"/>
          <w:color w:val="auto"/>
          <w:sz w:val="32"/>
          <w:szCs w:val="32"/>
          <w:lang w:val="en-US" w:eastAsia="zh-CN"/>
        </w:rPr>
        <w:t>133</w:t>
      </w:r>
      <w:r>
        <w:rPr>
          <w:rFonts w:hint="eastAsia"/>
          <w:color w:val="auto"/>
          <w:sz w:val="32"/>
          <w:szCs w:val="32"/>
        </w:rPr>
        <w:t>万元，实际总投入</w:t>
      </w:r>
      <w:r>
        <w:rPr>
          <w:rFonts w:hint="eastAsia"/>
          <w:color w:val="auto"/>
          <w:sz w:val="32"/>
          <w:szCs w:val="32"/>
          <w:lang w:val="en-US" w:eastAsia="zh-CN"/>
        </w:rPr>
        <w:t>133</w:t>
      </w:r>
      <w:r>
        <w:rPr>
          <w:rFonts w:hint="eastAsia"/>
          <w:color w:val="auto"/>
          <w:sz w:val="32"/>
          <w:szCs w:val="32"/>
        </w:rPr>
        <w:t>万元，该项目资金已全部落实到位</w:t>
      </w:r>
      <w:r>
        <w:rPr>
          <w:rFonts w:hint="eastAsia"/>
          <w:color w:val="auto"/>
          <w:sz w:val="32"/>
          <w:szCs w:val="32"/>
          <w:lang w:val="en-US" w:eastAsia="zh-CN"/>
        </w:rPr>
        <w:t>133</w:t>
      </w:r>
      <w:r>
        <w:rPr>
          <w:rFonts w:hint="eastAsia"/>
          <w:color w:val="auto"/>
          <w:sz w:val="32"/>
          <w:szCs w:val="32"/>
        </w:rPr>
        <w:t>万元，资金来源为</w:t>
      </w:r>
      <w:r>
        <w:rPr>
          <w:rFonts w:hint="eastAsia"/>
          <w:color w:val="auto"/>
          <w:sz w:val="32"/>
          <w:szCs w:val="32"/>
          <w:lang w:val="en-US" w:eastAsia="zh-CN"/>
        </w:rPr>
        <w:t>年初部门预算</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253.44</w:t>
      </w:r>
      <w:r>
        <w:rPr>
          <w:rFonts w:hint="eastAsia"/>
          <w:color w:val="auto"/>
          <w:sz w:val="32"/>
          <w:szCs w:val="32"/>
        </w:rPr>
        <w:t>万元，全年预算数</w:t>
      </w:r>
      <w:r>
        <w:rPr>
          <w:rFonts w:hint="eastAsia"/>
          <w:color w:val="auto"/>
          <w:sz w:val="32"/>
          <w:szCs w:val="32"/>
          <w:lang w:val="en-US" w:eastAsia="zh-CN"/>
        </w:rPr>
        <w:t>133</w:t>
      </w:r>
      <w:r>
        <w:rPr>
          <w:rFonts w:hint="eastAsia"/>
          <w:color w:val="auto"/>
          <w:sz w:val="32"/>
          <w:szCs w:val="32"/>
        </w:rPr>
        <w:t>万元，全年执行数</w:t>
      </w:r>
      <w:r>
        <w:rPr>
          <w:rFonts w:hint="eastAsia"/>
          <w:color w:val="auto"/>
          <w:sz w:val="32"/>
          <w:szCs w:val="32"/>
          <w:lang w:val="en-US" w:eastAsia="zh-CN"/>
        </w:rPr>
        <w:t>133</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eastAsia="zh-CN"/>
        </w:rPr>
        <w:t>职工食堂</w:t>
      </w:r>
      <w:r>
        <w:rPr>
          <w:rFonts w:hint="eastAsia"/>
          <w:color w:val="auto"/>
          <w:sz w:val="32"/>
          <w:szCs w:val="32"/>
        </w:rPr>
        <w:t>。</w:t>
      </w:r>
      <w:bookmarkStart w:id="2"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为保障霍尔果斯市各联合办公楼工作人员饮食条件安全可靠，为他们提供良好的用餐环境，让工作人员能全身心投入工作，开展工作，更好的帮助群众解决他们的问题。机关服务中心设立老市委职工食堂，大约可为600位干部职工解决就餐问题。每周会合理安排食谱，就餐方式人性化，采用全自助模式，员工可根据个人口味进行就餐。掌握每日就餐人数对米面油、蔬菜、水果、副食品等物资按需进行订购，并核算成本费用，做好供货商费用支付工作。</w:t>
      </w:r>
    </w:p>
    <w:p>
      <w:pPr>
        <w:spacing w:line="560" w:lineRule="exact"/>
        <w:rPr>
          <w:rFonts w:hint="eastAsia" w:eastAsia="仿宋_GB2312"/>
          <w:color w:val="FF000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sz w:val="32"/>
          <w:szCs w:val="32"/>
          <w:lang w:val="en-US" w:eastAsia="zh-CN"/>
        </w:rPr>
        <w:t>2023年12月完成任务目</w:t>
      </w:r>
      <w:r>
        <w:rPr>
          <w:rFonts w:hint="eastAsia"/>
          <w:sz w:val="32"/>
          <w:szCs w:val="32"/>
          <w:highlight w:val="none"/>
          <w:lang w:val="en-US" w:eastAsia="zh-CN"/>
        </w:rPr>
        <w:t>标133万</w:t>
      </w:r>
      <w:r>
        <w:rPr>
          <w:rFonts w:hint="eastAsia"/>
          <w:sz w:val="32"/>
          <w:szCs w:val="32"/>
          <w:lang w:val="en-US" w:eastAsia="zh-CN"/>
        </w:rPr>
        <w:t>元。</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0"/>
        </w:numPr>
        <w:spacing w:line="560" w:lineRule="exact"/>
        <w:ind w:firstLine="640" w:firstLineChars="200"/>
        <w:rPr>
          <w:rFonts w:eastAsia="仿宋_GB2312"/>
          <w:sz w:val="32"/>
          <w:szCs w:val="32"/>
        </w:rPr>
      </w:pPr>
      <w:r>
        <w:rPr>
          <w:rFonts w:eastAsia="仿宋_GB2312"/>
          <w:sz w:val="32"/>
          <w:szCs w:val="32"/>
        </w:rPr>
        <w:t>（</w:t>
      </w:r>
      <w:r>
        <w:rPr>
          <w:rFonts w:hint="eastAsia"/>
          <w:sz w:val="32"/>
          <w:szCs w:val="32"/>
          <w:lang w:val="en-US" w:eastAsia="zh-CN"/>
        </w:rPr>
        <w:t>1</w:t>
      </w: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cs="仿宋_GB2312"/>
          <w:sz w:val="32"/>
          <w:szCs w:val="32"/>
          <w:highlight w:val="none"/>
          <w:lang w:eastAsia="zh-CN"/>
        </w:rPr>
        <w:t>2023年职工食堂补助</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sz w:val="32"/>
          <w:szCs w:val="32"/>
        </w:rPr>
        <w:t>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eastAsia="zh-CN"/>
        </w:rPr>
        <w:t>2023年职工食堂补助</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w:t>
      </w:r>
      <w:r>
        <w:rPr>
          <w:rFonts w:hint="eastAsia" w:ascii="Times New Roman" w:hAnsi="Times New Roman" w:eastAsia="楷体_GB2312" w:cs="Times New Roman"/>
          <w:b/>
          <w:bCs/>
          <w:kern w:val="2"/>
          <w:sz w:val="32"/>
          <w:szCs w:val="32"/>
          <w:lang w:val="en-US" w:eastAsia="zh-CN" w:bidi="ar-SA"/>
        </w:rPr>
        <w:t>见表1）、评价方法、评价标准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ind w:firstLine="640" w:firstLineChars="200"/>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bookmarkStart w:id="6" w:name="_Toc68703833"/>
    </w:p>
    <w:p>
      <w:pPr>
        <w:spacing w:line="560" w:lineRule="exact"/>
        <w:ind w:firstLine="640"/>
        <w:rPr>
          <w:rFonts w:hint="eastAsia"/>
          <w:bCs/>
          <w:color w:val="FF0000"/>
          <w:sz w:val="32"/>
          <w:szCs w:val="32"/>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numPr>
          <w:ilvl w:val="0"/>
          <w:numId w:val="2"/>
        </w:numPr>
        <w:kinsoku/>
        <w:wordWrap/>
        <w:overflowPunct/>
        <w:topLinePunct w:val="0"/>
        <w:autoSpaceDE/>
        <w:autoSpaceDN/>
        <w:bidi w:val="0"/>
        <w:adjustRightInd/>
        <w:snapToGrid/>
        <w:spacing w:line="560" w:lineRule="exact"/>
        <w:ind w:left="320" w:leftChars="0" w:firstLine="0" w:firstLineChars="0"/>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评价结论</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17" w:leftChars="0"/>
        <w:textAlignment w:val="auto"/>
        <w:rPr>
          <w:rFonts w:hint="eastAsia" w:ascii="Times New Roman" w:hAnsi="Times New Roman" w:eastAsia="仿宋_GB2312" w:cs="Times New Roman"/>
          <w:b w:val="0"/>
          <w:bCs w:val="0"/>
          <w:kern w:val="28"/>
          <w:sz w:val="32"/>
          <w:szCs w:val="32"/>
          <w:lang w:val="en-US" w:eastAsia="zh-CN" w:bidi="ar-SA"/>
        </w:rPr>
      </w:pPr>
      <w:r>
        <w:rPr>
          <w:rFonts w:hint="eastAsia"/>
          <w:b w:val="0"/>
          <w:bCs w:val="0"/>
          <w:lang w:eastAsia="zh-CN"/>
        </w:rPr>
        <w:t>　　</w:t>
      </w: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 100分，属于“优（良/中/差）”。其中，项目决策类指标权重为20分，得分为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w:t>
      </w:r>
      <w:r>
        <w:rPr>
          <w:rFonts w:hint="eastAsia"/>
          <w:b w:val="0"/>
          <w:bCs w:val="0"/>
          <w:color w:val="auto"/>
          <w:sz w:val="32"/>
          <w:szCs w:val="32"/>
          <w:lang w:val="en-US" w:eastAsia="zh-CN"/>
        </w:rPr>
        <w:t>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133</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133</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w:t>
      </w:r>
      <w:r>
        <w:rPr>
          <w:rFonts w:hint="eastAsia" w:ascii="仿宋_GB2312" w:hAnsi="仿宋_GB2312" w:eastAsia="仿宋_GB2312" w:cs="仿宋_GB2312"/>
          <w:sz w:val="32"/>
          <w:szCs w:val="32"/>
          <w:highlight w:val="none"/>
          <w:lang w:val="en-US" w:eastAsia="zh-CN"/>
        </w:rPr>
        <w:t>本四方面的内容，由</w:t>
      </w:r>
      <w:r>
        <w:rPr>
          <w:rFonts w:hint="eastAsia" w:ascii="仿宋_GB2312" w:hAnsi="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指标1：食堂就餐人数，指标值</w:t>
      </w:r>
      <w:r>
        <w:rPr>
          <w:rFonts w:hint="eastAsia"/>
          <w:color w:val="auto"/>
          <w:sz w:val="32"/>
          <w:szCs w:val="32"/>
          <w:lang w:eastAsia="zh-CN"/>
        </w:rPr>
        <w:t>：</w:t>
      </w:r>
      <w:r>
        <w:rPr>
          <w:rFonts w:hint="eastAsia"/>
          <w:color w:val="auto"/>
          <w:sz w:val="32"/>
          <w:szCs w:val="32"/>
        </w:rPr>
        <w:t>&gt;=</w:t>
      </w:r>
      <w:r>
        <w:rPr>
          <w:rFonts w:hint="eastAsia"/>
          <w:color w:val="auto"/>
          <w:sz w:val="32"/>
          <w:szCs w:val="32"/>
          <w:lang w:val="en-US" w:eastAsia="zh-CN"/>
        </w:rPr>
        <w:t>600人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622人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指标2：食堂就餐月数，指标值：=12</w:t>
      </w:r>
      <w:r>
        <w:rPr>
          <w:rFonts w:hint="eastAsia"/>
          <w:color w:val="auto"/>
          <w:sz w:val="32"/>
          <w:szCs w:val="32"/>
          <w:lang w:eastAsia="zh-CN"/>
        </w:rPr>
        <w:t>月</w:t>
      </w:r>
      <w:r>
        <w:rPr>
          <w:rFonts w:hint="eastAsia"/>
          <w:color w:val="auto"/>
          <w:sz w:val="32"/>
          <w:szCs w:val="32"/>
        </w:rPr>
        <w:t>，实际完成值</w:t>
      </w:r>
      <w:r>
        <w:rPr>
          <w:rFonts w:hint="eastAsia"/>
          <w:color w:val="auto"/>
          <w:sz w:val="32"/>
          <w:szCs w:val="32"/>
          <w:lang w:eastAsia="zh-CN"/>
        </w:rPr>
        <w:t>：12月</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：开展食堂专项检查，指标值：&gt;=1</w:t>
      </w:r>
      <w:r>
        <w:rPr>
          <w:rFonts w:hint="eastAsia"/>
          <w:color w:val="auto"/>
          <w:sz w:val="32"/>
          <w:szCs w:val="32"/>
          <w:lang w:val="en-US" w:eastAsia="zh-CN"/>
        </w:rPr>
        <w:t>0次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指标1：重大食品安全事故发生率，指标值：</w:t>
      </w:r>
      <w:r>
        <w:rPr>
          <w:rFonts w:hint="eastAsia"/>
          <w:color w:val="auto"/>
          <w:sz w:val="32"/>
          <w:szCs w:val="32"/>
          <w:lang w:val="en-US" w:eastAsia="zh-CN"/>
        </w:rPr>
        <w:t>&lt;</w:t>
      </w:r>
      <w:r>
        <w:rPr>
          <w:rFonts w:hint="eastAsia"/>
          <w:color w:val="auto"/>
          <w:sz w:val="32"/>
          <w:szCs w:val="32"/>
        </w:rPr>
        <w:t>=</w:t>
      </w:r>
      <w:r>
        <w:rPr>
          <w:rFonts w:hint="eastAsia"/>
          <w:color w:val="auto"/>
          <w:sz w:val="32"/>
          <w:szCs w:val="32"/>
          <w:lang w:val="en-US" w:eastAsia="zh-CN"/>
        </w:rPr>
        <w:t>1</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cs="仿宋_GB2312"/>
          <w:sz w:val="32"/>
          <w:szCs w:val="32"/>
          <w:highlight w:val="none"/>
          <w:lang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r>
        <w:rPr>
          <w:rFonts w:hint="eastAsia" w:ascii="仿宋_GB2312" w:hAnsi="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color w:val="auto"/>
          <w:sz w:val="32"/>
          <w:szCs w:val="32"/>
        </w:rPr>
        <w:t>指标1</w:t>
      </w:r>
      <w:r>
        <w:rPr>
          <w:rFonts w:hint="eastAsia"/>
          <w:color w:val="auto"/>
          <w:sz w:val="32"/>
          <w:szCs w:val="32"/>
          <w:lang w:eastAsia="zh-CN"/>
        </w:rPr>
        <w:t>：</w:t>
      </w:r>
      <w:r>
        <w:rPr>
          <w:rFonts w:hint="eastAsia" w:ascii="仿宋_GB2312" w:hAnsi="仿宋_GB2312" w:eastAsia="仿宋_GB2312" w:cs="仿宋_GB2312"/>
          <w:sz w:val="32"/>
          <w:szCs w:val="32"/>
          <w:highlight w:val="none"/>
        </w:rPr>
        <w:t>补助支付及时率</w:t>
      </w:r>
      <w:r>
        <w:rPr>
          <w:rFonts w:hint="eastAsia" w:ascii="仿宋_GB2312" w:hAnsi="仿宋_GB2312" w:cs="仿宋_GB2312"/>
          <w:sz w:val="32"/>
          <w:szCs w:val="32"/>
          <w:highlight w:val="none"/>
          <w:lang w:eastAsia="zh-CN"/>
        </w:rPr>
        <w:t>，</w:t>
      </w:r>
      <w:r>
        <w:rPr>
          <w:rFonts w:hint="eastAsia"/>
          <w:color w:val="auto"/>
          <w:sz w:val="32"/>
          <w:szCs w:val="32"/>
        </w:rPr>
        <w:t>指标值：&gt;=9</w:t>
      </w:r>
      <w:r>
        <w:rPr>
          <w:rFonts w:hint="eastAsia"/>
          <w:color w:val="auto"/>
          <w:sz w:val="32"/>
          <w:szCs w:val="32"/>
          <w:lang w:val="en-US" w:eastAsia="zh-CN"/>
        </w:rPr>
        <w:t>5</w:t>
      </w:r>
      <w:r>
        <w:rPr>
          <w:rFonts w:hint="eastAsia"/>
          <w:color w:val="auto"/>
          <w:sz w:val="32"/>
          <w:szCs w:val="32"/>
        </w:rPr>
        <w:t>%</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bookmarkStart w:id="14" w:name="_Toc68703841"/>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color w:val="auto"/>
          <w:sz w:val="32"/>
          <w:szCs w:val="32"/>
        </w:rPr>
        <w:t>指标1：</w:t>
      </w:r>
      <w:r>
        <w:rPr>
          <w:rFonts w:hint="eastAsia" w:ascii="仿宋_GB2312" w:hAnsi="仿宋_GB2312" w:eastAsia="仿宋_GB2312" w:cs="仿宋_GB2312"/>
          <w:sz w:val="32"/>
          <w:szCs w:val="32"/>
          <w:highlight w:val="none"/>
          <w:lang w:val="en-US" w:eastAsia="zh-CN"/>
        </w:rPr>
        <w:t>职工食堂平均供餐成本</w:t>
      </w:r>
      <w:r>
        <w:rPr>
          <w:rFonts w:hint="eastAsia" w:ascii="仿宋_GB2312" w:hAnsi="仿宋_GB2312" w:cs="仿宋_GB2312"/>
          <w:sz w:val="32"/>
          <w:szCs w:val="32"/>
          <w:highlight w:val="none"/>
          <w:lang w:eastAsia="zh-CN"/>
        </w:rPr>
        <w:t>，</w:t>
      </w:r>
      <w:r>
        <w:rPr>
          <w:rFonts w:hint="eastAsia"/>
          <w:color w:val="auto"/>
          <w:sz w:val="32"/>
          <w:szCs w:val="32"/>
        </w:rPr>
        <w:t>指标值&lt;=352元/人/月</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&lt;=352元/人/月</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个三级指标构成，权重</w:t>
      </w:r>
      <w:r>
        <w:rPr>
          <w:rFonts w:hint="eastAsia" w:ascii="仿宋_GB2312" w:hAnsi="仿宋_GB2312" w:eastAsia="仿宋_GB2312" w:cs="仿宋_GB2312"/>
          <w:sz w:val="32"/>
          <w:szCs w:val="32"/>
          <w:highlight w:val="none"/>
          <w:lang w:val="en-US" w:eastAsia="zh-CN"/>
        </w:rPr>
        <w:t>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cs="仿宋_GB2312"/>
          <w:sz w:val="32"/>
          <w:szCs w:val="32"/>
          <w:highlight w:val="none"/>
          <w:lang w:eastAsia="zh-CN"/>
        </w:rPr>
        <w:t>社会</w:t>
      </w:r>
      <w:r>
        <w:rPr>
          <w:rFonts w:hint="eastAsia" w:ascii="仿宋_GB2312" w:hAnsi="仿宋_GB2312" w:eastAsia="仿宋_GB2312" w:cs="仿宋_GB2312"/>
          <w:sz w:val="32"/>
          <w:szCs w:val="32"/>
          <w:highlight w:val="none"/>
        </w:rPr>
        <w:t>效益指标：</w:t>
      </w:r>
    </w:p>
    <w:p>
      <w:pPr>
        <w:shd w:val="clear"/>
        <w:spacing w:line="600" w:lineRule="exact"/>
        <w:ind w:firstLine="640" w:firstLineChars="200"/>
        <w:outlineLvl w:val="0"/>
        <w:rPr>
          <w:rFonts w:hint="eastAsia"/>
          <w:sz w:val="32"/>
          <w:szCs w:val="32"/>
          <w:lang w:val="en-US" w:eastAsia="zh-CN"/>
        </w:rPr>
      </w:pPr>
      <w:r>
        <w:rPr>
          <w:rFonts w:hint="eastAsia" w:ascii="仿宋_GB2312" w:hAnsi="仿宋_GB2312" w:cs="仿宋_GB2312"/>
          <w:sz w:val="32"/>
          <w:szCs w:val="32"/>
          <w:highlight w:val="none"/>
          <w:lang w:eastAsia="zh-CN"/>
        </w:rPr>
        <w:t>指标</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促有效解决干部职工就餐问题</w:t>
      </w:r>
      <w:r>
        <w:rPr>
          <w:rFonts w:hint="eastAsia" w:ascii="仿宋_GB2312" w:hAnsi="仿宋_GB2312" w:cs="仿宋_GB2312"/>
          <w:sz w:val="32"/>
          <w:szCs w:val="32"/>
          <w:highlight w:val="none"/>
          <w:lang w:eastAsia="zh-CN"/>
        </w:rPr>
        <w:t>，指标值：效果显著，实际完成值：效果显著，</w:t>
      </w:r>
      <w:r>
        <w:rPr>
          <w:rFonts w:hint="eastAsia"/>
          <w:sz w:val="32"/>
          <w:szCs w:val="32"/>
        </w:rPr>
        <w:t>指标完成率100%</w:t>
      </w:r>
      <w:r>
        <w:rPr>
          <w:rFonts w:hint="eastAsia"/>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满意度指标：就餐人员满意度</w:t>
      </w:r>
      <w:r>
        <w:rPr>
          <w:rFonts w:hint="eastAsia" w:ascii="仿宋_GB2312" w:hAnsi="仿宋_GB2312" w:cs="仿宋_GB2312"/>
          <w:sz w:val="32"/>
          <w:szCs w:val="32"/>
          <w:highlight w:val="none"/>
          <w:lang w:val="en-US" w:eastAsia="zh-CN"/>
        </w:rPr>
        <w:t>，指标值：&gt;=95%，实际完成值：95%，</w:t>
      </w:r>
      <w:r>
        <w:rPr>
          <w:rFonts w:hint="eastAsia"/>
          <w:sz w:val="32"/>
          <w:szCs w:val="32"/>
        </w:rPr>
        <w:t>指标完成率100%</w:t>
      </w:r>
      <w:r>
        <w:rPr>
          <w:rFonts w:hint="eastAsia"/>
          <w:sz w:val="32"/>
          <w:szCs w:val="32"/>
          <w:lang w:eastAsia="zh-CN"/>
        </w:rPr>
        <w:t>。</w:t>
      </w:r>
      <w:r>
        <w:rPr>
          <w:rFonts w:hint="eastAsia"/>
          <w:sz w:val="32"/>
          <w:szCs w:val="32"/>
          <w:lang w:eastAsia="zh-CN"/>
        </w:rPr>
        <w:tab/>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cs="仿宋_GB2312"/>
          <w:color w:val="auto"/>
          <w:kern w:val="2"/>
          <w:sz w:val="32"/>
          <w:szCs w:val="32"/>
          <w:lang w:val="en-US" w:eastAsia="zh-CN" w:bidi="ar-SA"/>
        </w:rPr>
        <w:t>2023年职工食堂补助</w:t>
      </w:r>
      <w:r>
        <w:rPr>
          <w:rFonts w:hint="eastAsia" w:ascii="仿宋_GB2312" w:hAnsi="仿宋_GB2312" w:eastAsia="仿宋_GB2312" w:cs="仿宋_GB2312"/>
          <w:color w:val="auto"/>
          <w:kern w:val="2"/>
          <w:sz w:val="32"/>
          <w:szCs w:val="32"/>
          <w:lang w:val="en-US" w:eastAsia="zh-CN" w:bidi="ar-SA"/>
        </w:rPr>
        <w:t>项目年初预算</w:t>
      </w:r>
      <w:r>
        <w:rPr>
          <w:rFonts w:hint="eastAsia" w:ascii="仿宋_GB2312" w:hAnsi="仿宋_GB2312" w:cs="仿宋_GB2312"/>
          <w:color w:val="auto"/>
          <w:kern w:val="2"/>
          <w:sz w:val="32"/>
          <w:szCs w:val="32"/>
          <w:lang w:val="en-US" w:eastAsia="zh-CN" w:bidi="ar-SA"/>
        </w:rPr>
        <w:t>253.44</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133</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133</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sz w:val="32"/>
          <w:szCs w:val="32"/>
        </w:rPr>
      </w:pPr>
      <w:bookmarkStart w:id="19" w:name="_Toc68703846"/>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19"/>
    </w:p>
    <w:p>
      <w:pPr>
        <w:pStyle w:val="2"/>
        <w:jc w:val="both"/>
      </w:pPr>
      <w:r>
        <w:rPr>
          <w:rFonts w:hint="eastAsia" w:ascii="仿宋_GB2312" w:hAnsi="仿宋_GB2312" w:eastAsia="仿宋_GB2312" w:cs="仿宋_GB2312"/>
          <w:b w:val="0"/>
          <w:bCs w:val="0"/>
          <w:kern w:val="2"/>
          <w:sz w:val="32"/>
          <w:szCs w:val="32"/>
          <w:highlight w:val="none"/>
          <w:lang w:val="en-US" w:eastAsia="zh-CN" w:bidi="ar-SA"/>
        </w:rPr>
        <w:t>　</w:t>
      </w:r>
      <w:r>
        <w:rPr>
          <w:rFonts w:hint="eastAsia" w:ascii="仿宋_GB2312" w:hAnsi="仿宋_GB2312" w:eastAsia="仿宋_GB2312" w:cs="仿宋_GB2312"/>
          <w:b w:val="0"/>
          <w:bCs w:val="0"/>
          <w:kern w:val="2"/>
          <w:sz w:val="32"/>
          <w:szCs w:val="32"/>
          <w:highlight w:val="none"/>
          <w:lang w:val="en-US" w:eastAsia="zh-Hans" w:bidi="ar-SA"/>
        </w:rPr>
        <w:t>本项目无其他需说明的问题</w:t>
      </w:r>
      <w:r>
        <w:rPr>
          <w:rFonts w:hint="eastAsia" w:ascii="仿宋_GB2312" w:hAnsi="仿宋_GB2312" w:eastAsia="仿宋_GB2312" w:cs="仿宋_GB2312"/>
          <w:b w:val="0"/>
          <w:bCs w:val="0"/>
          <w:kern w:val="2"/>
          <w:sz w:val="32"/>
          <w:szCs w:val="32"/>
          <w:highlight w:val="none"/>
          <w:lang w:val="en-US" w:eastAsia="zh-CN" w:bidi="ar-SA"/>
        </w:rPr>
        <w:t>。</w:t>
      </w:r>
    </w:p>
    <w:tbl>
      <w:tblPr>
        <w:tblStyle w:val="11"/>
        <w:tblW w:w="8834" w:type="dxa"/>
        <w:tblInd w:w="0" w:type="dxa"/>
        <w:tblLayout w:type="fixed"/>
        <w:tblCellMar>
          <w:top w:w="0" w:type="dxa"/>
          <w:left w:w="0" w:type="dxa"/>
          <w:bottom w:w="0" w:type="dxa"/>
          <w:right w:w="0" w:type="dxa"/>
        </w:tblCellMar>
      </w:tblPr>
      <w:tblGrid>
        <w:gridCol w:w="695"/>
        <w:gridCol w:w="531"/>
        <w:gridCol w:w="859"/>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2230"/>
              </w:tabs>
              <w:jc w:val="left"/>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ab/>
            </w:r>
            <w:r>
              <w:rPr>
                <w:rFonts w:hint="eastAsia" w:eastAsia="宋体" w:cs="Times New Roman"/>
                <w:kern w:val="0"/>
                <w:sz w:val="18"/>
                <w:szCs w:val="18"/>
                <w:lang w:eastAsia="zh-CN" w:bidi="ar"/>
              </w:rPr>
              <w:t>2023年职工食堂补助</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霍尔果斯口岸机关服务中心</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374"/>
              </w:tabs>
              <w:jc w:val="left"/>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霍尔果斯口岸机关服务中心</w:t>
            </w: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253.44</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133</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133</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133</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133</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133</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10</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为保障霍尔果斯市各联合办公楼工作人员饮食条件安全可靠，为他们提供良好的用餐环境，让工作人员能全身心投入工作，开展工作，更好的帮助群众解决他们的问题。机关服务中心设立老市委职工食堂，大约可为400位干部职工解决就餐问题。每周会合理安排食谱，就餐方式人性化，采用全自助模式，员工可根据个人口味进行就餐。掌握每日就餐人数对米面油、蔬菜、水果、副食品等物资按需进行订购，并核算成本费用，做好供货商费用支付工作。</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为保障霍尔果斯市各联合办公楼工作人员饮食条件安全可靠，为他们提供良好的用餐环境，让工作人员能全身心投入工作，开展工作，更好的帮助群众解决他们的问题。机关服务中心设立老市委职工食堂，大约可为400位干部职工解决就餐问题。每周会合理安排食谱，就餐方式人性化，采用全自助模式，员工可根据个人口味进行就餐。掌握每日就餐人数对米面油、蔬菜、水果、副食品等物资按需进行订购，并核算成本费用，做好供货商费用支付工作。</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35"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食堂就餐人数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&gt;=600人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622人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75"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食堂就餐月数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Style w:val="21"/>
                <w:lang w:val="en-US" w:eastAsia="zh-CN" w:bidi="ar"/>
              </w:rPr>
              <w:t>‘</w:t>
            </w:r>
            <w:r>
              <w:rPr>
                <w:rStyle w:val="22"/>
                <w:rFonts w:eastAsia="宋体"/>
                <w:lang w:val="en-US" w:eastAsia="zh-CN" w:bidi="ar"/>
              </w:rPr>
              <w:t>=12</w:t>
            </w:r>
            <w:r>
              <w:rPr>
                <w:rStyle w:val="21"/>
                <w:lang w:val="en-US" w:eastAsia="zh-CN" w:bidi="ar"/>
              </w:rPr>
              <w:t>月</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12月</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开展食堂专项检查</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&gt;=10次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1161"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重大食品安全事故发生率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&lt;=1%</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1161"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补助支付及时率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职工食堂平均供餐成本</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&lt;=352元/人/月</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&lt;=352元/人/月</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社会成本指标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生态环境成本指标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效益指标</w:t>
            </w:r>
          </w:p>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有效解决干部职工就餐问题</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效果显著</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效果显著</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经济效益指标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val="en-US" w:eastAsia="zh-CN"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val="en-US" w:eastAsia="zh-CN"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仿宋_GB2312" w:cs="Times New Roman"/>
                <w:kern w:val="2"/>
                <w:sz w:val="30"/>
                <w:szCs w:val="24"/>
                <w:lang w:val="en-US" w:eastAsia="zh-CN" w:bidi="ar-SA"/>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val="en-US" w:eastAsia="zh-CN"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就餐人员满意度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val="en-US" w:eastAsia="zh-CN"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26499_WPSOffice_Level2"/>
      <w:bookmarkStart w:id="21" w:name="_Toc30064_WPSOffice_Level1"/>
      <w:r>
        <w:rPr>
          <w:rFonts w:hint="eastAsia"/>
          <w:b/>
          <w:bCs/>
          <w:sz w:val="28"/>
          <w:szCs w:val="40"/>
          <w:highlight w:val="none"/>
          <w:lang w:val="en-US" w:eastAsia="zh-CN"/>
        </w:rPr>
        <w:t>2023年职工食堂补助</w:t>
      </w:r>
      <w:r>
        <w:rPr>
          <w:rFonts w:hint="eastAsia"/>
          <w:b/>
          <w:bCs/>
          <w:sz w:val="28"/>
          <w:szCs w:val="40"/>
          <w:highlight w:val="none"/>
        </w:rPr>
        <w:t>绩效评价指标体</w:t>
      </w:r>
      <w:r>
        <w:rPr>
          <w:rFonts w:hint="eastAsia"/>
          <w:b/>
          <w:bCs/>
          <w:sz w:val="28"/>
          <w:szCs w:val="40"/>
        </w:rPr>
        <w:t>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A98AEE"/>
    <w:multiLevelType w:val="singleLevel"/>
    <w:tmpl w:val="FBA98AEE"/>
    <w:lvl w:ilvl="0" w:tentative="0">
      <w:start w:val="2"/>
      <w:numFmt w:val="chineseCounting"/>
      <w:suff w:val="nothing"/>
      <w:lvlText w:val="（%1）"/>
      <w:lvlJc w:val="left"/>
      <w:pPr>
        <w:ind w:left="320" w:leftChars="0" w:firstLine="0" w:firstLineChars="0"/>
      </w:pPr>
      <w:rPr>
        <w:rFonts w:hint="eastAsia"/>
      </w:rPr>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MWEzN2QwZjhlNmNkNmJhYWMyNzEzN2M1MTE1MGQifQ=="/>
  </w:docVars>
  <w:rsids>
    <w:rsidRoot w:val="007D49C5"/>
    <w:rsid w:val="000D63FA"/>
    <w:rsid w:val="005B64E8"/>
    <w:rsid w:val="00614288"/>
    <w:rsid w:val="00670592"/>
    <w:rsid w:val="00792CFE"/>
    <w:rsid w:val="007D49C5"/>
    <w:rsid w:val="008175E0"/>
    <w:rsid w:val="008C631D"/>
    <w:rsid w:val="00A114ED"/>
    <w:rsid w:val="00B24331"/>
    <w:rsid w:val="011C112D"/>
    <w:rsid w:val="01583141"/>
    <w:rsid w:val="032140C2"/>
    <w:rsid w:val="05253FFE"/>
    <w:rsid w:val="06A579DE"/>
    <w:rsid w:val="0B7F47C8"/>
    <w:rsid w:val="0F2A6BF7"/>
    <w:rsid w:val="109627EE"/>
    <w:rsid w:val="17136327"/>
    <w:rsid w:val="181871E2"/>
    <w:rsid w:val="19166846"/>
    <w:rsid w:val="20E92B23"/>
    <w:rsid w:val="22AC2218"/>
    <w:rsid w:val="24DB750C"/>
    <w:rsid w:val="2729052F"/>
    <w:rsid w:val="27A24E6D"/>
    <w:rsid w:val="28C14634"/>
    <w:rsid w:val="2EC724D4"/>
    <w:rsid w:val="2EE30257"/>
    <w:rsid w:val="34DA27CE"/>
    <w:rsid w:val="36411DC5"/>
    <w:rsid w:val="36B72533"/>
    <w:rsid w:val="3BB261D3"/>
    <w:rsid w:val="3D4912F4"/>
    <w:rsid w:val="4057649F"/>
    <w:rsid w:val="450B6AE4"/>
    <w:rsid w:val="46845638"/>
    <w:rsid w:val="4EFA76B0"/>
    <w:rsid w:val="54873A1A"/>
    <w:rsid w:val="56796849"/>
    <w:rsid w:val="568F383B"/>
    <w:rsid w:val="56E2080F"/>
    <w:rsid w:val="5D555EEF"/>
    <w:rsid w:val="5DA95371"/>
    <w:rsid w:val="5DD2224E"/>
    <w:rsid w:val="5E213DC3"/>
    <w:rsid w:val="611053EE"/>
    <w:rsid w:val="67696273"/>
    <w:rsid w:val="684D1CB0"/>
    <w:rsid w:val="686F7714"/>
    <w:rsid w:val="6A183733"/>
    <w:rsid w:val="6A862BA8"/>
    <w:rsid w:val="6DFC1C65"/>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font21"/>
    <w:basedOn w:val="12"/>
    <w:qFormat/>
    <w:uiPriority w:val="0"/>
    <w:rPr>
      <w:rFonts w:hint="eastAsia" w:ascii="宋体" w:hAnsi="宋体" w:eastAsia="宋体" w:cs="宋体"/>
      <w:color w:val="333333"/>
      <w:sz w:val="20"/>
      <w:szCs w:val="20"/>
      <w:u w:val="none"/>
    </w:rPr>
  </w:style>
  <w:style w:type="character" w:customStyle="1" w:styleId="22">
    <w:name w:val="font31"/>
    <w:basedOn w:val="12"/>
    <w:qFormat/>
    <w:uiPriority w:val="0"/>
    <w:rPr>
      <w:rFonts w:ascii="Arial" w:hAnsi="Arial" w:cs="Arial"/>
      <w:color w:val="333333"/>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2</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2026-07-02T05:18:57Z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