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b/>
          <w:bCs/>
          <w:sz w:val="48"/>
          <w:szCs w:val="48"/>
        </w:rPr>
      </w:pPr>
      <w:r>
        <w:rPr>
          <w:rFonts w:hint="eastAsia"/>
          <w:b/>
          <w:bCs/>
          <w:sz w:val="48"/>
          <w:szCs w:val="48"/>
          <w:lang w:val="en-US" w:eastAsia="zh-CN"/>
        </w:rPr>
        <w:t>霍尔果斯市高标准农田建设补助</w:t>
      </w:r>
      <w:r>
        <w:rPr>
          <w:b/>
          <w:bCs/>
          <w:sz w:val="48"/>
          <w:szCs w:val="48"/>
        </w:rPr>
        <w:t>资金</w:t>
      </w:r>
    </w:p>
    <w:p>
      <w:pPr>
        <w:jc w:val="center"/>
        <w:rPr>
          <w:b/>
          <w:bCs/>
          <w:sz w:val="48"/>
          <w:szCs w:val="48"/>
        </w:rPr>
      </w:pPr>
      <w:r>
        <w:rPr>
          <w:b/>
          <w:bCs/>
          <w:sz w:val="48"/>
          <w:szCs w:val="48"/>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jc w:val="both"/>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霍尔果斯市高标准农田建设补助</w:t>
      </w:r>
      <w:r>
        <w:rPr>
          <w:rFonts w:hint="eastAsia" w:ascii="宋体" w:hAnsi="宋体" w:eastAsia="宋体" w:cs="仿宋_GB2312"/>
          <w:b/>
          <w:bCs/>
          <w:color w:val="000000"/>
          <w:kern w:val="0"/>
          <w:sz w:val="32"/>
          <w:szCs w:val="32"/>
        </w:rPr>
        <w:t>资金</w:t>
      </w:r>
    </w:p>
    <w:p>
      <w:pPr>
        <w:spacing w:line="560" w:lineRule="exact"/>
        <w:ind w:firstLine="2891" w:firstLineChars="9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rPr>
        <w:t>项目</w:t>
      </w:r>
      <w:r>
        <w:rPr>
          <w:rFonts w:hint="eastAsia" w:ascii="宋体" w:hAnsi="宋体" w:eastAsia="宋体" w:cs="仿宋_GB2312"/>
          <w:b/>
          <w:bCs/>
          <w:color w:val="000000"/>
          <w:kern w:val="0"/>
          <w:sz w:val="32"/>
          <w:szCs w:val="32"/>
          <w:lang w:eastAsia="zh-CN"/>
        </w:rPr>
        <w:t>　　　　　</w:t>
      </w:r>
    </w:p>
    <w:p>
      <w:pPr>
        <w:spacing w:line="560" w:lineRule="exact"/>
        <w:ind w:firstLine="1285" w:firstLineChars="4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霍尔果斯市农业农村局</w:t>
      </w:r>
    </w:p>
    <w:p>
      <w:pPr>
        <w:spacing w:line="560" w:lineRule="exact"/>
        <w:ind w:firstLine="1285" w:firstLineChars="400"/>
        <w:jc w:val="both"/>
        <w:rPr>
          <w:rFonts w:hint="default"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w:t>
      </w:r>
      <w:r>
        <w:rPr>
          <w:rFonts w:hint="eastAsia" w:ascii="宋体" w:hAnsi="宋体" w:eastAsia="宋体" w:cs="仿宋_GB2312"/>
          <w:b/>
          <w:bCs/>
          <w:color w:val="000000"/>
          <w:kern w:val="0"/>
          <w:sz w:val="32"/>
          <w:szCs w:val="32"/>
          <w:lang w:val="en-US" w:eastAsia="zh-CN"/>
        </w:rPr>
        <w:t>霍尔果斯市农业农村局　　　　　　　</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赵玉林</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16</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ind w:firstLine="640" w:firstLineChars="200"/>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val="en-US" w:eastAsia="zh-CN"/>
        </w:rPr>
        <w:t>一、</w:t>
      </w:r>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b/>
          <w:bCs/>
          <w:lang w:eastAsia="zh-CN"/>
        </w:rPr>
      </w:pPr>
      <w:r>
        <w:rPr>
          <w:rFonts w:hint="default" w:ascii="Times New Roman" w:hAnsi="Times New Roman" w:eastAsia="方正仿宋简体" w:cs="Times New Roman"/>
          <w:b/>
          <w:bCs/>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eastAsia" w:ascii="方正仿宋简体" w:hAnsi="方正仿宋简体" w:eastAsia="方正仿宋简体" w:cs="方正仿宋简体"/>
          <w:sz w:val="32"/>
          <w:szCs w:val="32"/>
          <w:lang w:val="en-US" w:eastAsia="zh-CN"/>
        </w:rPr>
        <w:t>霍尔果斯市以提升粮食产能为首要目标，深入实施"藏粮于地、藏粮于技"战略，坚决扛稳粮食安全政治责任，将高标准农田建设作为巩固提升粮食产能的根本举措强力推进。坚持建管并重，健全管护机制，强化跟踪问效，不断巩固高标准农田项目建设成果，有效确保了已建成的高标准农田长久持续发挥效益。</w:t>
      </w:r>
      <w:r>
        <w:rPr>
          <w:rFonts w:hint="eastAsia" w:ascii="方正仿宋简体" w:hAnsi="方正仿宋简体" w:eastAsia="方正仿宋简体" w:cs="方正仿宋简体"/>
          <w:color w:val="000000"/>
          <w:kern w:val="0"/>
          <w:sz w:val="32"/>
          <w:szCs w:val="32"/>
          <w:lang w:val="en-US" w:eastAsia="zh-CN" w:bidi="ar"/>
        </w:rPr>
        <w:t>为提高全区粮食产能、增加群众收入提供有力保障。</w:t>
      </w:r>
      <w:r>
        <w:rPr>
          <w:rFonts w:hint="default" w:ascii="Times New Roman" w:hAnsi="Times New Roman" w:eastAsia="方正仿宋简体" w:cs="Times New Roman"/>
          <w:color w:val="auto"/>
          <w:sz w:val="32"/>
          <w:szCs w:val="32"/>
        </w:rPr>
        <w:t>本项目依据《中共中央国务院关于全面实施预算绩效管理的意见》（中发〔2018〕34号）、《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简体" w:cs="Times New Roman"/>
          <w:b/>
          <w:bCs/>
          <w:color w:val="auto"/>
          <w:sz w:val="32"/>
          <w:szCs w:val="32"/>
          <w:lang w:eastAsia="zh-CN"/>
        </w:rPr>
      </w:pPr>
      <w:r>
        <w:rPr>
          <w:rFonts w:hint="eastAsia" w:ascii="Times New Roman" w:hAnsi="Times New Roman" w:eastAsia="方正仿宋简体" w:cs="Times New Roman"/>
          <w:b/>
          <w:bCs/>
          <w:color w:val="auto"/>
          <w:sz w:val="32"/>
          <w:szCs w:val="32"/>
          <w:lang w:eastAsia="zh-CN"/>
        </w:rPr>
        <w:t>2</w:t>
      </w:r>
      <w:r>
        <w:rPr>
          <w:rFonts w:hint="eastAsia" w:ascii="Times New Roman" w:hAnsi="Times New Roman" w:eastAsia="方正仿宋简体" w:cs="Times New Roman"/>
          <w:b/>
          <w:bCs/>
          <w:color w:val="auto"/>
          <w:sz w:val="32"/>
          <w:szCs w:val="32"/>
          <w:lang w:val="en-US" w:eastAsia="zh-CN"/>
        </w:rPr>
        <w:t>.</w:t>
      </w:r>
      <w:r>
        <w:rPr>
          <w:rFonts w:hint="eastAsia" w:ascii="Times New Roman" w:hAnsi="Times New Roman" w:eastAsia="方正仿宋简体" w:cs="Times New Roman"/>
          <w:b/>
          <w:bCs/>
          <w:color w:val="auto"/>
          <w:sz w:val="32"/>
          <w:szCs w:val="32"/>
          <w:lang w:eastAsia="zh-CN"/>
        </w:rPr>
        <w:t>主要内容及实施情况</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rPr>
        <w:t>主要内容：</w:t>
      </w:r>
      <w:r>
        <w:rPr>
          <w:rFonts w:hint="eastAsia" w:ascii="Times New Roman" w:hAnsi="Times New Roman" w:eastAsia="方正仿宋简体" w:cs="Times New Roman"/>
          <w:color w:val="auto"/>
          <w:sz w:val="32"/>
          <w:szCs w:val="32"/>
          <w:lang w:val="en-US" w:eastAsia="zh-CN"/>
        </w:rPr>
        <w:t>上级下达</w:t>
      </w:r>
      <w:r>
        <w:rPr>
          <w:rFonts w:hint="eastAsia" w:ascii="Times New Roman" w:hAnsi="Times New Roman" w:eastAsia="方正仿宋简体" w:cs="Times New Roman"/>
          <w:color w:val="auto"/>
          <w:sz w:val="32"/>
          <w:szCs w:val="32"/>
        </w:rPr>
        <w:t>2023年</w:t>
      </w:r>
      <w:r>
        <w:rPr>
          <w:rFonts w:hint="eastAsia" w:ascii="Times New Roman" w:hAnsi="Times New Roman" w:eastAsia="方正仿宋简体" w:cs="Times New Roman"/>
          <w:color w:val="auto"/>
          <w:sz w:val="32"/>
          <w:szCs w:val="32"/>
          <w:lang w:val="en-US" w:eastAsia="zh-CN"/>
        </w:rPr>
        <w:t>霍尔果斯市</w:t>
      </w:r>
      <w:r>
        <w:rPr>
          <w:rFonts w:hint="eastAsia" w:ascii="Times New Roman" w:hAnsi="Times New Roman" w:eastAsia="方正仿宋简体" w:cs="Times New Roman"/>
          <w:color w:val="auto"/>
          <w:sz w:val="32"/>
          <w:szCs w:val="32"/>
        </w:rPr>
        <w:t>高标准农田建设任务3.43万亩，其中：新建1.8万亩、改造提升1.63万亩。项目共到位补助资金5117 万元。</w:t>
      </w:r>
      <w:r>
        <w:rPr>
          <w:rFonts w:hint="eastAsia" w:ascii="Times New Roman" w:hAnsi="Times New Roman" w:eastAsia="方正仿宋简体" w:cs="Times New Roman"/>
          <w:color w:val="auto"/>
          <w:sz w:val="32"/>
          <w:szCs w:val="32"/>
          <w:lang w:val="en-US" w:eastAsia="zh-CN"/>
        </w:rPr>
        <w:t>根据《关于对伊犁哈萨克自治州2023年度霍尔果斯市伊车嘎善乡1.8万亩高标准农田建设（高效节水）项目实施方案的批复》（伊州农办字〔2022〕112号）文件要求实施2023年度霍尔果斯市伊车嘎善乡1.8万亩高标准农田建设（高效节水）项目，总投资3119.25万元；根据《关于对伊犁哈萨克自治州2023年度霍尔果斯市伊车嘎善乡、莫乎尔片区改造提升1.6万亩高标准农田（高效节水）项目实施方案的批复》（伊州农办函〔2023〕</w:t>
      </w:r>
      <w:r>
        <w:rPr>
          <w:rFonts w:hint="eastAsia" w:ascii="仿宋_GB2312"/>
          <w:sz w:val="32"/>
          <w:szCs w:val="32"/>
          <w:lang w:val="en-US" w:eastAsia="zh-CN"/>
        </w:rPr>
        <w:t>11号）</w:t>
      </w:r>
      <w:r>
        <w:rPr>
          <w:rFonts w:hint="eastAsia" w:ascii="Times New Roman" w:hAnsi="Times New Roman" w:eastAsia="方正仿宋简体" w:cs="Times New Roman"/>
          <w:color w:val="auto"/>
          <w:sz w:val="32"/>
          <w:szCs w:val="32"/>
          <w:lang w:val="en-US" w:eastAsia="zh-CN"/>
        </w:rPr>
        <w:t>文件要求实施2023年度霍尔果斯市伊车嘎善乡、莫乎尔片区改造提升1.63万亩高标准农田（高效节水）项目，总投资3119.25万元；根据《关于对伊犁哈萨克自治州2023年度霍尔果斯市高标准农田建设项目新增资金补充设计文件的批复》（伊州农办函〔2023〕23 号）文件要求实施2023年度霍尔果斯市高标准农田建设项目，总投资471.62万元。</w:t>
      </w:r>
    </w:p>
    <w:p>
      <w:pPr>
        <w:spacing w:line="560" w:lineRule="exact"/>
        <w:ind w:firstLine="643" w:firstLineChars="200"/>
        <w:rPr>
          <w:rFonts w:hint="eastAsia" w:ascii="Times New Roman" w:hAnsi="Times New Roman" w:eastAsia="方正仿宋简体" w:cs="Times New Roman"/>
          <w:color w:val="auto"/>
          <w:sz w:val="32"/>
          <w:szCs w:val="32"/>
          <w:lang w:val="en-US" w:eastAsia="zh-CN"/>
        </w:rPr>
      </w:pPr>
      <w:r>
        <w:rPr>
          <w:rFonts w:hint="eastAsia" w:ascii="仿宋_GB2312"/>
          <w:b/>
          <w:bCs/>
          <w:sz w:val="32"/>
          <w:szCs w:val="32"/>
        </w:rPr>
        <w:t>实施情况：</w:t>
      </w:r>
      <w:r>
        <w:rPr>
          <w:rFonts w:hint="eastAsia" w:ascii="Times New Roman" w:hAnsi="Times New Roman" w:eastAsia="方正仿宋简体" w:cs="Times New Roman"/>
          <w:color w:val="auto"/>
          <w:sz w:val="32"/>
          <w:szCs w:val="32"/>
          <w:lang w:val="en-US" w:eastAsia="zh-CN"/>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2023年度霍尔果斯市伊车嘎善乡1.8万亩高标准农田建设（高效节水）项目，于2023年2月18日完成招投标并开工建设，于2023年8月17日完工并通过验收；2023年度霍尔果斯市伊车嘎善乡、莫乎尔片区改造提升1.63万亩高标准农田（高效节水）项目，于2023年8月29日完成招投标并开工建设，于2023年11月30日完工并通过验收；2023年度霍尔果斯市高标准农田建设项目，于2023年11月18日完成招投标并开工建设，于2023年12月18日完工并通过验收。</w:t>
      </w:r>
    </w:p>
    <w:p>
      <w:pPr>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cs="Times New Roman"/>
          <w:b/>
          <w:bCs/>
          <w:sz w:val="32"/>
          <w:szCs w:val="32"/>
          <w:lang w:eastAsia="zh-CN"/>
        </w:rPr>
      </w:pPr>
      <w:r>
        <w:rPr>
          <w:rFonts w:hint="eastAsia" w:ascii="Times New Roman" w:hAnsi="Times New Roman" w:cs="Times New Roman"/>
          <w:b/>
          <w:bCs/>
          <w:sz w:val="32"/>
          <w:szCs w:val="32"/>
          <w:lang w:eastAsia="zh-CN"/>
        </w:rPr>
        <w:t>3</w:t>
      </w:r>
      <w:r>
        <w:rPr>
          <w:rFonts w:hint="eastAsia" w:ascii="Times New Roman" w:hAnsi="Times New Roman" w:cs="Times New Roman"/>
          <w:b/>
          <w:bCs/>
          <w:sz w:val="32"/>
          <w:szCs w:val="32"/>
          <w:lang w:val="en-US" w:eastAsia="zh-CN"/>
        </w:rPr>
        <w:t>.</w:t>
      </w:r>
      <w:r>
        <w:rPr>
          <w:rFonts w:hint="eastAsia" w:ascii="Times New Roman" w:hAnsi="Times New Roman" w:cs="Times New Roman"/>
          <w:b/>
          <w:bCs/>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color w:val="auto"/>
          <w:sz w:val="32"/>
          <w:szCs w:val="32"/>
          <w:lang w:val="en-US" w:eastAsia="zh-CN"/>
        </w:rPr>
      </w:pPr>
      <w:r>
        <w:rPr>
          <w:rFonts w:hint="eastAsia"/>
          <w:b/>
          <w:bCs/>
          <w:color w:val="auto"/>
          <w:sz w:val="32"/>
          <w:szCs w:val="32"/>
        </w:rPr>
        <w:t>资金投入情况：</w:t>
      </w:r>
      <w:r>
        <w:rPr>
          <w:rFonts w:hint="eastAsia" w:ascii="Times New Roman" w:hAnsi="Times New Roman" w:eastAsia="方正仿宋简体" w:cs="Times New Roman"/>
          <w:color w:val="auto"/>
          <w:sz w:val="32"/>
          <w:szCs w:val="32"/>
          <w:lang w:val="en-US" w:eastAsia="zh-CN"/>
        </w:rPr>
        <w:t>该项目年初预算数</w:t>
      </w:r>
      <w:r>
        <w:rPr>
          <w:rFonts w:hint="eastAsia" w:eastAsia="方正仿宋简体" w:cs="Times New Roman"/>
          <w:color w:val="auto"/>
          <w:sz w:val="32"/>
          <w:szCs w:val="32"/>
          <w:lang w:val="en-US" w:eastAsia="zh-CN"/>
        </w:rPr>
        <w:t>619</w:t>
      </w:r>
      <w:r>
        <w:rPr>
          <w:rFonts w:hint="eastAsia" w:ascii="Times New Roman" w:hAnsi="Times New Roman" w:eastAsia="方正仿宋简体" w:cs="Times New Roman"/>
          <w:color w:val="auto"/>
          <w:sz w:val="32"/>
          <w:szCs w:val="32"/>
          <w:lang w:val="en-US" w:eastAsia="zh-CN"/>
        </w:rPr>
        <w:t>万元，全年预算数5117万元，实际总投入5117万元，该项目资金已全部落实到位，资金来源为《</w:t>
      </w:r>
      <w:r>
        <w:rPr>
          <w:rFonts w:hint="default" w:ascii="Times New Roman" w:hAnsi="Times New Roman" w:eastAsia="方正仿宋简体" w:cs="Times New Roman"/>
          <w:color w:val="auto"/>
          <w:sz w:val="32"/>
          <w:szCs w:val="32"/>
          <w:lang w:val="en-US" w:eastAsia="zh-CN"/>
        </w:rPr>
        <w:t>关于提前下达2023年中央农田建设补助资金预算的通知</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lang w:val="en-US" w:eastAsia="zh-CN"/>
        </w:rPr>
        <w:t>伊州财农〔2022〕64号</w:t>
      </w:r>
      <w:r>
        <w:rPr>
          <w:rFonts w:hint="eastAsia" w:ascii="Times New Roman" w:hAnsi="Times New Roman" w:eastAsia="方正仿宋简体" w:cs="Times New Roman"/>
          <w:color w:val="auto"/>
          <w:sz w:val="32"/>
          <w:szCs w:val="32"/>
          <w:lang w:val="en-US" w:eastAsia="zh-CN"/>
        </w:rPr>
        <w:t>）下达资金619万元；《关于下达2023年中央耕地建设与利用资金的通知》（伊州财农</w:t>
      </w:r>
      <w:r>
        <w:rPr>
          <w:rFonts w:hint="default" w:ascii="Times New Roman" w:hAnsi="Times New Roman" w:eastAsia="方正仿宋简体" w:cs="Times New Roman"/>
          <w:color w:val="auto"/>
          <w:sz w:val="32"/>
          <w:szCs w:val="32"/>
          <w:lang w:val="en-US" w:eastAsia="zh-CN"/>
        </w:rPr>
        <w:t>〔</w:t>
      </w:r>
      <w:r>
        <w:rPr>
          <w:rFonts w:hint="eastAsia" w:ascii="Times New Roman" w:hAnsi="Times New Roman" w:eastAsia="方正仿宋简体" w:cs="Times New Roman"/>
          <w:color w:val="auto"/>
          <w:sz w:val="32"/>
          <w:szCs w:val="32"/>
          <w:lang w:val="en-US" w:eastAsia="zh-CN"/>
        </w:rPr>
        <w:t>2023</w:t>
      </w:r>
      <w:r>
        <w:rPr>
          <w:rFonts w:hint="default" w:ascii="Times New Roman" w:hAnsi="Times New Roman" w:eastAsia="方正仿宋简体" w:cs="Times New Roman"/>
          <w:color w:val="auto"/>
          <w:sz w:val="32"/>
          <w:szCs w:val="32"/>
          <w:lang w:val="en-US" w:eastAsia="zh-CN"/>
        </w:rPr>
        <w:t>〕</w:t>
      </w:r>
      <w:r>
        <w:rPr>
          <w:rFonts w:hint="eastAsia" w:ascii="Times New Roman" w:hAnsi="Times New Roman" w:eastAsia="方正仿宋简体" w:cs="Times New Roman"/>
          <w:color w:val="auto"/>
          <w:sz w:val="32"/>
          <w:szCs w:val="32"/>
          <w:lang w:val="en-US" w:eastAsia="zh-CN"/>
        </w:rPr>
        <w:t>10号）下达4210万元；《关于提前下达2023年中央农田建设补助资金预算的通知 》（伊州财农〔2022〕71号）下达288万元。</w:t>
      </w:r>
    </w:p>
    <w:p>
      <w:pPr>
        <w:ind w:firstLine="643" w:firstLineChars="200"/>
        <w:rPr>
          <w:rFonts w:hint="default" w:ascii="Times New Roman" w:hAnsi="Times New Roman" w:eastAsia="方正仿宋简体" w:cs="Times New Roman"/>
          <w:color w:val="auto"/>
          <w:sz w:val="32"/>
          <w:szCs w:val="32"/>
          <w:lang w:val="en-US" w:eastAsia="zh-CN"/>
        </w:rPr>
      </w:pPr>
      <w:r>
        <w:rPr>
          <w:rFonts w:hint="eastAsia"/>
          <w:b/>
          <w:bCs/>
          <w:color w:val="auto"/>
          <w:sz w:val="32"/>
          <w:szCs w:val="32"/>
        </w:rPr>
        <w:t>资金使用情况：</w:t>
      </w:r>
      <w:r>
        <w:rPr>
          <w:rFonts w:hint="eastAsia" w:ascii="Times New Roman" w:hAnsi="Times New Roman" w:eastAsia="方正仿宋简体" w:cs="Times New Roman"/>
          <w:color w:val="auto"/>
          <w:sz w:val="32"/>
          <w:szCs w:val="32"/>
          <w:lang w:val="en-US" w:eastAsia="zh-CN"/>
        </w:rPr>
        <w:t>该项目年初预算数</w:t>
      </w:r>
      <w:r>
        <w:rPr>
          <w:rFonts w:hint="eastAsia" w:eastAsia="方正仿宋简体" w:cs="Times New Roman"/>
          <w:color w:val="auto"/>
          <w:sz w:val="32"/>
          <w:szCs w:val="32"/>
          <w:lang w:val="en-US" w:eastAsia="zh-CN"/>
        </w:rPr>
        <w:t>619</w:t>
      </w:r>
      <w:r>
        <w:rPr>
          <w:rFonts w:hint="eastAsia" w:ascii="Times New Roman" w:hAnsi="Times New Roman" w:eastAsia="方正仿宋简体" w:cs="Times New Roman"/>
          <w:color w:val="auto"/>
          <w:sz w:val="32"/>
          <w:szCs w:val="32"/>
          <w:lang w:val="en-US" w:eastAsia="zh-CN"/>
        </w:rPr>
        <w:t>万元，全年预算数5117万元，全年执行数4881.0181万元，预算执行率为95.39%，主要用于：2023年度霍尔果斯市伊车嘎善乡1.8万亩高标准农田建设（高效节水）项目建设支付2737.2452万元；2023年度霍尔果斯市伊车嘎善乡、莫乎尔片区改造提升1.63万亩高标准农田（高效节水）项目建设支付1851.2858万元；2023年度霍尔果斯市高标准农田建设项目建设支付292.4876万元。</w:t>
      </w:r>
    </w:p>
    <w:p>
      <w:p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总体目标：在霍尔果斯市实施新建高标准农田1.8万亩，实施改造提升1.63万亩，提高项目区灌溉水利用系数，使项目区道路通达率达100%。通过项目建设，实现项目区的节水、增产、提高农民收入、提高灌溉水利用率、提高单方水利用效率、提高土壤肥力、改善生态环境、增加生态用水的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阶段性目标：一季度完成新建高标准农田1.8万亩的立项及招投标工作，并开工建设。二季度完成改造提升1.63万亩立项的前期手续。三季度完成新建高标准农田1.8万亩的建设任务；完成改造提升1.63万亩立项批复及招投标工作。四季度完成全年高标准农田建设任务。</w:t>
      </w:r>
    </w:p>
    <w:p>
      <w:pPr>
        <w:spacing w:line="560" w:lineRule="exact"/>
        <w:ind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bookmarkStart w:id="2" w:name="_Toc68703831"/>
      <w:r>
        <w:rPr>
          <w:rFonts w:hint="eastAsia" w:ascii="Times New Roman" w:hAnsi="Times New Roman" w:eastAsia="楷体_GB2312" w:cs="Times New Roman"/>
          <w:b/>
          <w:bCs/>
          <w:sz w:val="32"/>
          <w:szCs w:val="32"/>
          <w:lang w:val="en-US" w:eastAsia="zh-CN"/>
        </w:rPr>
        <w:t>（一）绩效评价目的、对象和范围</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bCs/>
          <w:sz w:val="32"/>
          <w:szCs w:val="32"/>
          <w:lang w:val="en-US" w:eastAsia="zh-CN"/>
        </w:rPr>
        <w:t>1.绩效评价目的</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（1）项目在实施前向项目负责人提供财政支出绩效方面的资金管理信息，促进项目支出严格按照资金管理规定进行。</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（2）项目绩效管理财政支出运行提供及时、有效的信息。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2.绩效评价对象：</w:t>
      </w:r>
    </w:p>
    <w:p>
      <w:pPr>
        <w:ind w:firstLine="640" w:firstLineChars="200"/>
        <w:rPr>
          <w:rFonts w:hint="default"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高标准农田建设补助资金项目所包含的全部项目内容，包括2023年度霍尔果斯市伊车嘎善乡1.8万亩高标准农田建设（高效节水）项目；2023年度霍尔果斯市伊车嘎善乡、莫乎尔片区改造提升1.63万亩高标准农田（高效节水）项目；2023年度霍尔果斯市高标准农田建设新增资金项目。</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　</w:t>
      </w:r>
      <w:r>
        <w:rPr>
          <w:rFonts w:hint="eastAsia" w:cs="Times New Roman"/>
          <w:b/>
          <w:bCs/>
          <w:sz w:val="32"/>
          <w:szCs w:val="32"/>
          <w:lang w:val="en-US" w:eastAsia="zh-CN"/>
        </w:rPr>
        <w:t xml:space="preserve">  </w:t>
      </w:r>
      <w:r>
        <w:rPr>
          <w:rFonts w:hint="eastAsia" w:ascii="Times New Roman" w:hAnsi="Times New Roman" w:eastAsia="仿宋_GB2312" w:cs="Times New Roman"/>
          <w:b/>
          <w:bCs/>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本次评价从项目决策（包括绩效目标、决策过程）、项目管理（包括项目资金、项目实施）、项目产出（包括项目产出数量、产出质量、产出时效和产出成本）项目效益四个维度进行高标准农田建设补助资金项目评价，评价核心为资金的支出完成情况和效果。</w:t>
      </w:r>
      <w:bookmarkStart w:id="3" w:name="_Toc68703832"/>
    </w:p>
    <w:p>
      <w:pPr>
        <w:pStyle w:val="14"/>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3"/>
    </w:p>
    <w:p>
      <w:pPr>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b/>
          <w:bCs/>
          <w:sz w:val="32"/>
          <w:szCs w:val="32"/>
        </w:rPr>
      </w:pPr>
      <w:r>
        <w:rPr>
          <w:rFonts w:hint="eastAsia"/>
          <w:b/>
          <w:bCs/>
          <w:sz w:val="32"/>
          <w:szCs w:val="32"/>
        </w:rPr>
        <w:t>1</w:t>
      </w:r>
      <w:r>
        <w:rPr>
          <w:rFonts w:hint="eastAsia"/>
          <w:b/>
          <w:bCs/>
          <w:sz w:val="32"/>
          <w:szCs w:val="32"/>
          <w:lang w:val="en-US" w:eastAsia="zh-CN"/>
        </w:rPr>
        <w:t>.</w:t>
      </w:r>
      <w:r>
        <w:rPr>
          <w:rFonts w:hint="eastAsia"/>
          <w:b/>
          <w:bCs/>
          <w:sz w:val="32"/>
          <w:szCs w:val="32"/>
        </w:rPr>
        <w:t>绩效评价原则</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本次项目绩效评价遵循以下基本原则：</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（1）科学公正。绩效评价应当运用科学合理的方法，按照规范的程序，对项目绩效进行客观、公正的反映。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（3）激励约束。绩效评价结果应与预算安排、政策调整、改进管理实质性挂钩，体现奖优罚劣和激励相容导向，有效要安排、低效要压减、无效要问责。</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2" w:firstLineChars="200"/>
        <w:jc w:val="left"/>
        <w:textAlignment w:val="auto"/>
        <w:rPr>
          <w:rFonts w:hint="eastAsia"/>
          <w:b/>
          <w:bCs/>
          <w:sz w:val="32"/>
          <w:szCs w:val="32"/>
        </w:rPr>
      </w:pPr>
      <w:r>
        <w:rPr>
          <w:rFonts w:hint="eastAsia"/>
          <w:b/>
          <w:bCs/>
        </w:rPr>
        <w:t>2</w:t>
      </w:r>
      <w:r>
        <w:rPr>
          <w:rFonts w:hint="eastAsia"/>
          <w:b/>
          <w:bCs/>
          <w:lang w:eastAsia="zh-CN"/>
        </w:rPr>
        <w:t>.</w:t>
      </w:r>
      <w:r>
        <w:rPr>
          <w:rFonts w:hint="eastAsia"/>
          <w:b/>
          <w:bCs/>
          <w:sz w:val="32"/>
          <w:szCs w:val="32"/>
        </w:rPr>
        <w:t>评价指标体系</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绩效评价框架是开展绩效评价的核心。绩效评价框架包括评价准则、关键评价问题、评价指标、数据来源、数据收集方法等。指标体系建立过程如下：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（1）确定评价指标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（2）确定权重</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确定各个指标相对于项目总体绩效的权重分值。在绩效评价指标体系中，项目决策权重为20分，项目过程权重为20分，项目产出权重为40分，项目效益权重为20分。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（3）确定指标标准值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指标标准值是绩效评价指标的尺度，既要反映同类项目的先进水平，又要符合项目的实际绩效水平。具体采用计划标准等确定此次绩效评价指标标准值。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具体评价指标体系详情见附件1</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3、评价方法</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绩效评价从项目决策、项目过程、项目产出、项目效益四个维度进行评价。评价对象为项目目标实施情况，评价核心为资金的支出完成情况和项目的产出效益。</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本次评价指标中，既有定性指标又有定量指标，各类指标因考核内容不同和客观标准不同存在较大差异，因此核定具体指标时采用了不同方法，具体评价方法如下：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（1）比较法</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通过对绩效目标与实施效果、历史与当期情况，综合分析绩效目标实现程度。对项目最终验收情况与年度绩效目标对比、预算资金执行情况等相关因素进行比较。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（2）因素分析法</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绩效评价标准通常包括计划标准、行业标准、历史标准等，用于对绩效指标完成情况进行比较、分析、评价。本次评价主要采用了计划标准。</w:t>
      </w:r>
    </w:p>
    <w:p>
      <w:pPr>
        <w:pStyle w:val="2"/>
        <w:keepNext w:val="0"/>
        <w:keepLines w:val="0"/>
        <w:pageBreakBefore w:val="0"/>
        <w:kinsoku/>
        <w:wordWrap/>
        <w:overflowPunct/>
        <w:topLinePunct w:val="0"/>
        <w:autoSpaceDE/>
        <w:autoSpaceDN/>
        <w:bidi w:val="0"/>
        <w:adjustRightInd/>
        <w:snapToGrid/>
        <w:spacing w:line="560" w:lineRule="exact"/>
        <w:jc w:val="left"/>
        <w:textAlignment w:val="auto"/>
        <w:outlineLvl w:val="9"/>
        <w:rPr>
          <w:rFonts w:hint="eastAsia" w:ascii="Times New Roman" w:hAnsi="Times New Roman" w:eastAsia="仿宋_GB2312" w:cs="Times New Roman"/>
          <w:b w:val="0"/>
          <w:bCs/>
          <w:color w:val="auto"/>
          <w:kern w:val="2"/>
          <w:sz w:val="32"/>
          <w:szCs w:val="32"/>
          <w:lang w:val="en-US" w:eastAsia="zh-CN" w:bidi="ar-SA"/>
        </w:rPr>
      </w:pPr>
      <w:r>
        <w:rPr>
          <w:rFonts w:hint="eastAsia" w:ascii="Times New Roman" w:hAnsi="Times New Roman" w:eastAsia="方正仿宋简体" w:cs="Times New Roman"/>
          <w:b w:val="0"/>
          <w:bCs w:val="0"/>
          <w:color w:val="auto"/>
          <w:kern w:val="2"/>
          <w:sz w:val="32"/>
          <w:szCs w:val="32"/>
          <w:lang w:val="en-US" w:eastAsia="zh-CN" w:bidi="ar-SA"/>
        </w:rPr>
        <w:t>　　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1.前期准备：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2.组织实施：</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3.分析评价：</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4" w:name="_Toc68703835"/>
      <w:r>
        <w:rPr>
          <w:rFonts w:hint="eastAsia" w:ascii="Times New Roman" w:hAnsi="Times New Roman" w:eastAsia="楷体_GB2312" w:cs="Times New Roman"/>
          <w:b/>
          <w:bCs/>
          <w:kern w:val="2"/>
          <w:sz w:val="32"/>
          <w:szCs w:val="32"/>
          <w:lang w:val="en-US" w:eastAsia="zh-CN" w:bidi="ar-SA"/>
        </w:rPr>
        <w:t>（一）综合评价情况</w:t>
      </w:r>
      <w:bookmarkEnd w:id="4"/>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ind w:firstLine="321" w:firstLineChars="100"/>
        <w:textAlignment w:val="auto"/>
        <w:rPr>
          <w:rFonts w:hint="eastAsia" w:ascii="Times New Roman" w:hAnsi="Times New Roman" w:eastAsia="楷体_GB2312" w:cs="Times New Roman"/>
          <w:b/>
          <w:bCs/>
          <w:kern w:val="2"/>
          <w:sz w:val="32"/>
          <w:szCs w:val="32"/>
          <w:lang w:val="en-US" w:eastAsia="zh-CN" w:bidi="ar-SA"/>
        </w:rPr>
      </w:pPr>
      <w:bookmarkStart w:id="5" w:name="_Toc68703836"/>
      <w:r>
        <w:rPr>
          <w:rFonts w:hint="eastAsia" w:ascii="Times New Roman" w:hAnsi="Times New Roman" w:eastAsia="楷体_GB2312" w:cs="Times New Roman"/>
          <w:b/>
          <w:bCs/>
          <w:kern w:val="2"/>
          <w:sz w:val="32"/>
          <w:szCs w:val="32"/>
          <w:lang w:val="en-US" w:eastAsia="zh-CN" w:bidi="ar-SA"/>
        </w:rPr>
        <w:t>（二）评价结论</w:t>
      </w:r>
      <w:bookmarkEnd w:id="5"/>
    </w:p>
    <w:p>
      <w:pPr>
        <w:pStyle w:val="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eastAsia" w:ascii="Times New Roman" w:hAnsi="Times New Roman" w:eastAsia="方正仿宋简体" w:cs="Times New Roman"/>
          <w:b w:val="0"/>
          <w:bCs w:val="0"/>
          <w:color w:val="auto"/>
          <w:kern w:val="2"/>
          <w:sz w:val="32"/>
          <w:szCs w:val="32"/>
          <w:lang w:val="en-US" w:eastAsia="zh-CN" w:bidi="ar-SA"/>
        </w:rPr>
      </w:pPr>
      <w:r>
        <w:rPr>
          <w:rFonts w:hint="eastAsia" w:ascii="Times New Roman" w:hAnsi="Times New Roman" w:eastAsia="仿宋_GB2312"/>
          <w:b w:val="0"/>
          <w:bCs w:val="0"/>
          <w:lang w:eastAsia="zh-CN"/>
        </w:rPr>
        <w:t>　　</w:t>
      </w:r>
      <w:r>
        <w:rPr>
          <w:rFonts w:hint="eastAsia" w:ascii="Times New Roman" w:hAnsi="Times New Roman" w:eastAsia="方正仿宋简体" w:cs="Times New Roman"/>
          <w:b w:val="0"/>
          <w:bCs w:val="0"/>
          <w:color w:val="auto"/>
          <w:kern w:val="2"/>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99.80分，属于“优”。其中，项目决策类指标权重为20分，得分为 20分，得分率为100%。项目过程类指标权重为20分，得分为19.80分，得分率为99%。项目产出类指标权重为40分，得分为40分，得分率为100%。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19.80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99.80</w:t>
            </w:r>
          </w:p>
        </w:tc>
      </w:tr>
    </w:tbl>
    <w:p>
      <w:pPr>
        <w:spacing w:line="560" w:lineRule="exact"/>
        <w:ind w:firstLine="640" w:firstLineChars="200"/>
        <w:rPr>
          <w:rFonts w:hint="eastAsia" w:ascii="Times New Roman" w:hAnsi="Times New Roman" w:eastAsia="黑体" w:cs="Times New Roman"/>
          <w:bCs/>
          <w:sz w:val="32"/>
          <w:szCs w:val="32"/>
          <w:lang w:val="en-US" w:eastAsia="zh-CN"/>
        </w:rPr>
      </w:pPr>
      <w:bookmarkStart w:id="6" w:name="_Toc68703837"/>
      <w:r>
        <w:rPr>
          <w:rFonts w:hint="eastAsia" w:ascii="Times New Roman" w:hAnsi="Times New Roman" w:eastAsia="黑体" w:cs="Times New Roman"/>
          <w:bCs/>
          <w:sz w:val="32"/>
          <w:szCs w:val="32"/>
          <w:lang w:val="en-US" w:eastAsia="zh-CN"/>
        </w:rPr>
        <w:t>四、绩效评价指标分析</w:t>
      </w:r>
      <w:bookmarkEnd w:id="6"/>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7" w:name="_Toc68703838"/>
      <w:r>
        <w:rPr>
          <w:rFonts w:hint="eastAsia" w:ascii="Times New Roman" w:hAnsi="Times New Roman" w:eastAsia="楷体_GB2312" w:cs="Times New Roman"/>
          <w:b/>
          <w:bCs/>
          <w:kern w:val="2"/>
          <w:sz w:val="32"/>
          <w:szCs w:val="32"/>
          <w:lang w:val="en-US" w:eastAsia="zh-CN" w:bidi="ar-SA"/>
        </w:rPr>
        <w:t>（一）项目决策情况</w:t>
      </w:r>
      <w:bookmarkEnd w:id="7"/>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简体" w:cs="Times New Roman"/>
          <w:color w:val="auto"/>
          <w:sz w:val="32"/>
          <w:szCs w:val="32"/>
          <w:lang w:val="en-US" w:eastAsia="zh-CN"/>
        </w:rPr>
      </w:pPr>
      <w:r>
        <w:rPr>
          <w:rFonts w:hint="eastAsia"/>
          <w:b w:val="0"/>
          <w:bCs w:val="0"/>
          <w:sz w:val="32"/>
          <w:szCs w:val="32"/>
          <w:lang w:val="en-US" w:eastAsia="zh-CN"/>
        </w:rPr>
        <w:t>　　</w:t>
      </w:r>
      <w:r>
        <w:rPr>
          <w:rFonts w:hint="eastAsia" w:ascii="Times New Roman" w:hAnsi="Times New Roman" w:eastAsia="方正仿宋简体" w:cs="Times New Roman"/>
          <w:color w:val="auto"/>
          <w:sz w:val="32"/>
          <w:szCs w:val="32"/>
          <w:lang w:val="en-US" w:eastAsia="zh-CN"/>
        </w:rPr>
        <w:t>项目决策类指标包括项目立项、绩效目标和资金投入三方面的内容，由6个三级指标构成，权重分值为20分，实际得分20分，得分率为100%。</w:t>
      </w:r>
    </w:p>
    <w:p>
      <w:pPr>
        <w:pStyle w:val="14"/>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（2）立项程序规范性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项目申请、设立过程符合相关要求，</w:t>
      </w:r>
      <w:r>
        <w:rPr>
          <w:rFonts w:hint="eastAsia" w:ascii="Times New Roman" w:hAnsi="Times New Roman" w:eastAsia="方正仿宋简体" w:cs="Times New Roman"/>
          <w:color w:val="auto"/>
          <w:sz w:val="32"/>
          <w:szCs w:val="32"/>
          <w:lang w:val="en-US" w:eastAsia="zh-Hans"/>
        </w:rPr>
        <w:t>严格按照审批流程准备符合要求的文件、材料；</w:t>
      </w:r>
      <w:r>
        <w:rPr>
          <w:rFonts w:hint="eastAsia" w:ascii="Times New Roman" w:hAnsi="Times New Roman" w:eastAsia="方正仿宋简体"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专家论证、绩效评估、集体决策，保障了程序的规范性。</w:t>
      </w:r>
    </w:p>
    <w:p>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（1）绩效目标合理性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Hans"/>
        </w:rPr>
        <w:t>年初结合实际工作内容</w:t>
      </w:r>
      <w:r>
        <w:rPr>
          <w:rFonts w:hint="eastAsia" w:ascii="Times New Roman" w:hAnsi="Times New Roman" w:eastAsia="方正仿宋简体" w:cs="Times New Roman"/>
          <w:color w:val="auto"/>
          <w:sz w:val="32"/>
          <w:szCs w:val="32"/>
          <w:lang w:val="en-US" w:eastAsia="zh-CN"/>
        </w:rPr>
        <w:t>设定绩效目标</w:t>
      </w:r>
      <w:r>
        <w:rPr>
          <w:rFonts w:hint="eastAsia" w:ascii="Times New Roman" w:hAnsi="Times New Roman" w:eastAsia="方正仿宋简体" w:cs="Times New Roman"/>
          <w:color w:val="auto"/>
          <w:sz w:val="32"/>
          <w:szCs w:val="32"/>
          <w:lang w:val="en-US" w:eastAsia="zh-Hans"/>
        </w:rPr>
        <w:t>，绩效目标</w:t>
      </w:r>
      <w:r>
        <w:rPr>
          <w:rFonts w:hint="eastAsia" w:ascii="Times New Roman" w:hAnsi="Times New Roman" w:eastAsia="方正仿宋简体"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bookmarkStart w:id="8" w:name="_Hlk68699917"/>
      <w:r>
        <w:rPr>
          <w:rFonts w:hint="eastAsia" w:ascii="Times New Roman" w:hAnsi="Times New Roman" w:eastAsia="方正仿宋简体" w:cs="Times New Roman"/>
          <w:color w:val="auto"/>
          <w:sz w:val="32"/>
          <w:szCs w:val="32"/>
          <w:lang w:val="en-US" w:eastAsia="zh-CN"/>
        </w:rPr>
        <w:t>（2）绩效指标明确性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8"/>
    <w:p>
      <w:pPr>
        <w:pStyle w:val="14"/>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（1）预算编制科学性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预算编制经过科学论证，提供充分的测算依据佐证资料，预算内容与项目内容相匹配。项目投资额与工作任务相匹配。</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（2）资金分配合理性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ind w:firstLine="643" w:firstLineChars="200"/>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项目过程类指标包括资金管理和组织实施两方面的内容，由5个三级指标构成，权重分值为20分，实际得分</w:t>
      </w:r>
      <w:r>
        <w:rPr>
          <w:rFonts w:hint="eastAsia" w:eastAsia="方正仿宋简体" w:cs="Times New Roman"/>
          <w:color w:val="auto"/>
          <w:sz w:val="32"/>
          <w:szCs w:val="32"/>
          <w:lang w:val="en-US" w:eastAsia="zh-CN"/>
        </w:rPr>
        <w:t>19.80</w:t>
      </w:r>
      <w:r>
        <w:rPr>
          <w:rFonts w:hint="eastAsia" w:ascii="Times New Roman" w:hAnsi="Times New Roman" w:eastAsia="方正仿宋简体" w:cs="Times New Roman"/>
          <w:color w:val="auto"/>
          <w:sz w:val="32"/>
          <w:szCs w:val="32"/>
          <w:lang w:val="en-US" w:eastAsia="zh-CN"/>
        </w:rPr>
        <w:t>分，得分率为</w:t>
      </w:r>
      <w:r>
        <w:rPr>
          <w:rFonts w:hint="eastAsia" w:eastAsia="方正仿宋简体" w:cs="Times New Roman"/>
          <w:color w:val="auto"/>
          <w:sz w:val="32"/>
          <w:szCs w:val="32"/>
          <w:lang w:val="en-US" w:eastAsia="zh-CN"/>
        </w:rPr>
        <w:t>99</w:t>
      </w:r>
      <w:r>
        <w:rPr>
          <w:rFonts w:hint="eastAsia" w:ascii="Times New Roman" w:hAnsi="Times New Roman" w:eastAsia="方正仿宋简体" w:cs="Times New Roman"/>
          <w:color w:val="auto"/>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（1）资金到位率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本项目总投资5117万元，财政资金及时足额到位，到位率100%，预算资金按计划进度执行。</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（2）预算执行率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预算编制较为详细，项目资金支出总体能够按照预算执行，预算资金支出4881.0181万元，预算执行率为95.39%。</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（3）资金使用合规性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（1）管理制度健全性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（2）制度执行有效性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2"/>
        <w:numPr>
          <w:ilvl w:val="0"/>
          <w:numId w:val="0"/>
        </w:numPr>
        <w:spacing w:before="0" w:after="0" w:line="560" w:lineRule="exact"/>
        <w:ind w:firstLine="643" w:firstLineChars="200"/>
        <w:jc w:val="both"/>
        <w:rPr>
          <w:rFonts w:hint="eastAsia" w:ascii="楷体" w:hAnsi="楷体" w:eastAsia="楷体" w:cs="楷体"/>
          <w:lang w:val="en-US" w:eastAsia="zh-CN"/>
        </w:rPr>
      </w:pPr>
      <w:bookmarkStart w:id="9" w:name="_Toc68703840"/>
      <w:r>
        <w:rPr>
          <w:rFonts w:hint="eastAsia" w:ascii="楷体" w:hAnsi="楷体" w:eastAsia="楷体" w:cs="楷体"/>
          <w:lang w:val="en-US" w:eastAsia="zh-CN"/>
        </w:rPr>
        <w:t>（三）项目产出情况</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项目产出类指标包括产出数量、产出质量、产出时效、产出成本四方面的内容，由</w:t>
      </w:r>
      <w:r>
        <w:rPr>
          <w:rFonts w:hint="eastAsia" w:eastAsia="方正仿宋简体" w:cs="Times New Roman"/>
          <w:color w:val="auto"/>
          <w:sz w:val="32"/>
          <w:szCs w:val="32"/>
          <w:lang w:val="en-US" w:eastAsia="zh-CN"/>
        </w:rPr>
        <w:t>4</w:t>
      </w:r>
      <w:r>
        <w:rPr>
          <w:rFonts w:hint="eastAsia" w:ascii="Times New Roman" w:hAnsi="Times New Roman" w:eastAsia="方正仿宋简体" w:cs="Times New Roman"/>
          <w:color w:val="auto"/>
          <w:sz w:val="32"/>
          <w:szCs w:val="32"/>
          <w:lang w:val="en-US" w:eastAsia="zh-CN"/>
        </w:rPr>
        <w:t>个三级指标构成，权重分为40分，实际得分40分，得分率为100%。具体产出指标完成情况如下：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fldChar w:fldCharType="begin"/>
      </w:r>
      <w:r>
        <w:rPr>
          <w:rFonts w:hint="eastAsia" w:ascii="Times New Roman" w:hAnsi="Times New Roman" w:eastAsia="方正仿宋简体" w:cs="Times New Roman"/>
          <w:color w:val="auto"/>
          <w:sz w:val="32"/>
          <w:szCs w:val="32"/>
          <w:lang w:val="en-US" w:eastAsia="zh-CN"/>
        </w:rPr>
        <w:instrText xml:space="preserve"> = 1 \* GB3 </w:instrText>
      </w:r>
      <w:r>
        <w:rPr>
          <w:rFonts w:hint="eastAsia" w:ascii="Times New Roman" w:hAnsi="Times New Roman" w:eastAsia="方正仿宋简体" w:cs="Times New Roman"/>
          <w:color w:val="auto"/>
          <w:sz w:val="32"/>
          <w:szCs w:val="32"/>
          <w:lang w:val="en-US" w:eastAsia="zh-CN"/>
        </w:rPr>
        <w:fldChar w:fldCharType="separate"/>
      </w:r>
      <w:r>
        <w:rPr>
          <w:rFonts w:hint="eastAsia" w:ascii="Times New Roman" w:hAnsi="Times New Roman" w:eastAsia="方正仿宋简体" w:cs="Times New Roman"/>
          <w:color w:val="auto"/>
          <w:sz w:val="32"/>
          <w:szCs w:val="32"/>
          <w:lang w:val="en-US" w:eastAsia="zh-CN"/>
        </w:rPr>
        <w:t>①</w:t>
      </w:r>
      <w:r>
        <w:rPr>
          <w:rFonts w:hint="eastAsia" w:ascii="Times New Roman" w:hAnsi="Times New Roman" w:eastAsia="方正仿宋简体" w:cs="Times New Roman"/>
          <w:color w:val="auto"/>
          <w:sz w:val="32"/>
          <w:szCs w:val="32"/>
          <w:lang w:val="en-US" w:eastAsia="zh-CN"/>
        </w:rPr>
        <w:fldChar w:fldCharType="end"/>
      </w:r>
      <w:r>
        <w:rPr>
          <w:rFonts w:hint="eastAsia" w:ascii="Times New Roman" w:hAnsi="Times New Roman" w:eastAsia="方正仿宋简体" w:cs="Times New Roman"/>
          <w:color w:val="auto"/>
          <w:sz w:val="32"/>
          <w:szCs w:val="32"/>
          <w:lang w:val="en-US" w:eastAsia="zh-CN"/>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指标1：新建高标准农田面积，指标值：=</w:t>
      </w:r>
      <w:r>
        <w:rPr>
          <w:rFonts w:hint="eastAsia" w:eastAsia="方正仿宋简体" w:cs="Times New Roman"/>
          <w:color w:val="auto"/>
          <w:sz w:val="32"/>
          <w:szCs w:val="32"/>
          <w:lang w:val="en-US" w:eastAsia="zh-CN"/>
        </w:rPr>
        <w:t>18000</w:t>
      </w:r>
      <w:r>
        <w:rPr>
          <w:rFonts w:hint="eastAsia" w:ascii="Times New Roman" w:hAnsi="Times New Roman" w:eastAsia="方正仿宋简体" w:cs="Times New Roman"/>
          <w:color w:val="auto"/>
          <w:sz w:val="32"/>
          <w:szCs w:val="32"/>
          <w:lang w:val="en-US" w:eastAsia="zh-CN"/>
        </w:rPr>
        <w:t>亩，实际完成值：=</w:t>
      </w:r>
      <w:r>
        <w:rPr>
          <w:rFonts w:hint="eastAsia" w:eastAsia="方正仿宋简体" w:cs="Times New Roman"/>
          <w:color w:val="auto"/>
          <w:sz w:val="32"/>
          <w:szCs w:val="32"/>
          <w:lang w:val="en-US" w:eastAsia="zh-CN"/>
        </w:rPr>
        <w:t>18000</w:t>
      </w:r>
      <w:r>
        <w:rPr>
          <w:rFonts w:hint="eastAsia" w:ascii="Times New Roman" w:hAnsi="Times New Roman" w:eastAsia="方正仿宋简体" w:cs="Times New Roman"/>
          <w:color w:val="auto"/>
          <w:sz w:val="32"/>
          <w:szCs w:val="32"/>
          <w:lang w:val="en-US" w:eastAsia="zh-CN"/>
        </w:rPr>
        <w:t>亩，指标完成率100%。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指标2：新增高效节水灌溉面积，指标值：=</w:t>
      </w:r>
      <w:r>
        <w:rPr>
          <w:rFonts w:hint="eastAsia" w:eastAsia="方正仿宋简体" w:cs="Times New Roman"/>
          <w:color w:val="auto"/>
          <w:sz w:val="32"/>
          <w:szCs w:val="32"/>
          <w:lang w:val="en-US" w:eastAsia="zh-CN"/>
        </w:rPr>
        <w:t>18000</w:t>
      </w:r>
      <w:r>
        <w:rPr>
          <w:rFonts w:hint="eastAsia" w:ascii="Times New Roman" w:hAnsi="Times New Roman" w:eastAsia="方正仿宋简体" w:cs="Times New Roman"/>
          <w:color w:val="auto"/>
          <w:sz w:val="32"/>
          <w:szCs w:val="32"/>
          <w:lang w:val="en-US" w:eastAsia="zh-CN"/>
        </w:rPr>
        <w:t>亩，实际完成值：=</w:t>
      </w:r>
      <w:r>
        <w:rPr>
          <w:rFonts w:hint="eastAsia" w:eastAsia="方正仿宋简体" w:cs="Times New Roman"/>
          <w:color w:val="auto"/>
          <w:sz w:val="32"/>
          <w:szCs w:val="32"/>
          <w:lang w:val="en-US" w:eastAsia="zh-CN"/>
        </w:rPr>
        <w:t>18000</w:t>
      </w:r>
      <w:r>
        <w:rPr>
          <w:rFonts w:hint="eastAsia" w:ascii="Times New Roman" w:hAnsi="Times New Roman" w:eastAsia="方正仿宋简体" w:cs="Times New Roman"/>
          <w:color w:val="auto"/>
          <w:sz w:val="32"/>
          <w:szCs w:val="32"/>
          <w:lang w:val="en-US" w:eastAsia="zh-CN"/>
        </w:rPr>
        <w:t>亩，指标完成率100%。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w:t>
      </w:r>
      <w:r>
        <w:rPr>
          <w:rFonts w:hint="eastAsia" w:eastAsia="方正仿宋简体" w:cs="Times New Roman"/>
          <w:color w:val="auto"/>
          <w:sz w:val="32"/>
          <w:szCs w:val="32"/>
          <w:lang w:val="en-US" w:eastAsia="zh-CN"/>
        </w:rPr>
        <w:t>3</w:t>
      </w:r>
      <w:r>
        <w:rPr>
          <w:rFonts w:hint="eastAsia" w:ascii="Times New Roman" w:hAnsi="Times New Roman" w:eastAsia="方正仿宋简体" w:cs="Times New Roman"/>
          <w:color w:val="auto"/>
          <w:sz w:val="32"/>
          <w:szCs w:val="32"/>
          <w:lang w:val="en-US" w:eastAsia="zh-CN"/>
        </w:rPr>
        <w:t>：新建亩均补助资金，指标值：≥1500元，实际完成值：</w:t>
      </w:r>
      <w:r>
        <w:rPr>
          <w:rFonts w:hint="eastAsia" w:eastAsia="方正仿宋简体" w:cs="Times New Roman"/>
          <w:color w:val="auto"/>
          <w:sz w:val="32"/>
          <w:szCs w:val="32"/>
          <w:lang w:val="en-US" w:eastAsia="zh-CN"/>
        </w:rPr>
        <w:t>1740元</w:t>
      </w:r>
      <w:r>
        <w:rPr>
          <w:rFonts w:hint="eastAsia" w:ascii="Times New Roman" w:hAnsi="Times New Roman" w:eastAsia="方正仿宋简体" w:cs="Times New Roman"/>
          <w:color w:val="auto"/>
          <w:sz w:val="32"/>
          <w:szCs w:val="32"/>
          <w:lang w:val="en-US" w:eastAsia="zh-CN"/>
        </w:rPr>
        <w:t>，指标完成率1</w:t>
      </w:r>
      <w:r>
        <w:rPr>
          <w:rFonts w:hint="eastAsia" w:eastAsia="方正仿宋简体" w:cs="Times New Roman"/>
          <w:color w:val="auto"/>
          <w:sz w:val="32"/>
          <w:szCs w:val="32"/>
          <w:lang w:val="en-US" w:eastAsia="zh-CN"/>
        </w:rPr>
        <w:t>16</w:t>
      </w:r>
      <w:r>
        <w:rPr>
          <w:rFonts w:hint="eastAsia" w:ascii="Times New Roman" w:hAnsi="Times New Roman" w:eastAsia="方正仿宋简体" w:cs="Times New Roman"/>
          <w:color w:val="auto"/>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w:t>
      </w:r>
      <w:r>
        <w:rPr>
          <w:rFonts w:hint="eastAsia" w:eastAsia="方正仿宋简体" w:cs="Times New Roman"/>
          <w:color w:val="auto"/>
          <w:sz w:val="32"/>
          <w:szCs w:val="32"/>
          <w:lang w:val="en-US" w:eastAsia="zh-CN"/>
        </w:rPr>
        <w:t>4</w:t>
      </w:r>
      <w:r>
        <w:rPr>
          <w:rFonts w:hint="eastAsia" w:ascii="Times New Roman" w:hAnsi="Times New Roman" w:eastAsia="方正仿宋简体" w:cs="Times New Roman"/>
          <w:color w:val="auto"/>
          <w:sz w:val="32"/>
          <w:szCs w:val="32"/>
          <w:lang w:val="en-US" w:eastAsia="zh-CN"/>
        </w:rPr>
        <w:t>：改造提升灌溉面积，指标值：=</w:t>
      </w:r>
      <w:r>
        <w:rPr>
          <w:rFonts w:hint="eastAsia" w:eastAsia="方正仿宋简体" w:cs="Times New Roman"/>
          <w:color w:val="auto"/>
          <w:sz w:val="32"/>
          <w:szCs w:val="32"/>
          <w:lang w:val="en-US" w:eastAsia="zh-CN"/>
        </w:rPr>
        <w:t>16300</w:t>
      </w:r>
      <w:r>
        <w:rPr>
          <w:rFonts w:hint="eastAsia" w:ascii="Times New Roman" w:hAnsi="Times New Roman" w:eastAsia="方正仿宋简体" w:cs="Times New Roman"/>
          <w:color w:val="auto"/>
          <w:sz w:val="32"/>
          <w:szCs w:val="32"/>
          <w:lang w:val="en-US" w:eastAsia="zh-CN"/>
        </w:rPr>
        <w:t>亩，实际完成值：=</w:t>
      </w:r>
      <w:r>
        <w:rPr>
          <w:rFonts w:hint="eastAsia" w:eastAsia="方正仿宋简体" w:cs="Times New Roman"/>
          <w:color w:val="auto"/>
          <w:sz w:val="32"/>
          <w:szCs w:val="32"/>
          <w:lang w:val="en-US" w:eastAsia="zh-CN"/>
        </w:rPr>
        <w:t>16300</w:t>
      </w:r>
      <w:r>
        <w:rPr>
          <w:rFonts w:hint="eastAsia" w:ascii="Times New Roman" w:hAnsi="Times New Roman" w:eastAsia="方正仿宋简体" w:cs="Times New Roman"/>
          <w:color w:val="auto"/>
          <w:sz w:val="32"/>
          <w:szCs w:val="32"/>
          <w:lang w:val="en-US" w:eastAsia="zh-CN"/>
        </w:rPr>
        <w:t>亩，指标完成率100%。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fldChar w:fldCharType="begin"/>
      </w:r>
      <w:r>
        <w:rPr>
          <w:rFonts w:hint="eastAsia" w:ascii="Times New Roman" w:hAnsi="Times New Roman" w:eastAsia="方正仿宋简体" w:cs="Times New Roman"/>
          <w:color w:val="auto"/>
          <w:sz w:val="32"/>
          <w:szCs w:val="32"/>
          <w:lang w:val="en-US" w:eastAsia="zh-CN"/>
        </w:rPr>
        <w:instrText xml:space="preserve"> = 2 \* GB3 </w:instrText>
      </w:r>
      <w:r>
        <w:rPr>
          <w:rFonts w:hint="eastAsia" w:ascii="Times New Roman" w:hAnsi="Times New Roman" w:eastAsia="方正仿宋简体" w:cs="Times New Roman"/>
          <w:color w:val="auto"/>
          <w:sz w:val="32"/>
          <w:szCs w:val="32"/>
          <w:lang w:val="en-US" w:eastAsia="zh-CN"/>
        </w:rPr>
        <w:fldChar w:fldCharType="separate"/>
      </w:r>
      <w:r>
        <w:rPr>
          <w:rFonts w:hint="eastAsia" w:ascii="Times New Roman" w:hAnsi="Times New Roman" w:eastAsia="方正仿宋简体" w:cs="Times New Roman"/>
          <w:color w:val="auto"/>
          <w:sz w:val="32"/>
          <w:szCs w:val="32"/>
          <w:lang w:val="en-US" w:eastAsia="zh-CN"/>
        </w:rPr>
        <w:t>②</w:t>
      </w:r>
      <w:r>
        <w:rPr>
          <w:rFonts w:hint="eastAsia" w:ascii="Times New Roman" w:hAnsi="Times New Roman" w:eastAsia="方正仿宋简体" w:cs="Times New Roman"/>
          <w:color w:val="auto"/>
          <w:sz w:val="32"/>
          <w:szCs w:val="32"/>
          <w:lang w:val="en-US" w:eastAsia="zh-CN"/>
        </w:rPr>
        <w:fldChar w:fldCharType="end"/>
      </w:r>
      <w:r>
        <w:rPr>
          <w:rFonts w:hint="eastAsia" w:ascii="Times New Roman" w:hAnsi="Times New Roman" w:eastAsia="方正仿宋简体" w:cs="Times New Roman"/>
          <w:color w:val="auto"/>
          <w:sz w:val="32"/>
          <w:szCs w:val="32"/>
          <w:lang w:val="en-US" w:eastAsia="zh-CN"/>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指标1：项目验收合格率，指标值：≥95%，实际完成值：100%，指标完成率105%，偏差原因：项目通过验收，合格率为100%。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fldChar w:fldCharType="begin"/>
      </w:r>
      <w:r>
        <w:rPr>
          <w:rFonts w:hint="eastAsia" w:ascii="Times New Roman" w:hAnsi="Times New Roman" w:eastAsia="方正仿宋简体" w:cs="Times New Roman"/>
          <w:color w:val="auto"/>
          <w:sz w:val="32"/>
          <w:szCs w:val="32"/>
          <w:lang w:val="en-US" w:eastAsia="zh-CN"/>
        </w:rPr>
        <w:instrText xml:space="preserve"> = 3 \* GB3 </w:instrText>
      </w:r>
      <w:r>
        <w:rPr>
          <w:rFonts w:hint="eastAsia" w:ascii="Times New Roman" w:hAnsi="Times New Roman" w:eastAsia="方正仿宋简体" w:cs="Times New Roman"/>
          <w:color w:val="auto"/>
          <w:sz w:val="32"/>
          <w:szCs w:val="32"/>
          <w:lang w:val="en-US" w:eastAsia="zh-CN"/>
        </w:rPr>
        <w:fldChar w:fldCharType="separate"/>
      </w:r>
      <w:r>
        <w:rPr>
          <w:rFonts w:hint="eastAsia" w:ascii="Times New Roman" w:hAnsi="Times New Roman" w:eastAsia="方正仿宋简体" w:cs="Times New Roman"/>
          <w:color w:val="auto"/>
          <w:sz w:val="32"/>
          <w:szCs w:val="32"/>
          <w:lang w:val="en-US" w:eastAsia="zh-CN"/>
        </w:rPr>
        <w:t>③</w:t>
      </w:r>
      <w:r>
        <w:rPr>
          <w:rFonts w:hint="eastAsia" w:ascii="Times New Roman" w:hAnsi="Times New Roman" w:eastAsia="方正仿宋简体" w:cs="Times New Roman"/>
          <w:color w:val="auto"/>
          <w:sz w:val="32"/>
          <w:szCs w:val="32"/>
          <w:lang w:val="en-US" w:eastAsia="zh-CN"/>
        </w:rPr>
        <w:fldChar w:fldCharType="end"/>
      </w:r>
      <w:r>
        <w:rPr>
          <w:rFonts w:hint="eastAsia" w:ascii="Times New Roman" w:hAnsi="Times New Roman" w:eastAsia="方正仿宋简体" w:cs="Times New Roman"/>
          <w:color w:val="auto"/>
          <w:sz w:val="32"/>
          <w:szCs w:val="32"/>
          <w:lang w:val="en-US" w:eastAsia="zh-CN"/>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指标1：高标准农田建设任务完成及时性，指标值：2023年11月31日之前，实际完成值：2023年11月31日，指标完成率100%。</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10" w:name="_Toc68703841"/>
      <w:r>
        <w:rPr>
          <w:rFonts w:hint="eastAsia" w:ascii="Times New Roman" w:hAnsi="Times New Roman" w:eastAsia="楷体_GB2312" w:cs="Times New Roman"/>
          <w:b/>
          <w:bCs/>
          <w:kern w:val="2"/>
          <w:sz w:val="32"/>
          <w:szCs w:val="32"/>
          <w:lang w:val="en-US" w:eastAsia="zh-CN" w:bidi="ar-SA"/>
        </w:rPr>
        <w:t>（四）项目效益情况</w:t>
      </w:r>
      <w:bookmarkEnd w:id="1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项目效益类指标包括项目实施效益和满意度两方面的内容，由</w:t>
      </w:r>
      <w:r>
        <w:rPr>
          <w:rFonts w:hint="eastAsia" w:eastAsia="方正仿宋简体" w:cs="Times New Roman"/>
          <w:color w:val="auto"/>
          <w:sz w:val="32"/>
          <w:szCs w:val="32"/>
          <w:lang w:val="en-US" w:eastAsia="zh-CN"/>
        </w:rPr>
        <w:t>2</w:t>
      </w:r>
      <w:r>
        <w:rPr>
          <w:rFonts w:hint="eastAsia" w:ascii="Times New Roman" w:hAnsi="Times New Roman" w:eastAsia="方正仿宋简体" w:cs="Times New Roman"/>
          <w:color w:val="auto"/>
          <w:sz w:val="32"/>
          <w:szCs w:val="32"/>
          <w:lang w:val="en-US" w:eastAsia="zh-CN"/>
        </w:rPr>
        <w:t>个三级指标构成，权重分为20分，实际得分20分，得分率为100%。具体效益指标及满意度指标完成情况如下：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1.实施效益</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①社会效益指标：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指标1：粮食综合生产能力，指标值：明显提高，实际完成值：明显提高，指标完成率100%。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w:t>
      </w:r>
      <w:r>
        <w:rPr>
          <w:rFonts w:hint="eastAsia" w:eastAsia="方正仿宋简体" w:cs="Times New Roman"/>
          <w:color w:val="auto"/>
          <w:sz w:val="32"/>
          <w:szCs w:val="32"/>
          <w:lang w:val="en-US" w:eastAsia="zh-CN"/>
        </w:rPr>
        <w:t>2</w:t>
      </w:r>
      <w:r>
        <w:rPr>
          <w:rFonts w:hint="eastAsia" w:ascii="Times New Roman" w:hAnsi="Times New Roman" w:eastAsia="方正仿宋简体" w:cs="Times New Roman"/>
          <w:color w:val="auto"/>
          <w:sz w:val="32"/>
          <w:szCs w:val="32"/>
          <w:lang w:val="en-US" w:eastAsia="zh-CN"/>
        </w:rPr>
        <w:t>：田间道路通达率平原区达到，指标值：=100%，实际完成值：=100%，指标完成率100%。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w:t>
      </w:r>
      <w:r>
        <w:rPr>
          <w:rFonts w:hint="eastAsia" w:eastAsia="方正仿宋简体" w:cs="Times New Roman"/>
          <w:color w:val="auto"/>
          <w:sz w:val="32"/>
          <w:szCs w:val="32"/>
          <w:lang w:val="en-US" w:eastAsia="zh-CN"/>
        </w:rPr>
        <w:t>3</w:t>
      </w:r>
      <w:r>
        <w:rPr>
          <w:rFonts w:hint="eastAsia" w:ascii="Times New Roman" w:hAnsi="Times New Roman" w:eastAsia="方正仿宋简体" w:cs="Times New Roman"/>
          <w:color w:val="auto"/>
          <w:sz w:val="32"/>
          <w:szCs w:val="32"/>
          <w:lang w:val="en-US" w:eastAsia="zh-CN"/>
        </w:rPr>
        <w:t>：农业种植结构，指标值：进一步优化，实际完成值：进一步优化，指标完成率100%。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w:t>
      </w:r>
      <w:r>
        <w:rPr>
          <w:rFonts w:hint="eastAsia" w:eastAsia="方正仿宋简体" w:cs="Times New Roman"/>
          <w:color w:val="auto"/>
          <w:sz w:val="32"/>
          <w:szCs w:val="32"/>
          <w:lang w:val="en-US" w:eastAsia="zh-CN"/>
        </w:rPr>
        <w:t>4</w:t>
      </w:r>
      <w:r>
        <w:rPr>
          <w:rFonts w:hint="eastAsia" w:ascii="Times New Roman" w:hAnsi="Times New Roman" w:eastAsia="方正仿宋简体" w:cs="Times New Roman"/>
          <w:color w:val="auto"/>
          <w:sz w:val="32"/>
          <w:szCs w:val="32"/>
          <w:lang w:val="en-US" w:eastAsia="zh-CN"/>
        </w:rPr>
        <w:t>：耕地质量，指标值：逐步提升，实际完成值：逐步提升，指标完成率100%。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②生态效益指标：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指标1：水资源利用率，指标值：≥80%，实际完成值：80%，指标完成率100%。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满意度指标：收益群众满意度，指标值：≥95%，实际完成值：=95%，指标完成率100%。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霍尔果斯市2023年高标准农田建设项目年初预算5117万元，全年预算5117万元，实际支出4881.0181万元，预算执行率为95.39%，项目绩效指标总体完成率为100%，</w:t>
      </w:r>
      <w:r>
        <w:rPr>
          <w:rFonts w:hint="eastAsia" w:ascii="Times New Roman" w:hAnsi="Times New Roman" w:eastAsia="方正仿宋简体" w:cs="Times New Roman"/>
          <w:color w:val="auto"/>
          <w:sz w:val="32"/>
          <w:szCs w:val="32"/>
          <w:lang w:val="en-US" w:eastAsia="zh-Hans"/>
        </w:rPr>
        <w:t>总体</w:t>
      </w:r>
      <w:r>
        <w:rPr>
          <w:rFonts w:hint="eastAsia" w:ascii="Times New Roman" w:hAnsi="Times New Roman" w:eastAsia="方正仿宋简体" w:cs="Times New Roman"/>
          <w:color w:val="auto"/>
          <w:sz w:val="32"/>
          <w:szCs w:val="32"/>
          <w:lang w:val="en-US" w:eastAsia="zh-CN"/>
        </w:rPr>
        <w:t>偏差率为4.61%,</w:t>
      </w:r>
      <w:r>
        <w:rPr>
          <w:rFonts w:hint="eastAsia" w:ascii="Times New Roman" w:hAnsi="Times New Roman" w:eastAsia="方正仿宋简体" w:cs="Times New Roman"/>
          <w:color w:val="auto"/>
          <w:sz w:val="32"/>
          <w:szCs w:val="32"/>
          <w:lang w:val="en-US" w:eastAsia="zh-Hans"/>
        </w:rPr>
        <w:t>偏差</w:t>
      </w:r>
      <w:r>
        <w:rPr>
          <w:rFonts w:hint="eastAsia" w:ascii="Times New Roman" w:hAnsi="Times New Roman" w:eastAsia="方正仿宋简体" w:cs="Times New Roman"/>
          <w:color w:val="auto"/>
          <w:sz w:val="32"/>
          <w:szCs w:val="32"/>
          <w:lang w:val="en-US" w:eastAsia="zh-CN"/>
        </w:rPr>
        <w:t>原因霍尔果斯市2023年高标准农田建设项目已完工，正在进行结算定案，</w:t>
      </w:r>
      <w:r>
        <w:rPr>
          <w:rFonts w:hint="eastAsia" w:ascii="Times New Roman" w:hAnsi="Times New Roman" w:eastAsia="方正仿宋简体" w:cs="Times New Roman"/>
          <w:color w:val="auto"/>
          <w:sz w:val="32"/>
          <w:szCs w:val="32"/>
          <w:lang w:val="en-US" w:eastAsia="zh-Hans"/>
        </w:rPr>
        <w:t>改进</w:t>
      </w:r>
      <w:r>
        <w:rPr>
          <w:rFonts w:hint="eastAsia" w:ascii="Times New Roman" w:hAnsi="Times New Roman" w:eastAsia="方正仿宋简体" w:cs="Times New Roman"/>
          <w:color w:val="auto"/>
          <w:sz w:val="32"/>
          <w:szCs w:val="32"/>
          <w:lang w:val="en-US" w:eastAsia="zh-CN"/>
        </w:rPr>
        <w:t>措施待项目审核定案后支付至结算价的97%。</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11"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1"/>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2" w:name="_Toc68703843"/>
      <w:r>
        <w:rPr>
          <w:rFonts w:hint="eastAsia" w:ascii="Times New Roman" w:hAnsi="Times New Roman" w:eastAsia="楷体_GB2312" w:cs="Times New Roman"/>
          <w:b/>
          <w:bCs/>
          <w:kern w:val="2"/>
          <w:sz w:val="32"/>
          <w:szCs w:val="32"/>
          <w:lang w:val="en-US" w:eastAsia="zh-CN" w:bidi="ar-SA"/>
        </w:rPr>
        <w:t>（一）主要经验及做法</w:t>
      </w:r>
      <w:bookmarkEnd w:id="12"/>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hAnsi="仿宋_GB2312" w:eastAsia="仿宋_GB2312" w:cs="仿宋_GB2312"/>
          <w:sz w:val="32"/>
          <w:szCs w:val="32"/>
          <w:highlight w:val="none"/>
          <w:lang w:val="en-US" w:eastAsia="zh-CN"/>
        </w:rPr>
      </w:pPr>
      <w:bookmarkStart w:id="13"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3"/>
      <w:r>
        <w:rPr>
          <w:rFonts w:hint="eastAsia" w:ascii="Times New Roman" w:hAnsi="Times New Roman" w:eastAsia="楷体_GB2312" w:cs="Times New Roman"/>
          <w:b/>
          <w:bCs/>
          <w:kern w:val="2"/>
          <w:sz w:val="32"/>
          <w:szCs w:val="32"/>
          <w:lang w:val="en-US" w:eastAsia="zh-CN" w:bidi="ar-SA"/>
        </w:rPr>
        <w:t>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ascii="Times New Roman" w:hAnsi="Times New Roman" w:eastAsia="仿宋_GB2312" w:cs="Times New Roman"/>
          <w:b w:val="0"/>
          <w:bCs w:val="0"/>
          <w:color w:val="FF0000"/>
          <w:kern w:val="2"/>
          <w:sz w:val="32"/>
          <w:szCs w:val="32"/>
          <w:lang w:val="en-US" w:eastAsia="zh-CN" w:bidi="ar-SA"/>
        </w:rPr>
      </w:pPr>
      <w:bookmarkStart w:id="14"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4"/>
      <w:r>
        <w:rPr>
          <w:rFonts w:hint="eastAsia" w:ascii="Times New Roman" w:hAnsi="Times New Roman" w:eastAsia="黑体" w:cs="Times New Roman"/>
          <w:b w:val="0"/>
          <w:bCs/>
          <w:kern w:val="2"/>
          <w:sz w:val="32"/>
          <w:szCs w:val="32"/>
          <w:lang w:val="en-US" w:eastAsia="zh-CN" w:bidi="ar-SA"/>
        </w:rPr>
        <w:t>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1.多进行有关绩效管理工作方面的培训。积极组织第三方开展绩效管理工作培训，进一步夯实业务基础，提高我单位绩效人员水平。</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sz w:val="32"/>
          <w:szCs w:val="32"/>
        </w:rPr>
      </w:pPr>
      <w:bookmarkStart w:id="15" w:name="_Toc68703846"/>
      <w:r>
        <w:rPr>
          <w:rFonts w:hint="eastAsia" w:ascii="黑体" w:hAnsi="黑体" w:eastAsia="黑体" w:cs="黑体"/>
          <w:b w:val="0"/>
          <w:bCs w:val="0"/>
          <w:sz w:val="32"/>
          <w:szCs w:val="32"/>
          <w:lang w:eastAsia="zh-CN"/>
        </w:rPr>
        <w:t>八</w:t>
      </w:r>
      <w:r>
        <w:rPr>
          <w:rFonts w:hint="eastAsia" w:ascii="黑体" w:hAnsi="黑体" w:eastAsia="黑体" w:cs="黑体"/>
          <w:b w:val="0"/>
          <w:bCs w:val="0"/>
          <w:sz w:val="32"/>
          <w:szCs w:val="32"/>
        </w:rPr>
        <w:t>、其他需要说明的问题</w:t>
      </w:r>
      <w:bookmarkEnd w:id="15"/>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Hans"/>
        </w:rPr>
        <w:t>本项目无其他需说明的问题</w:t>
      </w:r>
      <w:r>
        <w:rPr>
          <w:rFonts w:hint="eastAsia" w:ascii="Times New Roman" w:hAnsi="Times New Roman" w:eastAsia="方正仿宋简体" w:cs="Times New Roman"/>
          <w:color w:val="auto"/>
          <w:sz w:val="32"/>
          <w:szCs w:val="32"/>
          <w:lang w:val="en-US" w:eastAsia="zh-CN"/>
        </w:rPr>
        <w:t>。</w:t>
      </w:r>
    </w:p>
    <w:p>
      <w:pPr>
        <w:pStyle w:val="14"/>
        <w:spacing w:line="560" w:lineRule="exact"/>
        <w:ind w:firstLine="640" w:firstLineChars="200"/>
        <w:rPr>
          <w:rFonts w:hint="eastAsia"/>
          <w:color w:val="auto"/>
          <w:sz w:val="32"/>
          <w:szCs w:val="32"/>
        </w:rPr>
      </w:pPr>
    </w:p>
    <w:p>
      <w:pPr>
        <w:pStyle w:val="2"/>
      </w:pPr>
    </w:p>
    <w:p/>
    <w:p>
      <w:pPr>
        <w:pStyle w:val="2"/>
      </w:pPr>
    </w:p>
    <w:p>
      <w:pPr>
        <w:bidi w:val="0"/>
      </w:pPr>
    </w:p>
    <w:p>
      <w:pPr>
        <w:bidi w:val="0"/>
      </w:pPr>
    </w:p>
    <w:p>
      <w:pPr>
        <w:bidi w:val="0"/>
      </w:pPr>
    </w:p>
    <w:p>
      <w:pPr>
        <w:sectPr>
          <w:pgSz w:w="11906" w:h="16838"/>
          <w:pgMar w:top="1440" w:right="1800" w:bottom="1440" w:left="1800" w:header="851" w:footer="992" w:gutter="0"/>
          <w:cols w:space="425" w:num="1"/>
          <w:docGrid w:type="lines" w:linePitch="312" w:charSpace="0"/>
        </w:sectPr>
      </w:pPr>
      <w:r>
        <w:br w:type="page"/>
      </w:r>
    </w:p>
    <w:tbl>
      <w:tblPr>
        <w:tblStyle w:val="12"/>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2023年中央农田建设补助资金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霍尔果斯市农业农村局</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5117.00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5117</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4881.02</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95.39%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5117</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5117</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4881.0181</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高标准农田18000亩，通过项目建设，有效改善项目区农田基础设施条件，提升耕地质量，提高粮食综合生产能力。其中，新增高效节水灌溉面积18000亩，改造提升建设项目16300亩，提升农田灌溉排水和节水能力。</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高标准农田18000亩，通过项目建设，有效改善项目区农田基础设施条件，提升耕地质量，提高粮食综合生产能力。其中，新增高效节水灌溉面积18000亩，改造提升建设项目16300亩，提升农田灌溉排水和节水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新建高标准农田面积</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&gt;=18000亩</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18000亩</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其中，新增高效节水灌溉面积</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&gt;=18000亩</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18000亩</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财政资金亩均补助水平</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&gt;=1500元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1740元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到位资金5117万元，亩均投资1740元。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改造提升灌溉面积</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&gt;=16300亩</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16300亩</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实际验收合格，项目均正常运转。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任务完成及时性</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2023年11月31日</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2023年11月31日</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粮食综合生产能力</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明显提高</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明显提高</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田间道路通达率平原区达到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农业种植结构</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进一步优化</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进一步优化</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耕地质量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逐步提升</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逐步提升</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水资源利用率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根据调查结果显示，满意度为98%。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100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pPr>
    </w:p>
    <w:p/>
    <w:p>
      <w:pPr>
        <w:bidi w:val="0"/>
        <w:jc w:val="center"/>
      </w:pPr>
    </w:p>
    <w:p>
      <w:pPr>
        <w:pStyle w:val="14"/>
        <w:ind w:firstLine="562"/>
        <w:jc w:val="center"/>
        <w:rPr>
          <w:sz w:val="28"/>
          <w:szCs w:val="40"/>
        </w:rPr>
      </w:pPr>
      <w:bookmarkStart w:id="16" w:name="_Toc30064_WPSOffice_Level1"/>
      <w:bookmarkStart w:id="17" w:name="_Toc26499_WPSOffice_Level2"/>
      <w:r>
        <w:rPr>
          <w:rFonts w:hint="eastAsia" w:ascii="Times New Roman" w:hAnsi="Times New Roman" w:cs="Times New Roman"/>
          <w:b/>
          <w:bCs/>
          <w:sz w:val="28"/>
          <w:szCs w:val="40"/>
          <w:lang w:val="en-US" w:eastAsia="zh-CN"/>
        </w:rPr>
        <w:t>2023年高标准农田建设项目</w:t>
      </w:r>
      <w:r>
        <w:rPr>
          <w:rFonts w:hint="eastAsia" w:ascii="Times New Roman" w:hAnsi="Times New Roman" w:cs="Times New Roman"/>
          <w:b/>
          <w:bCs/>
          <w:sz w:val="28"/>
          <w:szCs w:val="40"/>
        </w:rPr>
        <w:t>绩</w:t>
      </w:r>
      <w:r>
        <w:rPr>
          <w:rFonts w:hint="eastAsia"/>
          <w:b/>
          <w:bCs/>
          <w:sz w:val="28"/>
          <w:szCs w:val="40"/>
        </w:rPr>
        <w:t>效评价指标体系及综合评分表</w:t>
      </w:r>
      <w:bookmarkEnd w:id="16"/>
      <w:bookmarkEnd w:id="17"/>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ascii="Times New Roman" w:hAnsi="Times New Roman" w:cs="Times New Roman"/>
                <w:b/>
                <w:bCs/>
                <w:color w:val="000000"/>
                <w:kern w:val="0"/>
                <w:sz w:val="22"/>
                <w:szCs w:val="22"/>
                <w:lang w:val="en-US" w:eastAsia="zh-CN"/>
              </w:rPr>
              <w:t>3.8</w:t>
            </w:r>
            <w:r>
              <w:rPr>
                <w:rFonts w:hint="eastAsia" w:cs="Times New Roman"/>
                <w:b/>
                <w:bCs/>
                <w:color w:val="000000"/>
                <w:kern w:val="0"/>
                <w:sz w:val="22"/>
                <w:szCs w:val="22"/>
                <w:lang w:val="en-US" w:eastAsia="zh-CN"/>
              </w:rPr>
              <w:t>0</w:t>
            </w:r>
            <w:bookmarkStart w:id="18" w:name="_GoBack"/>
            <w:bookmarkEnd w:id="18"/>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eastAsia="仿宋_GB2312" w:cs="Times New Roman"/>
                <w:kern w:val="2"/>
                <w:sz w:val="30"/>
                <w:szCs w:val="24"/>
                <w:lang w:val="en-US" w:eastAsia="zh-CN" w:bidi="ar-SA"/>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bl>
    <w:p/>
    <w:p>
      <w:pPr>
        <w:pStyle w:val="2"/>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F14CC"/>
    <w:multiLevelType w:val="singleLevel"/>
    <w:tmpl w:val="2ABF14CC"/>
    <w:lvl w:ilvl="0" w:tentative="0">
      <w:start w:val="1"/>
      <w:numFmt w:val="decimal"/>
      <w:pStyle w:val="9"/>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4067F"/>
    <w:rsid w:val="0B771008"/>
    <w:rsid w:val="0C6C3023"/>
    <w:rsid w:val="0EC33323"/>
    <w:rsid w:val="11785ABA"/>
    <w:rsid w:val="1823328D"/>
    <w:rsid w:val="18E17D8B"/>
    <w:rsid w:val="192F38ED"/>
    <w:rsid w:val="1C0732E7"/>
    <w:rsid w:val="1C5D5B5E"/>
    <w:rsid w:val="1D310DA6"/>
    <w:rsid w:val="1E9F748D"/>
    <w:rsid w:val="20F327B6"/>
    <w:rsid w:val="24AD1C0A"/>
    <w:rsid w:val="26A24C02"/>
    <w:rsid w:val="2E68477F"/>
    <w:rsid w:val="2EC25066"/>
    <w:rsid w:val="3086149B"/>
    <w:rsid w:val="31B402DB"/>
    <w:rsid w:val="325B2DDE"/>
    <w:rsid w:val="34D91EB2"/>
    <w:rsid w:val="35F90E99"/>
    <w:rsid w:val="377C5C90"/>
    <w:rsid w:val="388D699F"/>
    <w:rsid w:val="38C138AB"/>
    <w:rsid w:val="38CD6BC8"/>
    <w:rsid w:val="392C2F5A"/>
    <w:rsid w:val="3F7F647D"/>
    <w:rsid w:val="41777332"/>
    <w:rsid w:val="422109C3"/>
    <w:rsid w:val="429D5569"/>
    <w:rsid w:val="49EC6FC9"/>
    <w:rsid w:val="4BA80A71"/>
    <w:rsid w:val="526A6E7B"/>
    <w:rsid w:val="550D6307"/>
    <w:rsid w:val="5A3A1AE4"/>
    <w:rsid w:val="5A990B90"/>
    <w:rsid w:val="5AA77028"/>
    <w:rsid w:val="5ABE39E2"/>
    <w:rsid w:val="5BB92CA9"/>
    <w:rsid w:val="5FAC10BD"/>
    <w:rsid w:val="676705B3"/>
    <w:rsid w:val="69702197"/>
    <w:rsid w:val="6CB27EF7"/>
    <w:rsid w:val="75006486"/>
    <w:rsid w:val="76C149CC"/>
    <w:rsid w:val="79537D6C"/>
    <w:rsid w:val="7A124B07"/>
    <w:rsid w:val="7B2D3022"/>
    <w:rsid w:val="7C575AFB"/>
    <w:rsid w:val="7CDB4485"/>
    <w:rsid w:val="7F9B3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qFormat/>
    <w:uiPriority w:val="0"/>
    <w:pPr>
      <w:jc w:val="left"/>
    </w:pPr>
  </w:style>
  <w:style w:type="paragraph" w:styleId="6">
    <w:name w:val="Body Text"/>
    <w:basedOn w:val="1"/>
    <w:next w:val="7"/>
    <w:qFormat/>
    <w:uiPriority w:val="0"/>
    <w:pPr>
      <w:spacing w:after="120"/>
    </w:pPr>
  </w:style>
  <w:style w:type="paragraph" w:styleId="7">
    <w:name w:val="toc 4"/>
    <w:next w:val="1"/>
    <w:qFormat/>
    <w:uiPriority w:val="0"/>
    <w:pPr>
      <w:wordWrap w:val="0"/>
      <w:ind w:left="1106"/>
      <w:jc w:val="both"/>
    </w:pPr>
    <w:rPr>
      <w:rFonts w:ascii="Times New Roman" w:hAnsi="Times New Roman" w:eastAsia="宋体" w:cs="Times New Roman"/>
      <w:lang w:val="en-US" w:eastAsia="zh-CN" w:bidi="ar-SA"/>
    </w:rPr>
  </w:style>
  <w:style w:type="paragraph" w:styleId="8">
    <w:name w:val="Plain Text"/>
    <w:basedOn w:val="1"/>
    <w:next w:val="9"/>
    <w:qFormat/>
    <w:uiPriority w:val="0"/>
    <w:rPr>
      <w:rFonts w:ascii="宋体" w:hAnsi="Courier New"/>
      <w:szCs w:val="20"/>
    </w:rPr>
  </w:style>
  <w:style w:type="paragraph" w:styleId="9">
    <w:name w:val="List Number 5"/>
    <w:basedOn w:val="1"/>
    <w:qFormat/>
    <w:uiPriority w:val="0"/>
    <w:pPr>
      <w:numPr>
        <w:ilvl w:val="0"/>
        <w:numId w:val="1"/>
      </w:numPr>
    </w:pPr>
  </w:style>
  <w:style w:type="paragraph" w:styleId="10">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6"/>
    <w:next w:val="8"/>
    <w:qFormat/>
    <w:uiPriority w:val="99"/>
    <w:pPr>
      <w:ind w:firstLine="420" w:firstLineChars="200"/>
    </w:pPr>
    <w:rPr>
      <w:rFonts w:ascii="Calibri" w:hAnsi="Calibri"/>
    </w:rPr>
  </w:style>
  <w:style w:type="paragraph" w:customStyle="1" w:styleId="1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2024-04-12T08:46:00Z</dcterms:created>
  <dc:creator>马俊</dc:creator>
  <cp:lastModifiedBy>Administrator</cp:lastModifiedBy>
  <dcterms:modified xsi:type="dcterms:W3CDTF">2024-06-12T03:01:42Z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3F95ACA29D774282B5FF71F350104227</vt:lpwstr>
  </property>
</Properties>
</file>