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宋体" w:cs="Times New Roman"/>
          <w:b/>
          <w:bCs/>
          <w:color w:val="auto"/>
          <w:sz w:val="48"/>
          <w:szCs w:val="48"/>
          <w:highlight w:val="none"/>
        </w:rPr>
      </w:pPr>
    </w:p>
    <w:p>
      <w:pPr>
        <w:jc w:val="center"/>
        <w:rPr>
          <w:rFonts w:hint="default" w:ascii="Times New Roman" w:hAnsi="Times New Roman" w:eastAsia="宋体" w:cs="Times New Roman"/>
          <w:b/>
          <w:bCs/>
          <w:color w:val="auto"/>
          <w:sz w:val="48"/>
          <w:szCs w:val="48"/>
          <w:highlight w:val="none"/>
        </w:rPr>
      </w:pPr>
    </w:p>
    <w:p>
      <w:pPr>
        <w:jc w:val="center"/>
        <w:rPr>
          <w:rFonts w:hint="default" w:ascii="Times New Roman" w:hAnsi="Times New Roman" w:eastAsia="宋体" w:cs="Times New Roman"/>
          <w:b w:val="0"/>
          <w:bCs w:val="0"/>
          <w:color w:val="auto"/>
          <w:sz w:val="48"/>
          <w:szCs w:val="48"/>
          <w:highlight w:val="none"/>
        </w:rPr>
      </w:pPr>
    </w:p>
    <w:p>
      <w:pPr>
        <w:spacing w:line="540" w:lineRule="exact"/>
        <w:jc w:val="center"/>
        <w:rPr>
          <w:rFonts w:hint="default" w:ascii="Times New Roman" w:hAnsi="Times New Roman" w:eastAsia="方正小标宋简体" w:cs="Times New Roman"/>
          <w:b w:val="0"/>
          <w:bCs w:val="0"/>
          <w:color w:val="auto"/>
          <w:kern w:val="0"/>
          <w:sz w:val="48"/>
          <w:szCs w:val="48"/>
          <w:highlight w:val="none"/>
        </w:rPr>
      </w:pPr>
      <w:r>
        <w:rPr>
          <w:rFonts w:hint="default" w:ascii="Times New Roman" w:hAnsi="Times New Roman" w:eastAsia="方正小标宋简体" w:cs="Times New Roman"/>
          <w:b w:val="0"/>
          <w:bCs w:val="0"/>
          <w:color w:val="auto"/>
          <w:kern w:val="0"/>
          <w:sz w:val="48"/>
          <w:szCs w:val="48"/>
          <w:highlight w:val="none"/>
        </w:rPr>
        <w:t>霍尔果斯市连霍高速绿色长廊建设项目(二期)支出绩效评价报告</w:t>
      </w:r>
    </w:p>
    <w:p>
      <w:pPr>
        <w:jc w:val="center"/>
        <w:rPr>
          <w:rFonts w:hint="default" w:ascii="Times New Roman" w:hAnsi="Times New Roman" w:eastAsia="宋体" w:cs="Times New Roman"/>
          <w:b/>
          <w:bCs/>
          <w:color w:val="auto"/>
          <w:sz w:val="48"/>
          <w:szCs w:val="48"/>
          <w:highlight w:val="none"/>
        </w:rPr>
      </w:pPr>
    </w:p>
    <w:p>
      <w:pPr>
        <w:widowControl/>
        <w:spacing w:line="560" w:lineRule="exact"/>
        <w:jc w:val="center"/>
        <w:rPr>
          <w:rFonts w:hint="default" w:ascii="Times New Roman" w:hAnsi="Times New Roman" w:cs="Times New Roman"/>
          <w:b/>
          <w:color w:val="auto"/>
          <w:kern w:val="0"/>
          <w:sz w:val="50"/>
          <w:szCs w:val="50"/>
          <w:highlight w:val="none"/>
          <w:lang w:bidi="en-US"/>
        </w:rPr>
      </w:pPr>
      <w:r>
        <w:rPr>
          <w:rFonts w:hint="default" w:ascii="Times New Roman" w:hAnsi="Times New Roman" w:eastAsia="红豆小标宋简体" w:cs="Times New Roman"/>
          <w:color w:val="auto"/>
          <w:kern w:val="0"/>
          <w:sz w:val="36"/>
          <w:szCs w:val="36"/>
          <w:highlight w:val="none"/>
        </w:rPr>
        <w:t>（202</w:t>
      </w:r>
      <w:r>
        <w:rPr>
          <w:rFonts w:hint="default" w:ascii="Times New Roman" w:hAnsi="Times New Roman" w:eastAsia="红豆小标宋简体" w:cs="Times New Roman"/>
          <w:color w:val="auto"/>
          <w:kern w:val="0"/>
          <w:sz w:val="36"/>
          <w:szCs w:val="36"/>
          <w:highlight w:val="none"/>
          <w:lang w:val="en-US" w:eastAsia="zh-CN"/>
        </w:rPr>
        <w:t>3</w:t>
      </w:r>
      <w:r>
        <w:rPr>
          <w:rFonts w:hint="default" w:ascii="Times New Roman" w:hAnsi="Times New Roman" w:eastAsia="红豆小标宋简体" w:cs="Times New Roman"/>
          <w:color w:val="auto"/>
          <w:kern w:val="0"/>
          <w:sz w:val="36"/>
          <w:szCs w:val="36"/>
          <w:highlight w:val="none"/>
        </w:rPr>
        <w:t>年度）</w:t>
      </w:r>
    </w:p>
    <w:p>
      <w:pPr>
        <w:spacing w:line="480" w:lineRule="auto"/>
        <w:jc w:val="center"/>
        <w:rPr>
          <w:rFonts w:hint="default" w:ascii="Times New Roman" w:hAnsi="Times New Roman" w:cs="Times New Roman"/>
          <w:b/>
          <w:color w:val="auto"/>
          <w:kern w:val="0"/>
          <w:sz w:val="50"/>
          <w:szCs w:val="50"/>
          <w:highlight w:val="none"/>
          <w:lang w:val="en-US" w:eastAsia="zh-CN" w:bidi="en-US"/>
        </w:rPr>
      </w:pPr>
      <w:r>
        <w:rPr>
          <w:rFonts w:hint="default" w:ascii="Times New Roman" w:hAnsi="Times New Roman" w:cs="Times New Roman"/>
          <w:b/>
          <w:color w:val="auto"/>
          <w:kern w:val="0"/>
          <w:sz w:val="50"/>
          <w:szCs w:val="50"/>
          <w:highlight w:val="none"/>
          <w:lang w:val="en-US" w:eastAsia="zh-CN" w:bidi="en-US"/>
        </w:rPr>
        <w:t xml:space="preserve">   </w:t>
      </w:r>
    </w:p>
    <w:p>
      <w:pPr>
        <w:pStyle w:val="2"/>
        <w:rPr>
          <w:rFonts w:hint="default" w:ascii="Times New Roman" w:hAnsi="Times New Roman" w:cs="Times New Roman"/>
          <w:b/>
          <w:color w:val="auto"/>
          <w:kern w:val="0"/>
          <w:sz w:val="50"/>
          <w:szCs w:val="50"/>
          <w:highlight w:val="none"/>
          <w:lang w:val="en-US" w:eastAsia="zh-CN" w:bidi="en-US"/>
        </w:rPr>
      </w:pPr>
    </w:p>
    <w:p>
      <w:pPr>
        <w:pStyle w:val="2"/>
        <w:rPr>
          <w:rFonts w:hint="default" w:ascii="Times New Roman" w:hAnsi="Times New Roman" w:cs="Times New Roman"/>
          <w:lang w:val="en-US" w:eastAsia="zh-CN"/>
        </w:rPr>
      </w:pPr>
    </w:p>
    <w:p>
      <w:pPr>
        <w:spacing w:line="480" w:lineRule="auto"/>
        <w:jc w:val="both"/>
        <w:rPr>
          <w:rFonts w:hint="default" w:ascii="Times New Roman" w:hAnsi="Times New Roman" w:cs="Times New Roman"/>
          <w:b/>
          <w:color w:val="auto"/>
          <w:kern w:val="0"/>
          <w:sz w:val="50"/>
          <w:szCs w:val="50"/>
          <w:highlight w:val="none"/>
          <w:lang w:bidi="en-US"/>
        </w:rPr>
      </w:pPr>
    </w:p>
    <w:p>
      <w:pPr>
        <w:spacing w:line="560" w:lineRule="exact"/>
        <w:ind w:left="3209" w:leftChars="106" w:hanging="2891" w:hangingChars="900"/>
        <w:jc w:val="both"/>
        <w:rPr>
          <w:rFonts w:hint="default" w:ascii="Times New Roman" w:hAnsi="Times New Roman" w:eastAsia="宋体" w:cs="Times New Roman"/>
          <w:color w:val="auto"/>
          <w:kern w:val="0"/>
          <w:sz w:val="32"/>
          <w:szCs w:val="32"/>
          <w:highlight w:val="none"/>
        </w:rPr>
      </w:pPr>
      <w:r>
        <w:rPr>
          <w:rFonts w:hint="default" w:ascii="Times New Roman" w:hAnsi="Times New Roman" w:eastAsia="宋体" w:cs="Times New Roman"/>
          <w:b/>
          <w:bCs/>
          <w:color w:val="auto"/>
          <w:kern w:val="0"/>
          <w:sz w:val="32"/>
          <w:szCs w:val="32"/>
          <w:highlight w:val="none"/>
          <w:lang w:eastAsia="zh-CN"/>
        </w:rPr>
        <w:t>　　　　</w:t>
      </w:r>
      <w:r>
        <w:rPr>
          <w:rFonts w:hint="default" w:ascii="Times New Roman" w:hAnsi="Times New Roman" w:eastAsia="宋体" w:cs="Times New Roman"/>
          <w:b/>
          <w:bCs/>
          <w:color w:val="auto"/>
          <w:kern w:val="0"/>
          <w:sz w:val="32"/>
          <w:szCs w:val="32"/>
          <w:highlight w:val="none"/>
        </w:rPr>
        <w:t>项目名称：霍尔果斯市连霍高速绿色长廊建设项目(二期)</w:t>
      </w:r>
    </w:p>
    <w:p>
      <w:pPr>
        <w:spacing w:line="560" w:lineRule="exact"/>
        <w:jc w:val="both"/>
        <w:rPr>
          <w:rFonts w:hint="default" w:ascii="Times New Roman" w:hAnsi="Times New Roman" w:eastAsia="宋体" w:cs="Times New Roman"/>
          <w:b/>
          <w:bCs/>
          <w:color w:val="auto"/>
          <w:kern w:val="0"/>
          <w:sz w:val="32"/>
          <w:szCs w:val="32"/>
          <w:highlight w:val="none"/>
        </w:rPr>
      </w:pPr>
      <w:r>
        <w:rPr>
          <w:rFonts w:hint="default" w:ascii="Times New Roman" w:hAnsi="Times New Roman" w:eastAsia="宋体" w:cs="Times New Roman"/>
          <w:b/>
          <w:bCs/>
          <w:color w:val="auto"/>
          <w:kern w:val="0"/>
          <w:sz w:val="32"/>
          <w:szCs w:val="32"/>
          <w:highlight w:val="none"/>
          <w:lang w:eastAsia="zh-CN"/>
        </w:rPr>
        <w:t>　　　　　</w:t>
      </w:r>
      <w:r>
        <w:rPr>
          <w:rFonts w:hint="default" w:ascii="Times New Roman" w:hAnsi="Times New Roman" w:eastAsia="宋体" w:cs="Times New Roman"/>
          <w:b/>
          <w:bCs/>
          <w:color w:val="auto"/>
          <w:kern w:val="0"/>
          <w:sz w:val="32"/>
          <w:szCs w:val="32"/>
          <w:highlight w:val="none"/>
        </w:rPr>
        <w:t>实施单位（公章）：</w:t>
      </w:r>
      <w:r>
        <w:rPr>
          <w:rFonts w:hint="default" w:ascii="Times New Roman" w:hAnsi="Times New Roman" w:eastAsia="仿宋_GB2312" w:cs="Times New Roman"/>
          <w:b/>
          <w:bCs/>
          <w:color w:val="auto"/>
          <w:sz w:val="32"/>
          <w:szCs w:val="32"/>
          <w:highlight w:val="none"/>
          <w:lang w:val="en-US" w:eastAsia="zh-CN"/>
        </w:rPr>
        <w:t>霍尔果斯市</w:t>
      </w:r>
      <w:r>
        <w:rPr>
          <w:rFonts w:hint="default" w:ascii="Times New Roman" w:hAnsi="Times New Roman" w:cs="Times New Roman"/>
          <w:b/>
          <w:bCs/>
          <w:color w:val="auto"/>
          <w:sz w:val="32"/>
          <w:szCs w:val="32"/>
          <w:highlight w:val="none"/>
          <w:lang w:val="en-US" w:eastAsia="zh-CN"/>
        </w:rPr>
        <w:t>城市管理局</w:t>
      </w:r>
    </w:p>
    <w:p>
      <w:pPr>
        <w:spacing w:line="560" w:lineRule="exact"/>
        <w:jc w:val="both"/>
        <w:rPr>
          <w:rFonts w:hint="default" w:ascii="Times New Roman" w:hAnsi="Times New Roman" w:eastAsia="宋体" w:cs="Times New Roman"/>
          <w:color w:val="auto"/>
          <w:kern w:val="0"/>
          <w:sz w:val="32"/>
          <w:szCs w:val="32"/>
          <w:highlight w:val="none"/>
        </w:rPr>
      </w:pPr>
      <w:r>
        <w:rPr>
          <w:rFonts w:hint="default" w:ascii="Times New Roman" w:hAnsi="Times New Roman" w:eastAsia="宋体" w:cs="Times New Roman"/>
          <w:b/>
          <w:bCs/>
          <w:color w:val="auto"/>
          <w:kern w:val="0"/>
          <w:sz w:val="32"/>
          <w:szCs w:val="32"/>
          <w:highlight w:val="none"/>
          <w:lang w:eastAsia="zh-CN"/>
        </w:rPr>
        <w:t>　　　　　</w:t>
      </w:r>
      <w:r>
        <w:rPr>
          <w:rFonts w:hint="default" w:ascii="Times New Roman" w:hAnsi="Times New Roman" w:eastAsia="宋体" w:cs="Times New Roman"/>
          <w:b/>
          <w:bCs/>
          <w:color w:val="auto"/>
          <w:kern w:val="0"/>
          <w:sz w:val="32"/>
          <w:szCs w:val="32"/>
          <w:highlight w:val="none"/>
        </w:rPr>
        <w:t>主管部门（公章）：</w:t>
      </w:r>
      <w:r>
        <w:rPr>
          <w:rFonts w:hint="default" w:ascii="Times New Roman" w:hAnsi="Times New Roman" w:eastAsia="仿宋_GB2312" w:cs="Times New Roman"/>
          <w:b/>
          <w:bCs/>
          <w:color w:val="auto"/>
          <w:sz w:val="32"/>
          <w:szCs w:val="32"/>
          <w:highlight w:val="none"/>
          <w:lang w:val="en-US" w:eastAsia="zh-CN"/>
        </w:rPr>
        <w:t>霍尔果斯市</w:t>
      </w:r>
      <w:r>
        <w:rPr>
          <w:rFonts w:hint="default" w:ascii="Times New Roman" w:hAnsi="Times New Roman" w:cs="Times New Roman"/>
          <w:b/>
          <w:bCs/>
          <w:color w:val="auto"/>
          <w:sz w:val="32"/>
          <w:szCs w:val="32"/>
          <w:highlight w:val="none"/>
          <w:lang w:val="en-US" w:eastAsia="zh-CN"/>
        </w:rPr>
        <w:t>城市管理局</w:t>
      </w:r>
    </w:p>
    <w:p>
      <w:pPr>
        <w:spacing w:line="560" w:lineRule="exact"/>
        <w:ind w:firstLine="321" w:firstLineChars="100"/>
        <w:jc w:val="both"/>
        <w:rPr>
          <w:rFonts w:hint="default" w:ascii="Times New Roman" w:hAnsi="Times New Roman" w:eastAsia="宋体" w:cs="Times New Roman"/>
          <w:color w:val="auto"/>
          <w:kern w:val="0"/>
          <w:sz w:val="32"/>
          <w:szCs w:val="32"/>
          <w:highlight w:val="none"/>
          <w:lang w:eastAsia="zh-CN"/>
        </w:rPr>
      </w:pPr>
      <w:r>
        <w:rPr>
          <w:rFonts w:hint="default" w:ascii="Times New Roman" w:hAnsi="Times New Roman" w:eastAsia="宋体" w:cs="Times New Roman"/>
          <w:b/>
          <w:bCs/>
          <w:color w:val="auto"/>
          <w:kern w:val="0"/>
          <w:sz w:val="32"/>
          <w:szCs w:val="32"/>
          <w:highlight w:val="none"/>
          <w:lang w:eastAsia="zh-CN"/>
        </w:rPr>
        <w:t>　　　　</w:t>
      </w:r>
      <w:r>
        <w:rPr>
          <w:rFonts w:hint="default" w:ascii="Times New Roman" w:hAnsi="Times New Roman" w:eastAsia="宋体" w:cs="Times New Roman"/>
          <w:b/>
          <w:bCs/>
          <w:color w:val="auto"/>
          <w:kern w:val="0"/>
          <w:sz w:val="32"/>
          <w:szCs w:val="32"/>
          <w:highlight w:val="none"/>
        </w:rPr>
        <w:t>项目负责人（签章）：</w:t>
      </w:r>
      <w:r>
        <w:rPr>
          <w:rFonts w:hint="default" w:ascii="Times New Roman" w:hAnsi="Times New Roman" w:eastAsia="宋体" w:cs="Times New Roman"/>
          <w:b/>
          <w:bCs/>
          <w:color w:val="auto"/>
          <w:kern w:val="0"/>
          <w:sz w:val="32"/>
          <w:szCs w:val="32"/>
          <w:highlight w:val="none"/>
          <w:lang w:eastAsia="zh-CN"/>
        </w:rPr>
        <w:t>马卿</w:t>
      </w:r>
    </w:p>
    <w:p>
      <w:pPr>
        <w:spacing w:line="560" w:lineRule="exact"/>
        <w:ind w:firstLine="321" w:firstLineChars="100"/>
        <w:jc w:val="both"/>
        <w:rPr>
          <w:rFonts w:hint="default" w:ascii="Times New Roman" w:hAnsi="Times New Roman" w:eastAsia="宋体" w:cs="Times New Roman"/>
          <w:color w:val="auto"/>
          <w:kern w:val="0"/>
          <w:sz w:val="32"/>
          <w:szCs w:val="32"/>
          <w:highlight w:val="none"/>
        </w:rPr>
      </w:pPr>
      <w:r>
        <w:rPr>
          <w:rFonts w:hint="default" w:ascii="Times New Roman" w:hAnsi="Times New Roman" w:eastAsia="宋体" w:cs="Times New Roman"/>
          <w:b/>
          <w:bCs/>
          <w:color w:val="auto"/>
          <w:kern w:val="0"/>
          <w:sz w:val="32"/>
          <w:szCs w:val="32"/>
          <w:highlight w:val="none"/>
          <w:lang w:eastAsia="zh-CN"/>
        </w:rPr>
        <w:t>　　　　</w:t>
      </w:r>
      <w:r>
        <w:rPr>
          <w:rFonts w:hint="default" w:ascii="Times New Roman" w:hAnsi="Times New Roman" w:eastAsia="宋体" w:cs="Times New Roman"/>
          <w:b/>
          <w:bCs/>
          <w:color w:val="auto"/>
          <w:kern w:val="0"/>
          <w:sz w:val="32"/>
          <w:szCs w:val="32"/>
          <w:highlight w:val="none"/>
        </w:rPr>
        <w:t>填报时间：</w:t>
      </w:r>
      <w:r>
        <w:rPr>
          <w:rFonts w:hint="default" w:ascii="Times New Roman" w:hAnsi="Times New Roman" w:eastAsia="宋体" w:cs="Times New Roman"/>
          <w:color w:val="auto"/>
          <w:kern w:val="0"/>
          <w:sz w:val="32"/>
          <w:szCs w:val="32"/>
          <w:highlight w:val="none"/>
        </w:rPr>
        <w:t>202</w:t>
      </w:r>
      <w:r>
        <w:rPr>
          <w:rFonts w:hint="default" w:ascii="Times New Roman" w:hAnsi="Times New Roman" w:eastAsia="宋体" w:cs="Times New Roman"/>
          <w:color w:val="auto"/>
          <w:kern w:val="0"/>
          <w:sz w:val="32"/>
          <w:szCs w:val="32"/>
          <w:highlight w:val="none"/>
          <w:lang w:val="en-US" w:eastAsia="zh-CN"/>
        </w:rPr>
        <w:t>4</w:t>
      </w:r>
      <w:r>
        <w:rPr>
          <w:rFonts w:hint="default" w:ascii="Times New Roman" w:hAnsi="Times New Roman" w:eastAsia="宋体" w:cs="Times New Roman"/>
          <w:color w:val="auto"/>
          <w:kern w:val="0"/>
          <w:sz w:val="32"/>
          <w:szCs w:val="32"/>
          <w:highlight w:val="none"/>
        </w:rPr>
        <w:t>年</w:t>
      </w:r>
      <w:r>
        <w:rPr>
          <w:rFonts w:hint="default" w:ascii="Times New Roman" w:hAnsi="Times New Roman" w:eastAsia="宋体" w:cs="Times New Roman"/>
          <w:color w:val="auto"/>
          <w:kern w:val="0"/>
          <w:sz w:val="32"/>
          <w:szCs w:val="32"/>
          <w:highlight w:val="none"/>
          <w:lang w:val="en-US" w:eastAsia="zh-CN"/>
        </w:rPr>
        <w:t>5</w:t>
      </w:r>
      <w:r>
        <w:rPr>
          <w:rFonts w:hint="default" w:ascii="Times New Roman" w:hAnsi="Times New Roman" w:eastAsia="宋体" w:cs="Times New Roman"/>
          <w:color w:val="auto"/>
          <w:kern w:val="0"/>
          <w:sz w:val="32"/>
          <w:szCs w:val="32"/>
          <w:highlight w:val="none"/>
        </w:rPr>
        <w:t>月</w:t>
      </w:r>
      <w:r>
        <w:rPr>
          <w:rFonts w:hint="default" w:ascii="Times New Roman" w:hAnsi="Times New Roman" w:eastAsia="宋体" w:cs="Times New Roman"/>
          <w:color w:val="auto"/>
          <w:kern w:val="0"/>
          <w:sz w:val="32"/>
          <w:szCs w:val="32"/>
          <w:highlight w:val="none"/>
          <w:lang w:val="en-US" w:eastAsia="zh-CN"/>
        </w:rPr>
        <w:t>11</w:t>
      </w:r>
      <w:r>
        <w:rPr>
          <w:rFonts w:hint="default" w:ascii="Times New Roman" w:hAnsi="Times New Roman" w:eastAsia="宋体" w:cs="Times New Roman"/>
          <w:color w:val="auto"/>
          <w:kern w:val="0"/>
          <w:sz w:val="32"/>
          <w:szCs w:val="32"/>
          <w:highlight w:val="none"/>
        </w:rPr>
        <w:t>日</w:t>
      </w:r>
    </w:p>
    <w:p>
      <w:pPr>
        <w:widowControl/>
        <w:jc w:val="left"/>
        <w:rPr>
          <w:rFonts w:hint="default" w:ascii="Times New Roman" w:hAnsi="Times New Roman" w:eastAsia="宋体" w:cs="Times New Roman"/>
          <w:b/>
          <w:bCs/>
          <w:color w:val="auto"/>
          <w:sz w:val="36"/>
          <w:szCs w:val="36"/>
          <w:highlight w:val="none"/>
        </w:rPr>
      </w:pPr>
      <w:r>
        <w:rPr>
          <w:rFonts w:hint="default" w:ascii="Times New Roman" w:hAnsi="Times New Roman" w:eastAsia="宋体" w:cs="Times New Roman"/>
          <w:b/>
          <w:bCs/>
          <w:color w:val="auto"/>
          <w:sz w:val="36"/>
          <w:szCs w:val="36"/>
          <w:highlight w:val="none"/>
        </w:rPr>
        <w:br w:type="page"/>
      </w:r>
    </w:p>
    <w:p>
      <w:pPr>
        <w:numPr>
          <w:ilvl w:val="0"/>
          <w:numId w:val="1"/>
        </w:numPr>
        <w:spacing w:line="560" w:lineRule="exact"/>
        <w:rPr>
          <w:rFonts w:hint="default" w:ascii="Times New Roman" w:hAnsi="Times New Roman" w:eastAsia="黑体" w:cs="Times New Roman"/>
          <w:bCs/>
          <w:color w:val="auto"/>
          <w:sz w:val="32"/>
          <w:szCs w:val="32"/>
          <w:highlight w:val="none"/>
        </w:rPr>
      </w:pPr>
      <w:bookmarkStart w:id="0" w:name="_Toc68703827"/>
      <w:r>
        <w:rPr>
          <w:rFonts w:hint="default" w:ascii="Times New Roman" w:hAnsi="Times New Roman" w:eastAsia="黑体" w:cs="Times New Roman"/>
          <w:bCs/>
          <w:color w:val="auto"/>
          <w:sz w:val="32"/>
          <w:szCs w:val="32"/>
          <w:highlight w:val="none"/>
        </w:rPr>
        <w:t>基本情况</w:t>
      </w:r>
      <w:bookmarkEnd w:id="0"/>
      <w:bookmarkStart w:id="1" w:name="_Toc68703828"/>
    </w:p>
    <w:p>
      <w:pPr>
        <w:numPr>
          <w:ilvl w:val="0"/>
          <w:numId w:val="0"/>
        </w:numPr>
        <w:spacing w:line="560" w:lineRule="exact"/>
        <w:rPr>
          <w:rFonts w:hint="default" w:ascii="Times New Roman" w:hAnsi="Times New Roman" w:eastAsia="楷体_GB2312" w:cs="Times New Roman"/>
          <w:b/>
          <w:bCs/>
          <w:color w:val="auto"/>
          <w:sz w:val="32"/>
          <w:szCs w:val="32"/>
          <w:highlight w:val="none"/>
          <w:lang w:eastAsia="zh-CN"/>
        </w:rPr>
      </w:pPr>
      <w:r>
        <w:rPr>
          <w:rFonts w:hint="default" w:ascii="Times New Roman" w:hAnsi="Times New Roman" w:eastAsia="楷体_GB2312" w:cs="Times New Roman"/>
          <w:b/>
          <w:bCs/>
          <w:color w:val="auto"/>
          <w:sz w:val="32"/>
          <w:szCs w:val="32"/>
          <w:highlight w:val="none"/>
          <w:lang w:eastAsia="zh-CN"/>
        </w:rPr>
        <w:t>（一）</w:t>
      </w:r>
      <w:r>
        <w:rPr>
          <w:rFonts w:hint="default" w:ascii="Times New Roman" w:hAnsi="Times New Roman" w:eastAsia="楷体_GB2312" w:cs="Times New Roman"/>
          <w:b/>
          <w:bCs/>
          <w:color w:val="auto"/>
          <w:sz w:val="32"/>
          <w:szCs w:val="32"/>
          <w:highlight w:val="none"/>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highlight w:val="none"/>
          <w:lang w:eastAsia="zh-CN"/>
        </w:rPr>
      </w:pPr>
      <w:r>
        <w:rPr>
          <w:rFonts w:hint="default" w:ascii="Times New Roman" w:hAnsi="Times New Roman" w:cs="Times New Roman"/>
          <w:b w:val="0"/>
          <w:bCs w:val="0"/>
          <w:color w:val="auto"/>
          <w:sz w:val="32"/>
          <w:szCs w:val="32"/>
          <w:highlight w:val="none"/>
          <w:lang w:val="en-US" w:eastAsia="zh-CN"/>
        </w:rPr>
        <w:t>　</w:t>
      </w:r>
      <w:r>
        <w:rPr>
          <w:rFonts w:hint="default" w:ascii="Times New Roman" w:hAnsi="Times New Roman" w:eastAsia="仿宋_GB2312" w:cs="Times New Roman"/>
          <w:b w:val="0"/>
          <w:bCs w:val="0"/>
          <w:color w:val="auto"/>
          <w:sz w:val="32"/>
          <w:szCs w:val="32"/>
          <w:highlight w:val="none"/>
          <w:lang w:val="en-US" w:eastAsia="zh-CN"/>
        </w:rPr>
        <w:t>1.项目背景：</w:t>
      </w:r>
    </w:p>
    <w:p>
      <w:pPr>
        <w:spacing w:line="560" w:lineRule="exact"/>
        <w:ind w:firstLine="640" w:firstLineChars="200"/>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本项目项目名称为</w:t>
      </w:r>
      <w:r>
        <w:rPr>
          <w:rFonts w:hint="default" w:ascii="Times New Roman" w:hAnsi="Times New Roman" w:cs="Times New Roman"/>
          <w:color w:val="auto"/>
          <w:sz w:val="32"/>
          <w:szCs w:val="32"/>
          <w:highlight w:val="none"/>
          <w:lang w:val="en-US" w:eastAsia="zh-CN"/>
        </w:rPr>
        <w:t>霍尔果斯市连霍高速绿色长廊建设项目(二期)</w:t>
      </w:r>
      <w:r>
        <w:rPr>
          <w:rFonts w:hint="default" w:ascii="Times New Roman" w:hAnsi="Times New Roman" w:cs="Times New Roman"/>
          <w:color w:val="auto"/>
          <w:sz w:val="32"/>
          <w:szCs w:val="32"/>
          <w:highlight w:val="none"/>
        </w:rPr>
        <w:t>，该项目为202</w:t>
      </w:r>
      <w:r>
        <w:rPr>
          <w:rFonts w:hint="default" w:ascii="Times New Roman" w:hAnsi="Times New Roman" w:cs="Times New Roman"/>
          <w:color w:val="auto"/>
          <w:sz w:val="32"/>
          <w:szCs w:val="32"/>
          <w:highlight w:val="none"/>
          <w:lang w:val="en-US" w:eastAsia="zh-CN"/>
        </w:rPr>
        <w:t>1</w:t>
      </w:r>
      <w:r>
        <w:rPr>
          <w:rFonts w:hint="default" w:ascii="Times New Roman" w:hAnsi="Times New Roman" w:cs="Times New Roman"/>
          <w:color w:val="auto"/>
          <w:sz w:val="32"/>
          <w:szCs w:val="32"/>
          <w:highlight w:val="none"/>
        </w:rPr>
        <w:t>年项目，由霍尔果斯市</w:t>
      </w:r>
      <w:r>
        <w:rPr>
          <w:rFonts w:hint="default" w:ascii="Times New Roman" w:hAnsi="Times New Roman" w:cs="Times New Roman"/>
          <w:color w:val="auto"/>
          <w:sz w:val="32"/>
          <w:szCs w:val="32"/>
          <w:highlight w:val="none"/>
          <w:lang w:eastAsia="zh-CN"/>
        </w:rPr>
        <w:t>城市管理局</w:t>
      </w:r>
      <w:r>
        <w:rPr>
          <w:rFonts w:hint="default" w:ascii="Times New Roman" w:hAnsi="Times New Roman" w:cs="Times New Roman"/>
          <w:color w:val="auto"/>
          <w:sz w:val="32"/>
          <w:szCs w:val="32"/>
          <w:highlight w:val="none"/>
        </w:rPr>
        <w:t>负责建设。</w:t>
      </w:r>
    </w:p>
    <w:p>
      <w:pPr>
        <w:spacing w:line="560" w:lineRule="exact"/>
        <w:ind w:firstLine="640" w:firstLineChars="200"/>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依据《</w:t>
      </w:r>
      <w:r>
        <w:rPr>
          <w:rFonts w:hint="default" w:ascii="Times New Roman" w:hAnsi="Times New Roman" w:cs="Times New Roman"/>
          <w:color w:val="auto"/>
          <w:sz w:val="32"/>
          <w:szCs w:val="32"/>
          <w:highlight w:val="none"/>
          <w:lang w:val="en-US" w:eastAsia="zh-CN"/>
        </w:rPr>
        <w:t>霍尔果斯市连霍高速绿色长廊建设项目</w:t>
      </w:r>
      <w:r>
        <w:rPr>
          <w:rFonts w:hint="default" w:ascii="Times New Roman" w:hAnsi="Times New Roman" w:cs="Times New Roman"/>
          <w:color w:val="auto"/>
          <w:sz w:val="32"/>
          <w:szCs w:val="32"/>
          <w:highlight w:val="none"/>
          <w:lang w:eastAsia="zh-CN"/>
        </w:rPr>
        <w:t>可行性研究报告（代项目建议书）的批复</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霍市发改投资〔2021】46号</w:t>
      </w:r>
      <w:r>
        <w:rPr>
          <w:rFonts w:hint="default" w:ascii="Times New Roman" w:hAnsi="Times New Roman" w:cs="Times New Roman"/>
          <w:color w:val="auto"/>
          <w:sz w:val="32"/>
          <w:szCs w:val="32"/>
          <w:highlight w:val="none"/>
        </w:rPr>
        <w:t>）文件要求，</w:t>
      </w:r>
      <w:r>
        <w:rPr>
          <w:rFonts w:hint="default" w:ascii="Times New Roman" w:hAnsi="Times New Roman" w:cs="Times New Roman"/>
          <w:color w:val="auto"/>
          <w:sz w:val="32"/>
          <w:szCs w:val="32"/>
          <w:highlight w:val="none"/>
          <w:lang w:eastAsia="zh-CN"/>
        </w:rPr>
        <w:t>抓紧组织项目实施，不得擅自调整项目计划，加快中央投资支付，防范政府债务风险，尽快形成有效投资</w:t>
      </w:r>
      <w:r>
        <w:rPr>
          <w:rFonts w:hint="default" w:ascii="Times New Roman" w:hAnsi="Times New Roman" w:cs="Times New Roman"/>
          <w:color w:val="auto"/>
          <w:sz w:val="32"/>
          <w:szCs w:val="32"/>
          <w:highlight w:val="none"/>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cs="Times New Roman"/>
          <w:b w:val="0"/>
          <w:bCs w:val="0"/>
          <w:color w:val="auto"/>
          <w:sz w:val="32"/>
          <w:szCs w:val="32"/>
          <w:highlight w:val="none"/>
          <w:lang w:eastAsia="zh-CN"/>
        </w:rPr>
        <w:t>　</w:t>
      </w:r>
      <w:r>
        <w:rPr>
          <w:rFonts w:hint="default" w:ascii="Times New Roman" w:hAnsi="Times New Roman" w:eastAsia="仿宋_GB2312" w:cs="Times New Roman"/>
          <w:b w:val="0"/>
          <w:bCs w:val="0"/>
          <w:color w:val="auto"/>
          <w:sz w:val="32"/>
          <w:szCs w:val="32"/>
          <w:highlight w:val="none"/>
          <w:lang w:eastAsia="zh-CN"/>
        </w:rPr>
        <w:t>2</w:t>
      </w:r>
      <w:r>
        <w:rPr>
          <w:rFonts w:hint="default"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主要内容：</w:t>
      </w:r>
      <w:r>
        <w:rPr>
          <w:rFonts w:hint="default" w:ascii="Times New Roman" w:hAnsi="Times New Roman" w:cs="Times New Roman"/>
          <w:color w:val="auto"/>
          <w:sz w:val="32"/>
          <w:szCs w:val="32"/>
          <w:highlight w:val="none"/>
          <w:lang w:val="en-US" w:eastAsia="zh-CN"/>
        </w:rPr>
        <w:t>项目计划实施绿色长廊总长度约30千米，及相关附属配套设施设备。</w:t>
      </w:r>
    </w:p>
    <w:p>
      <w:pPr>
        <w:spacing w:line="560" w:lineRule="exact"/>
        <w:ind w:firstLine="640" w:firstLineChars="200"/>
        <w:rPr>
          <w:rFonts w:hint="default" w:ascii="Times New Roman" w:hAnsi="Times New Roman" w:cs="Times New Roman"/>
          <w:color w:val="auto"/>
          <w:highlight w:val="none"/>
        </w:rPr>
      </w:pPr>
      <w:r>
        <w:rPr>
          <w:rFonts w:hint="default" w:ascii="Times New Roman" w:hAnsi="Times New Roman" w:cs="Times New Roman"/>
          <w:color w:val="auto"/>
          <w:sz w:val="32"/>
          <w:szCs w:val="32"/>
          <w:highlight w:val="none"/>
        </w:rPr>
        <w:t>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cs="Times New Roman"/>
          <w:b w:val="0"/>
          <w:bCs w:val="0"/>
          <w:color w:val="auto"/>
          <w:sz w:val="32"/>
          <w:szCs w:val="32"/>
          <w:highlight w:val="none"/>
          <w:lang w:eastAsia="zh-CN"/>
        </w:rPr>
      </w:pPr>
      <w:r>
        <w:rPr>
          <w:rFonts w:hint="default" w:ascii="Times New Roman" w:hAnsi="Times New Roman" w:cs="Times New Roman"/>
          <w:b w:val="0"/>
          <w:bCs w:val="0"/>
          <w:color w:val="auto"/>
          <w:sz w:val="32"/>
          <w:szCs w:val="32"/>
          <w:highlight w:val="none"/>
          <w:lang w:eastAsia="zh-CN"/>
        </w:rPr>
        <w:t>　3</w:t>
      </w:r>
      <w:r>
        <w:rPr>
          <w:rFonts w:hint="default" w:ascii="Times New Roman" w:hAnsi="Times New Roman" w:cs="Times New Roman"/>
          <w:b w:val="0"/>
          <w:bCs w:val="0"/>
          <w:color w:val="auto"/>
          <w:sz w:val="32"/>
          <w:szCs w:val="32"/>
          <w:highlight w:val="none"/>
          <w:lang w:val="en-US" w:eastAsia="zh-CN"/>
        </w:rPr>
        <w:t>.</w:t>
      </w:r>
      <w:r>
        <w:rPr>
          <w:rFonts w:hint="default" w:ascii="Times New Roman" w:hAnsi="Times New Roman" w:cs="Times New Roman"/>
          <w:b w:val="0"/>
          <w:bCs w:val="0"/>
          <w:color w:val="auto"/>
          <w:sz w:val="32"/>
          <w:szCs w:val="32"/>
          <w:highlight w:val="none"/>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资金投入情况：该项目年初预算数</w:t>
      </w:r>
      <w:r>
        <w:rPr>
          <w:rFonts w:hint="default" w:ascii="Times New Roman" w:hAnsi="Times New Roman" w:cs="Times New Roman"/>
          <w:color w:val="auto"/>
          <w:sz w:val="32"/>
          <w:szCs w:val="32"/>
          <w:highlight w:val="none"/>
          <w:lang w:val="en-US" w:eastAsia="zh-CN"/>
        </w:rPr>
        <w:t>600</w:t>
      </w:r>
      <w:r>
        <w:rPr>
          <w:rFonts w:hint="default" w:ascii="Times New Roman" w:hAnsi="Times New Roman" w:cs="Times New Roman"/>
          <w:color w:val="auto"/>
          <w:sz w:val="32"/>
          <w:szCs w:val="32"/>
          <w:highlight w:val="none"/>
        </w:rPr>
        <w:t>万元，全年预算数</w:t>
      </w:r>
      <w:r>
        <w:rPr>
          <w:rFonts w:hint="default" w:ascii="Times New Roman" w:hAnsi="Times New Roman" w:cs="Times New Roman"/>
          <w:color w:val="auto"/>
          <w:sz w:val="32"/>
          <w:szCs w:val="32"/>
          <w:highlight w:val="none"/>
          <w:lang w:val="en-US" w:eastAsia="zh-CN"/>
        </w:rPr>
        <w:t>600</w:t>
      </w:r>
      <w:r>
        <w:rPr>
          <w:rFonts w:hint="default" w:ascii="Times New Roman" w:hAnsi="Times New Roman" w:cs="Times New Roman"/>
          <w:color w:val="auto"/>
          <w:sz w:val="32"/>
          <w:szCs w:val="32"/>
          <w:highlight w:val="none"/>
        </w:rPr>
        <w:t>万元，实际总投入</w:t>
      </w:r>
      <w:r>
        <w:rPr>
          <w:rFonts w:hint="default" w:ascii="Times New Roman" w:hAnsi="Times New Roman" w:cs="Times New Roman"/>
          <w:color w:val="auto"/>
          <w:sz w:val="32"/>
          <w:szCs w:val="32"/>
          <w:highlight w:val="none"/>
          <w:lang w:val="en-US" w:eastAsia="zh-CN"/>
        </w:rPr>
        <w:t>600</w:t>
      </w:r>
      <w:r>
        <w:rPr>
          <w:rFonts w:hint="default" w:ascii="Times New Roman" w:hAnsi="Times New Roman" w:cs="Times New Roman"/>
          <w:color w:val="auto"/>
          <w:sz w:val="32"/>
          <w:szCs w:val="32"/>
          <w:highlight w:val="none"/>
        </w:rPr>
        <w:t>万元，该项目资金已全部落实到位，资金来源为</w:t>
      </w:r>
      <w:r>
        <w:rPr>
          <w:rFonts w:hint="default" w:ascii="Times New Roman" w:hAnsi="Times New Roman" w:cs="Times New Roman"/>
          <w:color w:val="auto"/>
          <w:sz w:val="32"/>
          <w:szCs w:val="32"/>
          <w:highlight w:val="none"/>
          <w:lang w:eastAsia="zh-CN"/>
        </w:rPr>
        <w:t>上级专项资金</w:t>
      </w:r>
      <w:r>
        <w:rPr>
          <w:rFonts w:hint="default" w:ascii="Times New Roman" w:hAnsi="Times New Roman"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资金使用情况：该项目年初预算数</w:t>
      </w:r>
      <w:r>
        <w:rPr>
          <w:rFonts w:hint="default" w:ascii="Times New Roman" w:hAnsi="Times New Roman" w:cs="Times New Roman"/>
          <w:color w:val="auto"/>
          <w:sz w:val="32"/>
          <w:szCs w:val="32"/>
          <w:highlight w:val="none"/>
          <w:lang w:val="en-US" w:eastAsia="zh-CN"/>
        </w:rPr>
        <w:t>600</w:t>
      </w:r>
      <w:r>
        <w:rPr>
          <w:rFonts w:hint="default" w:ascii="Times New Roman" w:hAnsi="Times New Roman" w:cs="Times New Roman"/>
          <w:color w:val="auto"/>
          <w:sz w:val="32"/>
          <w:szCs w:val="32"/>
          <w:highlight w:val="none"/>
        </w:rPr>
        <w:t>万元，全年预算数</w:t>
      </w:r>
      <w:r>
        <w:rPr>
          <w:rFonts w:hint="default" w:ascii="Times New Roman" w:hAnsi="Times New Roman" w:cs="Times New Roman"/>
          <w:color w:val="auto"/>
          <w:sz w:val="32"/>
          <w:szCs w:val="32"/>
          <w:highlight w:val="none"/>
          <w:lang w:val="en-US" w:eastAsia="zh-CN"/>
        </w:rPr>
        <w:t>600</w:t>
      </w:r>
      <w:r>
        <w:rPr>
          <w:rFonts w:hint="default" w:ascii="Times New Roman" w:hAnsi="Times New Roman" w:cs="Times New Roman"/>
          <w:color w:val="auto"/>
          <w:sz w:val="32"/>
          <w:szCs w:val="32"/>
          <w:highlight w:val="none"/>
        </w:rPr>
        <w:t>万元，全年执行数</w:t>
      </w:r>
      <w:r>
        <w:rPr>
          <w:rFonts w:hint="default" w:ascii="Times New Roman" w:hAnsi="Times New Roman" w:cs="Times New Roman"/>
          <w:color w:val="auto"/>
          <w:sz w:val="32"/>
          <w:szCs w:val="32"/>
          <w:highlight w:val="none"/>
          <w:lang w:val="en-US" w:eastAsia="zh-CN"/>
        </w:rPr>
        <w:t>600</w:t>
      </w:r>
      <w:r>
        <w:rPr>
          <w:rFonts w:hint="default" w:ascii="Times New Roman" w:hAnsi="Times New Roman" w:cs="Times New Roman"/>
          <w:color w:val="auto"/>
          <w:sz w:val="32"/>
          <w:szCs w:val="32"/>
          <w:highlight w:val="none"/>
        </w:rPr>
        <w:t>万元，预算执行率为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主要</w:t>
      </w:r>
      <w:r>
        <w:rPr>
          <w:rFonts w:hint="default" w:ascii="Times New Roman" w:hAnsi="Times New Roman" w:cs="Times New Roman"/>
          <w:color w:val="auto"/>
          <w:sz w:val="32"/>
          <w:szCs w:val="32"/>
          <w:highlight w:val="none"/>
        </w:rPr>
        <w:t>用于：</w:t>
      </w:r>
      <w:r>
        <w:rPr>
          <w:rFonts w:hint="default" w:ascii="Times New Roman" w:hAnsi="Times New Roman" w:cs="Times New Roman"/>
          <w:color w:val="auto"/>
          <w:sz w:val="32"/>
          <w:szCs w:val="32"/>
          <w:highlight w:val="none"/>
          <w:lang w:val="en-US" w:eastAsia="zh-CN"/>
        </w:rPr>
        <w:t>600</w:t>
      </w:r>
      <w:r>
        <w:rPr>
          <w:rFonts w:hint="default" w:ascii="Times New Roman" w:hAnsi="Times New Roman" w:cs="Times New Roman"/>
          <w:color w:val="auto"/>
          <w:sz w:val="32"/>
          <w:szCs w:val="32"/>
          <w:highlight w:val="none"/>
        </w:rPr>
        <w:t>万元。</w:t>
      </w:r>
      <w:bookmarkStart w:id="2" w:name="_Toc68703829"/>
    </w:p>
    <w:p>
      <w:pPr>
        <w:spacing w:line="560" w:lineRule="exact"/>
        <w:rPr>
          <w:rFonts w:hint="default" w:ascii="Times New Roman" w:hAnsi="Times New Roman" w:cs="Times New Roman"/>
          <w:color w:val="auto"/>
          <w:sz w:val="32"/>
          <w:szCs w:val="32"/>
          <w:highlight w:val="none"/>
        </w:rPr>
      </w:pPr>
      <w:r>
        <w:rPr>
          <w:rFonts w:hint="default" w:ascii="Times New Roman" w:hAnsi="Times New Roman" w:eastAsia="楷体_GB2312" w:cs="Times New Roman"/>
          <w:b/>
          <w:bCs/>
          <w:color w:val="auto"/>
          <w:sz w:val="32"/>
          <w:szCs w:val="32"/>
          <w:highlight w:val="none"/>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sz w:val="32"/>
          <w:szCs w:val="32"/>
          <w:highlight w:val="none"/>
        </w:rPr>
      </w:pPr>
      <w:r>
        <w:rPr>
          <w:rFonts w:hint="default" w:ascii="Times New Roman" w:hAnsi="Times New Roman" w:cs="Times New Roman"/>
          <w:b w:val="0"/>
          <w:bCs w:val="0"/>
          <w:color w:val="auto"/>
          <w:sz w:val="32"/>
          <w:szCs w:val="32"/>
          <w:highlight w:val="none"/>
          <w:lang w:eastAsia="zh-CN"/>
        </w:rPr>
        <w:t>　</w:t>
      </w:r>
      <w:r>
        <w:rPr>
          <w:rFonts w:hint="eastAsia" w:cs="Times New Roman"/>
          <w:b w:val="0"/>
          <w:bCs w:val="0"/>
          <w:color w:val="auto"/>
          <w:sz w:val="32"/>
          <w:szCs w:val="32"/>
          <w:highlight w:val="none"/>
          <w:lang w:eastAsia="zh-CN"/>
        </w:rPr>
        <w:t>　</w:t>
      </w:r>
      <w:r>
        <w:rPr>
          <w:rFonts w:hint="default" w:ascii="Times New Roman" w:hAnsi="Times New Roman" w:eastAsia="仿宋_GB2312" w:cs="Times New Roman"/>
          <w:b w:val="0"/>
          <w:bCs w:val="0"/>
          <w:color w:val="auto"/>
          <w:sz w:val="32"/>
          <w:szCs w:val="32"/>
          <w:highlight w:val="none"/>
          <w:lang w:val="en-US" w:eastAsia="zh-CN"/>
        </w:rPr>
        <w:t>1.总体目标：对霍尔果斯-伊宁高速及国道路段约30公里，通过提升改造，使霍尔果斯市绿化整体水平提高，绿化覆盖率提升，保持高速绿廊的美观整洁</w:t>
      </w:r>
    </w:p>
    <w:p>
      <w:pPr>
        <w:spacing w:line="560" w:lineRule="exact"/>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cs="Times New Roman"/>
          <w:b w:val="0"/>
          <w:bCs w:val="0"/>
          <w:color w:val="auto"/>
          <w:sz w:val="32"/>
          <w:szCs w:val="32"/>
          <w:highlight w:val="none"/>
          <w:lang w:eastAsia="zh-CN"/>
        </w:rPr>
        <w:t>　</w:t>
      </w:r>
      <w:r>
        <w:rPr>
          <w:rFonts w:hint="eastAsia" w:cs="Times New Roman"/>
          <w:b w:val="0"/>
          <w:bCs w:val="0"/>
          <w:color w:val="auto"/>
          <w:sz w:val="32"/>
          <w:szCs w:val="32"/>
          <w:highlight w:val="none"/>
          <w:lang w:eastAsia="zh-CN"/>
        </w:rPr>
        <w:t>　</w:t>
      </w:r>
      <w:r>
        <w:rPr>
          <w:rFonts w:hint="default" w:ascii="Times New Roman" w:hAnsi="Times New Roman" w:eastAsia="仿宋_GB2312" w:cs="Times New Roman"/>
          <w:b w:val="0"/>
          <w:bCs w:val="0"/>
          <w:color w:val="auto"/>
          <w:sz w:val="32"/>
          <w:szCs w:val="32"/>
          <w:highlight w:val="none"/>
          <w:lang w:val="en-US" w:eastAsia="zh-CN"/>
        </w:rPr>
        <w:t>2.阶段性目标：</w:t>
      </w:r>
      <w:bookmarkStart w:id="3" w:name="_Toc68703830"/>
      <w:r>
        <w:rPr>
          <w:rFonts w:hint="default" w:ascii="Times New Roman" w:hAnsi="Times New Roman" w:eastAsia="仿宋_GB2312" w:cs="Times New Roman"/>
          <w:b w:val="0"/>
          <w:bCs w:val="0"/>
          <w:color w:val="auto"/>
          <w:sz w:val="32"/>
          <w:szCs w:val="32"/>
          <w:highlight w:val="none"/>
          <w:lang w:val="en-US" w:eastAsia="zh-CN"/>
        </w:rPr>
        <w:t>该项目已</w:t>
      </w:r>
      <w:r>
        <w:rPr>
          <w:rFonts w:hint="default" w:ascii="Times New Roman" w:hAnsi="Times New Roman" w:cs="Times New Roman"/>
          <w:b w:val="0"/>
          <w:bCs w:val="0"/>
          <w:color w:val="auto"/>
          <w:sz w:val="32"/>
          <w:szCs w:val="32"/>
          <w:highlight w:val="none"/>
          <w:lang w:val="en-US" w:eastAsia="zh-CN"/>
        </w:rPr>
        <w:t>完工</w:t>
      </w:r>
      <w:r>
        <w:rPr>
          <w:rFonts w:hint="default" w:ascii="Times New Roman" w:hAnsi="Times New Roman" w:eastAsia="仿宋_GB2312" w:cs="Times New Roman"/>
          <w:b w:val="0"/>
          <w:bCs w:val="0"/>
          <w:color w:val="auto"/>
          <w:sz w:val="32"/>
          <w:szCs w:val="32"/>
          <w:highlight w:val="none"/>
          <w:lang w:val="en-US" w:eastAsia="zh-CN"/>
        </w:rPr>
        <w:t>，霍尔果斯-伊宁高速及国道路段约30公里</w:t>
      </w:r>
      <w:r>
        <w:rPr>
          <w:rFonts w:hint="default" w:ascii="Times New Roman" w:hAnsi="Times New Roman"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提高自然生态环境，居民生产生活水平。</w:t>
      </w:r>
    </w:p>
    <w:p>
      <w:pPr>
        <w:spacing w:line="560" w:lineRule="exact"/>
        <w:rPr>
          <w:rFonts w:hint="default" w:ascii="Times New Roman" w:hAnsi="Times New Roman" w:eastAsia="黑体" w:cs="Times New Roman"/>
          <w:bCs/>
          <w:color w:val="auto"/>
          <w:sz w:val="32"/>
          <w:szCs w:val="32"/>
          <w:highlight w:val="none"/>
          <w:lang w:val="en-US" w:eastAsia="zh-CN"/>
        </w:rPr>
      </w:pPr>
      <w:r>
        <w:rPr>
          <w:rFonts w:hint="default" w:ascii="Times New Roman" w:hAnsi="Times New Roman" w:eastAsia="黑体" w:cs="Times New Roman"/>
          <w:bCs/>
          <w:color w:val="auto"/>
          <w:sz w:val="32"/>
          <w:szCs w:val="32"/>
          <w:highlight w:val="none"/>
          <w:lang w:val="en-US" w:eastAsia="zh-CN"/>
        </w:rPr>
        <w:t>二、绩效评价工作开展情况</w:t>
      </w:r>
      <w:bookmarkEnd w:id="3"/>
    </w:p>
    <w:p>
      <w:pPr>
        <w:numPr>
          <w:ilvl w:val="0"/>
          <w:numId w:val="0"/>
        </w:numPr>
        <w:spacing w:line="560" w:lineRule="exact"/>
        <w:rPr>
          <w:rFonts w:hint="default" w:ascii="Times New Roman" w:hAnsi="Times New Roman" w:eastAsia="楷体_GB2312" w:cs="Times New Roman"/>
          <w:b/>
          <w:bCs/>
          <w:color w:val="auto"/>
          <w:sz w:val="32"/>
          <w:szCs w:val="32"/>
          <w:highlight w:val="none"/>
          <w:lang w:eastAsia="zh-CN"/>
        </w:rPr>
      </w:pPr>
      <w:bookmarkStart w:id="4" w:name="_Toc68703831"/>
      <w:r>
        <w:rPr>
          <w:rFonts w:hint="default" w:ascii="Times New Roman" w:hAnsi="Times New Roman" w:eastAsia="楷体_GB2312" w:cs="Times New Roman"/>
          <w:b/>
          <w:bCs/>
          <w:color w:val="auto"/>
          <w:sz w:val="32"/>
          <w:szCs w:val="32"/>
          <w:highlight w:val="none"/>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　1.绩效评价目的</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项目在实施前向项目负责人提供财政支出绩效方面的资金管理信息，促进项目支出严格按照资金管理规定进行。</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（2）项目绩效管理财政支出运行提供及时、有效的信息。</w:t>
      </w:r>
    </w:p>
    <w:p>
      <w:pPr>
        <w:pStyle w:val="21"/>
        <w:spacing w:line="560" w:lineRule="exact"/>
        <w:ind w:firstLine="640" w:firstLineChars="200"/>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cs="Times New Roman"/>
          <w:b/>
          <w:bCs/>
          <w:color w:val="auto"/>
          <w:sz w:val="30"/>
          <w:szCs w:val="30"/>
          <w:highlight w:val="none"/>
          <w:lang w:val="en-US" w:eastAsia="zh-CN"/>
        </w:rPr>
        <w:t>　</w:t>
      </w:r>
      <w:r>
        <w:rPr>
          <w:rFonts w:hint="default" w:ascii="Times New Roman" w:hAnsi="Times New Roman" w:eastAsia="仿宋_GB2312" w:cs="Times New Roman"/>
          <w:b w:val="0"/>
          <w:bCs w:val="0"/>
          <w:color w:val="auto"/>
          <w:sz w:val="32"/>
          <w:szCs w:val="32"/>
          <w:highlight w:val="none"/>
          <w:lang w:val="en-US" w:eastAsia="zh-CN"/>
        </w:rPr>
        <w:t>2.绩效评价对象：</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霍尔果斯市连霍高速绿色长廊建设项目(二期)</w:t>
      </w:r>
    </w:p>
    <w:p>
      <w:pPr>
        <w:spacing w:line="560" w:lineRule="exact"/>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　3.绩效评价范围：</w:t>
      </w:r>
    </w:p>
    <w:p>
      <w:pPr>
        <w:spacing w:line="560" w:lineRule="exact"/>
        <w:ind w:firstLine="640" w:firstLineChars="200"/>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本次评价从项目决策（包括绩效目标、决策过程）、项</w:t>
      </w:r>
      <w:r>
        <w:rPr>
          <w:rFonts w:hint="default" w:ascii="Times New Roman" w:hAnsi="Times New Roman" w:eastAsia="仿宋_GB2312" w:cs="Times New Roman"/>
          <w:color w:val="auto"/>
          <w:sz w:val="32"/>
          <w:szCs w:val="32"/>
          <w:highlight w:val="none"/>
        </w:rPr>
        <w:t>目管理（包括项目资金、项目实施）、项目产出（包括项目产出数量、产出质量、产出时效和产出成本）项目效益四个维度进行</w:t>
      </w:r>
      <w:r>
        <w:rPr>
          <w:rFonts w:hint="default" w:ascii="Times New Roman" w:hAnsi="Times New Roman" w:eastAsia="仿宋_GB2312" w:cs="Times New Roman"/>
          <w:color w:val="auto"/>
          <w:sz w:val="32"/>
          <w:szCs w:val="32"/>
          <w:highlight w:val="none"/>
          <w:lang w:val="en-US" w:eastAsia="zh-CN"/>
        </w:rPr>
        <w:t>霍尔果斯市连霍高速绿色长廊建设项目(二期)</w:t>
      </w:r>
      <w:r>
        <w:rPr>
          <w:rFonts w:hint="default" w:ascii="Times New Roman" w:hAnsi="Times New Roman" w:eastAsia="仿宋_GB2312" w:cs="Times New Roman"/>
          <w:color w:val="auto"/>
          <w:sz w:val="32"/>
          <w:szCs w:val="32"/>
          <w:highlight w:val="none"/>
        </w:rPr>
        <w:t>评价，评价核心为资金的支</w:t>
      </w:r>
      <w:r>
        <w:rPr>
          <w:rFonts w:hint="default" w:ascii="Times New Roman" w:hAnsi="Times New Roman" w:cs="Times New Roman"/>
          <w:color w:val="auto"/>
          <w:sz w:val="32"/>
          <w:szCs w:val="32"/>
          <w:highlight w:val="none"/>
        </w:rPr>
        <w:t>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highlight w:val="none"/>
          <w:lang w:val="en-US" w:eastAsia="zh-CN" w:bidi="ar-SA"/>
        </w:rPr>
      </w:pPr>
      <w:bookmarkStart w:id="5" w:name="_Toc68703832"/>
      <w:r>
        <w:rPr>
          <w:rFonts w:hint="default" w:ascii="Times New Roman" w:hAnsi="Times New Roman" w:eastAsia="楷体_GB2312" w:cs="Times New Roman"/>
          <w:b/>
          <w:bCs/>
          <w:color w:val="auto"/>
          <w:kern w:val="2"/>
          <w:sz w:val="32"/>
          <w:szCs w:val="32"/>
          <w:highlight w:val="none"/>
          <w:lang w:val="en-US" w:eastAsia="zh-CN" w:bidi="ar-SA"/>
        </w:rPr>
        <w:t>（二）绩效评价原则、评价指标体系</w:t>
      </w:r>
      <w:r>
        <w:rPr>
          <w:rFonts w:hint="default" w:ascii="Times New Roman" w:hAnsi="Times New Roman" w:eastAsia="楷体_GB2312" w:cs="Times New Roman"/>
          <w:b/>
          <w:bCs/>
          <w:color w:val="auto"/>
          <w:sz w:val="32"/>
          <w:szCs w:val="32"/>
          <w:highlight w:val="none"/>
        </w:rPr>
        <w:t>（详情见表1）</w:t>
      </w:r>
      <w:r>
        <w:rPr>
          <w:rFonts w:hint="default" w:ascii="Times New Roman" w:hAnsi="Times New Roman" w:eastAsia="楷体_GB2312" w:cs="Times New Roman"/>
          <w:b/>
          <w:bCs/>
          <w:color w:val="auto"/>
          <w:kern w:val="2"/>
          <w:sz w:val="32"/>
          <w:szCs w:val="32"/>
          <w:highlight w:val="none"/>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1</w:t>
      </w:r>
      <w:r>
        <w:rPr>
          <w:rFonts w:hint="default" w:ascii="Times New Roman" w:hAnsi="Times New Roman" w:cs="Times New Roman"/>
          <w:color w:val="auto"/>
          <w:sz w:val="32"/>
          <w:szCs w:val="32"/>
          <w:highlight w:val="none"/>
          <w:lang w:val="en-US" w:eastAsia="zh-CN"/>
        </w:rPr>
        <w:t>.</w:t>
      </w:r>
      <w:r>
        <w:rPr>
          <w:rFonts w:hint="default" w:ascii="Times New Roman" w:hAnsi="Times New Roman" w:cs="Times New Roman"/>
          <w:color w:val="auto"/>
          <w:sz w:val="32"/>
          <w:szCs w:val="32"/>
          <w:highlight w:val="none"/>
        </w:rPr>
        <w:t>绩效评价原则</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cs="Times New Roman"/>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pPr>
        <w:spacing w:line="360" w:lineRule="auto"/>
        <w:ind w:firstLine="600" w:firstLineChars="200"/>
        <w:jc w:val="left"/>
        <w:rPr>
          <w:rFonts w:hint="default" w:ascii="Times New Roman" w:hAnsi="Times New Roman" w:cs="Times New Roman"/>
          <w:color w:val="auto"/>
          <w:sz w:val="32"/>
          <w:szCs w:val="32"/>
          <w:highlight w:val="none"/>
        </w:rPr>
      </w:pPr>
      <w:r>
        <w:rPr>
          <w:rFonts w:hint="default" w:ascii="Times New Roman" w:hAnsi="Times New Roman" w:cs="Times New Roman"/>
          <w:color w:val="auto"/>
          <w:highlight w:val="none"/>
        </w:rPr>
        <w:t>2、</w:t>
      </w:r>
      <w:r>
        <w:rPr>
          <w:rFonts w:hint="default" w:ascii="Times New Roman" w:hAnsi="Times New Roman" w:cs="Times New Roman"/>
          <w:color w:val="auto"/>
          <w:sz w:val="32"/>
          <w:szCs w:val="32"/>
          <w:highlight w:val="none"/>
        </w:rPr>
        <w:t>评价指标体系</w:t>
      </w:r>
    </w:p>
    <w:p>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1"/>
        <w:widowControl w:val="0"/>
        <w:spacing w:before="0" w:after="0" w:line="560" w:lineRule="exact"/>
        <w:ind w:firstLine="708" w:firstLineChars="200"/>
        <w:jc w:val="both"/>
        <w:outlineLvl w:val="9"/>
        <w:rPr>
          <w:rFonts w:hint="default" w:ascii="Times New Roman" w:hAnsi="Times New Roman" w:cs="Times New Roman"/>
          <w:color w:val="auto"/>
          <w:highlight w:val="none"/>
        </w:rPr>
      </w:pPr>
      <w:r>
        <w:rPr>
          <w:rFonts w:hint="default" w:ascii="Times New Roman" w:hAnsi="Times New Roman" w:eastAsia="仿宋_GB2312" w:cs="Times New Roman"/>
          <w:b w:val="0"/>
          <w:bCs w:val="0"/>
          <w:color w:val="auto"/>
          <w:spacing w:val="17"/>
          <w:highlight w:val="none"/>
        </w:rPr>
        <w:t>具体评价指标体系详情见附件1</w:t>
      </w:r>
    </w:p>
    <w:p>
      <w:pPr>
        <w:pStyle w:val="6"/>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3、评价方法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bCs/>
          <w:color w:val="auto"/>
          <w:sz w:val="32"/>
          <w:szCs w:val="32"/>
          <w:highlight w:val="none"/>
          <w:lang w:eastAsia="zh-CN"/>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（1）比较法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通过对绩效目标与实施效果、历史与当期情况，综合分析绩效目标实现程度。对</w:t>
      </w:r>
      <w:r>
        <w:rPr>
          <w:rFonts w:hint="default" w:ascii="Times New Roman" w:hAnsi="Times New Roman" w:eastAsia="仿宋_GB2312" w:cs="Times New Roman"/>
          <w:color w:val="auto"/>
          <w:sz w:val="32"/>
          <w:szCs w:val="32"/>
          <w:highlight w:val="none"/>
        </w:rPr>
        <w:t>项目</w:t>
      </w:r>
      <w:r>
        <w:rPr>
          <w:rFonts w:hint="default" w:ascii="Times New Roman" w:hAnsi="Times New Roman" w:eastAsia="仿宋_GB2312" w:cs="Times New Roman"/>
          <w:color w:val="auto"/>
          <w:spacing w:val="17"/>
          <w:sz w:val="32"/>
          <w:szCs w:val="32"/>
          <w:highlight w:val="none"/>
        </w:rPr>
        <w:t>最终验收情况与年度绩效目标对比、预算资金执行情况等相关因素进行比较。</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（2）因素分析法</w:t>
      </w:r>
    </w:p>
    <w:p>
      <w:pPr>
        <w:spacing w:line="560" w:lineRule="exact"/>
        <w:ind w:firstLine="708" w:firstLineChars="200"/>
        <w:rPr>
          <w:rFonts w:hint="default" w:ascii="Times New Roman" w:hAnsi="Times New Roman" w:eastAsia="仿宋_GB2312" w:cs="Times New Roman"/>
          <w:bCs/>
          <w:color w:val="auto"/>
          <w:sz w:val="32"/>
          <w:szCs w:val="32"/>
          <w:highlight w:val="none"/>
          <w:lang w:eastAsia="zh-CN"/>
        </w:rPr>
      </w:pPr>
      <w:r>
        <w:rPr>
          <w:rFonts w:hint="default" w:ascii="Times New Roman" w:hAnsi="Times New Roman" w:eastAsia="仿宋_GB2312" w:cs="Times New Roman"/>
          <w:color w:val="auto"/>
          <w:spacing w:val="17"/>
          <w:sz w:val="32"/>
          <w:szCs w:val="32"/>
          <w:highlight w:val="none"/>
        </w:rPr>
        <w:t>通过综合分析影响绩效目标实现、实施效果的内外因素，评价绩效目标实现程度。通过对</w:t>
      </w:r>
      <w:r>
        <w:rPr>
          <w:rFonts w:hint="default" w:ascii="Times New Roman" w:hAnsi="Times New Roman" w:eastAsia="仿宋_GB2312" w:cs="Times New Roman"/>
          <w:color w:val="auto"/>
          <w:sz w:val="32"/>
          <w:szCs w:val="32"/>
          <w:highlight w:val="none"/>
        </w:rPr>
        <w:t>项目</w:t>
      </w:r>
      <w:r>
        <w:rPr>
          <w:rFonts w:hint="default" w:ascii="Times New Roman" w:hAnsi="Times New Roman" w:eastAsia="仿宋_GB2312" w:cs="Times New Roman"/>
          <w:color w:val="auto"/>
          <w:spacing w:val="17"/>
          <w:sz w:val="32"/>
          <w:szCs w:val="32"/>
          <w:highlight w:val="none"/>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CN"/>
        </w:rPr>
        <w:t>　　</w:t>
      </w:r>
      <w:r>
        <w:rPr>
          <w:rFonts w:hint="default" w:ascii="Times New Roman" w:hAnsi="Times New Roman" w:cs="Times New Roman"/>
          <w:color w:val="auto"/>
          <w:sz w:val="32"/>
          <w:szCs w:val="32"/>
          <w:highlight w:val="none"/>
        </w:rPr>
        <w:t>4</w:t>
      </w:r>
      <w:r>
        <w:rPr>
          <w:rFonts w:hint="default" w:ascii="Times New Roman" w:hAnsi="Times New Roman" w:cs="Times New Roman"/>
          <w:color w:val="auto"/>
          <w:sz w:val="32"/>
          <w:szCs w:val="32"/>
          <w:highlight w:val="none"/>
          <w:lang w:val="en-US" w:eastAsia="zh-CN"/>
        </w:rPr>
        <w:t>.</w:t>
      </w:r>
      <w:r>
        <w:rPr>
          <w:rFonts w:hint="default" w:ascii="Times New Roman" w:hAnsi="Times New Roman" w:cs="Times New Roman"/>
          <w:color w:val="auto"/>
          <w:sz w:val="32"/>
          <w:szCs w:val="32"/>
          <w:highlight w:val="none"/>
        </w:rPr>
        <w:t>评价标准</w:t>
      </w:r>
    </w:p>
    <w:p>
      <w:pPr>
        <w:spacing w:line="560" w:lineRule="exact"/>
        <w:ind w:firstLine="640"/>
        <w:rPr>
          <w:rFonts w:hint="default" w:ascii="Times New Roman" w:hAnsi="Times New Roman" w:cs="Times New Roman"/>
          <w:bCs/>
          <w:color w:val="auto"/>
          <w:sz w:val="32"/>
          <w:szCs w:val="32"/>
          <w:highlight w:val="none"/>
        </w:rPr>
      </w:pPr>
      <w:r>
        <w:rPr>
          <w:rFonts w:hint="default" w:ascii="Times New Roman" w:hAnsi="Times New Roman" w:cs="Times New Roman"/>
          <w:bCs/>
          <w:color w:val="auto"/>
          <w:sz w:val="32"/>
          <w:szCs w:val="32"/>
          <w:highlight w:val="none"/>
        </w:rPr>
        <w:t>绩效评价标准通常包括计划标准、行业标准、历史标准等，用于对绩效指标完成情况进行比较、分析、评价。本次评价主要采用了</w:t>
      </w:r>
      <w:r>
        <w:rPr>
          <w:rFonts w:hint="default" w:ascii="Times New Roman" w:hAnsi="Times New Roman" w:cs="Times New Roman"/>
          <w:bCs/>
          <w:color w:val="auto"/>
          <w:sz w:val="32"/>
          <w:szCs w:val="32"/>
          <w:highlight w:val="none"/>
          <w:lang w:val="en-US" w:eastAsia="zh-CN"/>
        </w:rPr>
        <w:t>计划标准</w:t>
      </w:r>
      <w:r>
        <w:rPr>
          <w:rFonts w:hint="default" w:ascii="Times New Roman" w:hAnsi="Times New Roman" w:cs="Times New Roman"/>
          <w:bCs/>
          <w:color w:val="auto"/>
          <w:sz w:val="32"/>
          <w:szCs w:val="32"/>
          <w:highlight w:val="none"/>
        </w:rPr>
        <w:t>。</w:t>
      </w: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highlight w:val="none"/>
          <w:lang w:val="en-US" w:eastAsia="zh-CN" w:bidi="ar-SA"/>
        </w:rPr>
      </w:pPr>
      <w:bookmarkStart w:id="6" w:name="_Toc68703833"/>
      <w:r>
        <w:rPr>
          <w:rFonts w:hint="default" w:ascii="Times New Roman" w:hAnsi="Times New Roman" w:eastAsia="楷体_GB2312" w:cs="Times New Roman"/>
          <w:b/>
          <w:bCs/>
          <w:color w:val="auto"/>
          <w:kern w:val="2"/>
          <w:sz w:val="32"/>
          <w:szCs w:val="32"/>
          <w:highlight w:val="none"/>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1</w:t>
      </w:r>
      <w:r>
        <w:rPr>
          <w:rFonts w:hint="default" w:ascii="Times New Roman" w:hAnsi="Times New Roman" w:cs="Times New Roman"/>
          <w:color w:val="auto"/>
          <w:sz w:val="32"/>
          <w:szCs w:val="32"/>
          <w:highlight w:val="none"/>
          <w:lang w:val="en-US" w:eastAsia="zh-CN"/>
        </w:rPr>
        <w:t>.</w:t>
      </w:r>
      <w:r>
        <w:rPr>
          <w:rFonts w:hint="default" w:ascii="Times New Roman" w:hAnsi="Times New Roman" w:cs="Times New Roman"/>
          <w:color w:val="auto"/>
          <w:sz w:val="32"/>
          <w:szCs w:val="32"/>
          <w:highlight w:val="none"/>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2</w:t>
      </w:r>
      <w:r>
        <w:rPr>
          <w:rFonts w:hint="default" w:ascii="Times New Roman" w:hAnsi="Times New Roman" w:cs="Times New Roman"/>
          <w:color w:val="auto"/>
          <w:sz w:val="32"/>
          <w:szCs w:val="32"/>
          <w:highlight w:val="none"/>
          <w:lang w:val="en-US" w:eastAsia="zh-CN"/>
        </w:rPr>
        <w:t>.</w:t>
      </w:r>
      <w:r>
        <w:rPr>
          <w:rFonts w:hint="default" w:ascii="Times New Roman" w:hAnsi="Times New Roman" w:cs="Times New Roman"/>
          <w:color w:val="auto"/>
          <w:sz w:val="32"/>
          <w:szCs w:val="32"/>
          <w:highlight w:val="none"/>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rPr>
        <w:t>3</w:t>
      </w:r>
      <w:r>
        <w:rPr>
          <w:rFonts w:hint="default" w:ascii="Times New Roman" w:hAnsi="Times New Roman" w:cs="Times New Roman"/>
          <w:color w:val="auto"/>
          <w:sz w:val="32"/>
          <w:szCs w:val="32"/>
          <w:highlight w:val="none"/>
          <w:lang w:val="en-US" w:eastAsia="zh-CN"/>
        </w:rPr>
        <w:t>.</w:t>
      </w:r>
      <w:r>
        <w:rPr>
          <w:rFonts w:hint="default" w:ascii="Times New Roman" w:hAnsi="Times New Roman" w:cs="Times New Roman"/>
          <w:color w:val="auto"/>
          <w:sz w:val="32"/>
          <w:szCs w:val="32"/>
          <w:highlight w:val="none"/>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cs="Times New Roman"/>
          <w:color w:val="auto"/>
          <w:sz w:val="32"/>
          <w:szCs w:val="32"/>
          <w:highlight w:val="none"/>
        </w:rPr>
      </w:pPr>
      <w:bookmarkStart w:id="7" w:name="_Toc68703834"/>
      <w:r>
        <w:rPr>
          <w:rFonts w:hint="default" w:ascii="Times New Roman" w:hAnsi="Times New Roman" w:eastAsia="仿宋_GB2312" w:cs="Times New Roman"/>
          <w:bCs/>
          <w:color w:val="auto"/>
          <w:sz w:val="32"/>
          <w:szCs w:val="32"/>
          <w:highlight w:val="none"/>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default" w:ascii="Times New Roman" w:hAnsi="Times New Roman" w:eastAsia="黑体" w:cs="Times New Roman"/>
          <w:bCs/>
          <w:color w:val="auto"/>
          <w:sz w:val="32"/>
          <w:szCs w:val="32"/>
          <w:highlight w:val="none"/>
          <w:lang w:val="en-US" w:eastAsia="zh-CN"/>
        </w:rPr>
      </w:pPr>
      <w:r>
        <w:rPr>
          <w:rFonts w:hint="default" w:ascii="Times New Roman" w:hAnsi="Times New Roman" w:eastAsia="黑体" w:cs="Times New Roman"/>
          <w:bCs/>
          <w:color w:val="auto"/>
          <w:sz w:val="32"/>
          <w:szCs w:val="32"/>
          <w:highlight w:val="none"/>
          <w:lang w:val="en-US" w:eastAsia="zh-CN"/>
        </w:rPr>
        <w:t>三、综合评价情况及评价结论</w:t>
      </w:r>
      <w:bookmarkEnd w:id="7"/>
      <w:r>
        <w:rPr>
          <w:rFonts w:hint="default" w:ascii="Times New Roman" w:hAnsi="Times New Roman" w:eastAsia="黑体" w:cs="Times New Roman"/>
          <w:color w:val="auto"/>
          <w:sz w:val="32"/>
          <w:szCs w:val="32"/>
          <w:highlight w:val="none"/>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highlight w:val="none"/>
          <w:lang w:val="en-US" w:eastAsia="zh-CN" w:bidi="ar-SA"/>
        </w:rPr>
      </w:pPr>
      <w:bookmarkStart w:id="8" w:name="_Toc68703835"/>
      <w:r>
        <w:rPr>
          <w:rFonts w:hint="default" w:ascii="Times New Roman" w:hAnsi="Times New Roman" w:eastAsia="楷体_GB2312" w:cs="Times New Roman"/>
          <w:b/>
          <w:bCs/>
          <w:color w:val="auto"/>
          <w:kern w:val="2"/>
          <w:sz w:val="32"/>
          <w:szCs w:val="32"/>
          <w:highlight w:val="none"/>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rPr>
      </w:pPr>
      <w:r>
        <w:rPr>
          <w:rFonts w:hint="default" w:ascii="Times New Roman" w:hAnsi="Times New Roman" w:eastAsia="仿宋_GB2312" w:cs="Times New Roman"/>
          <w:b w:val="0"/>
          <w:bCs w:val="0"/>
          <w:color w:val="auto"/>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highlight w:val="none"/>
          <w:lang w:val="en-US" w:eastAsia="zh-CN" w:bidi="ar-SA"/>
        </w:rPr>
      </w:pPr>
      <w:bookmarkStart w:id="9" w:name="_Toc68703836"/>
      <w:r>
        <w:rPr>
          <w:rFonts w:hint="default" w:ascii="Times New Roman" w:hAnsi="Times New Roman" w:eastAsia="楷体_GB2312" w:cs="Times New Roman"/>
          <w:b/>
          <w:bCs/>
          <w:color w:val="auto"/>
          <w:kern w:val="2"/>
          <w:sz w:val="32"/>
          <w:szCs w:val="32"/>
          <w:highlight w:val="none"/>
          <w:lang w:val="en-US" w:eastAsia="zh-CN" w:bidi="ar-SA"/>
        </w:rPr>
        <w:t>（二）评价结论</w:t>
      </w:r>
      <w:bookmarkEnd w:id="9"/>
    </w:p>
    <w:p>
      <w:pPr>
        <w:pStyle w:val="11"/>
        <w:keepNext w:val="0"/>
        <w:keepLines w:val="0"/>
        <w:pageBreakBefore w:val="0"/>
        <w:widowControl/>
        <w:kinsoku/>
        <w:wordWrap/>
        <w:overflowPunct/>
        <w:topLinePunct w:val="0"/>
        <w:autoSpaceDE/>
        <w:autoSpaceDN/>
        <w:bidi w:val="0"/>
        <w:adjustRightInd/>
        <w:snapToGrid/>
        <w:spacing w:line="560" w:lineRule="exact"/>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b w:val="0"/>
          <w:bCs w:val="0"/>
          <w:color w:val="auto"/>
          <w:highlight w:val="none"/>
          <w:lang w:eastAsia="zh-CN"/>
        </w:rPr>
        <w:t>　　</w:t>
      </w: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 100%。项目过程类指标权重为20分，得分为20分，得分率为100%。项目产出类指标权重为40分，得分为40分，得分率为 100%。项目效益类指标权重为20分，得分为20分，得分率为100%。具体打分情况详见：附件1综合评分表</w:t>
      </w:r>
      <w:r>
        <w:rPr>
          <w:rFonts w:hint="default" w:ascii="Times New Roman" w:hAnsi="Times New Roman" w:eastAsia="仿宋_GB2312" w:cs="Times New Roman"/>
          <w:b w:val="0"/>
          <w:bCs w:val="0"/>
          <w:color w:val="auto"/>
          <w:highlight w:val="none"/>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b w:val="0"/>
          <w:bCs w:val="0"/>
          <w:color w:val="auto"/>
          <w:kern w:val="28"/>
          <w:sz w:val="32"/>
          <w:szCs w:val="32"/>
          <w:highlight w:val="none"/>
          <w:lang w:val="en-US" w:eastAsia="zh-CN" w:bidi="ar-SA"/>
        </w:rPr>
      </w:pPr>
      <w:r>
        <w:rPr>
          <w:rFonts w:hint="default" w:ascii="Times New Roman" w:hAnsi="Times New Roman" w:cs="Times New Roman"/>
          <w:color w:val="auto"/>
          <w:sz w:val="30"/>
          <w:szCs w:val="30"/>
          <w:highlight w:val="none"/>
          <w:lang w:eastAsia="zh-CN"/>
        </w:rPr>
        <w:t>　　　　　　　　</w:t>
      </w:r>
      <w:r>
        <w:rPr>
          <w:rFonts w:hint="default" w:ascii="Times New Roman" w:hAnsi="Times New Roman" w:eastAsia="仿宋_GB2312" w:cs="Times New Roman"/>
          <w:b w:val="0"/>
          <w:bCs w:val="0"/>
          <w:color w:val="auto"/>
          <w:kern w:val="28"/>
          <w:sz w:val="32"/>
          <w:szCs w:val="32"/>
          <w:highlight w:val="none"/>
          <w:lang w:val="en-US" w:eastAsia="zh-CN" w:bidi="ar-SA"/>
        </w:rPr>
        <w:t>表1综合评分表</w:t>
      </w:r>
    </w:p>
    <w:tbl>
      <w:tblPr>
        <w:tblStyle w:val="12"/>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highlight w:val="none"/>
              </w:rPr>
            </w:pPr>
            <w:r>
              <w:rPr>
                <w:rFonts w:hint="default" w:ascii="Times New Roman" w:hAnsi="Times New Roman" w:cs="Times New Roman"/>
                <w:b/>
                <w:bCs/>
                <w:color w:val="auto"/>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highlight w:val="none"/>
              </w:rPr>
            </w:pPr>
            <w:r>
              <w:rPr>
                <w:rFonts w:hint="default" w:ascii="Times New Roman" w:hAnsi="Times New Roman" w:cs="Times New Roman"/>
                <w:b/>
                <w:bCs/>
                <w:color w:val="auto"/>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highlight w:val="none"/>
              </w:rPr>
            </w:pPr>
            <w:r>
              <w:rPr>
                <w:rFonts w:hint="default" w:ascii="Times New Roman" w:hAnsi="Times New Roman" w:cs="Times New Roman"/>
                <w:b/>
                <w:bCs/>
                <w:color w:val="auto"/>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highlight w:val="none"/>
                <w:lang w:val="en-US" w:eastAsia="zh-CN"/>
              </w:rPr>
            </w:pPr>
            <w:r>
              <w:rPr>
                <w:rFonts w:hint="default" w:ascii="Times New Roman" w:hAnsi="Times New Roman" w:cs="Times New Roman"/>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default" w:ascii="Times New Roman" w:hAnsi="Times New Roman" w:cs="Times New Roman"/>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highlight w:val="none"/>
                <w:lang w:val="en-US" w:eastAsia="zh-CN"/>
              </w:rPr>
            </w:pPr>
            <w:r>
              <w:rPr>
                <w:rFonts w:hint="default" w:ascii="Times New Roman" w:hAnsi="Times New Roman" w:cs="Times New Roman"/>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default" w:ascii="Times New Roman" w:hAnsi="Times New Roman" w:cs="Times New Roman"/>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highlight w:val="none"/>
                <w:lang w:val="en-US" w:eastAsia="zh-CN"/>
              </w:rPr>
            </w:pPr>
            <w:r>
              <w:rPr>
                <w:rFonts w:hint="default" w:ascii="Times New Roman" w:hAnsi="Times New Roman" w:cs="Times New Roman"/>
                <w:color w:val="auto"/>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default" w:ascii="Times New Roman" w:hAnsi="Times New Roman" w:cs="Times New Roman"/>
                <w:color w:val="auto"/>
                <w:sz w:val="22"/>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宋体" w:cs="Times New Roman"/>
                <w:color w:val="auto"/>
                <w:sz w:val="22"/>
                <w:highlight w:val="none"/>
              </w:rPr>
            </w:pPr>
            <w:r>
              <w:rPr>
                <w:rFonts w:hint="default" w:ascii="Times New Roman" w:hAnsi="Times New Roman" w:eastAsia="宋体" w:cs="Times New Roman"/>
                <w:color w:val="auto"/>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sz w:val="22"/>
                <w:highlight w:val="none"/>
                <w:lang w:val="en-US" w:eastAsia="zh-CN"/>
              </w:rPr>
            </w:pPr>
            <w:r>
              <w:rPr>
                <w:rFonts w:hint="default" w:ascii="Times New Roman" w:hAnsi="Times New Roman" w:cs="Times New Roman"/>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default" w:ascii="Times New Roman" w:hAnsi="Times New Roman" w:cs="Times New Roman"/>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bCs/>
                <w:color w:val="auto"/>
                <w:sz w:val="22"/>
                <w:highlight w:val="none"/>
              </w:rPr>
            </w:pPr>
            <w:r>
              <w:rPr>
                <w:rFonts w:hint="default" w:ascii="Times New Roman" w:hAnsi="Times New Roman" w:cs="Times New Roman"/>
                <w:b/>
                <w:bCs/>
                <w:color w:val="auto"/>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auto"/>
                <w:sz w:val="22"/>
                <w:highlight w:val="none"/>
                <w:lang w:val="en-US" w:eastAsia="zh-CN"/>
              </w:rPr>
            </w:pPr>
            <w:r>
              <w:rPr>
                <w:rFonts w:hint="default" w:ascii="Times New Roman" w:hAnsi="Times New Roman" w:cs="Times New Roman"/>
                <w:b/>
                <w:bCs/>
                <w:color w:val="auto"/>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auto"/>
                <w:kern w:val="2"/>
                <w:sz w:val="22"/>
                <w:szCs w:val="24"/>
                <w:highlight w:val="none"/>
                <w:lang w:val="en-US" w:eastAsia="zh-CN" w:bidi="ar-SA"/>
              </w:rPr>
            </w:pPr>
            <w:r>
              <w:rPr>
                <w:rFonts w:hint="default" w:ascii="Times New Roman" w:hAnsi="Times New Roman" w:cs="Times New Roman"/>
                <w:b/>
                <w:bCs/>
                <w:color w:val="auto"/>
                <w:sz w:val="22"/>
                <w:highlight w:val="none"/>
                <w:lang w:val="en-US" w:eastAsia="zh-CN"/>
              </w:rPr>
              <w:t>100</w:t>
            </w:r>
          </w:p>
        </w:tc>
      </w:tr>
    </w:tbl>
    <w:p>
      <w:pPr>
        <w:spacing w:line="560" w:lineRule="exact"/>
        <w:rPr>
          <w:rFonts w:hint="default" w:ascii="Times New Roman" w:hAnsi="Times New Roman" w:eastAsia="黑体" w:cs="Times New Roman"/>
          <w:bCs/>
          <w:color w:val="auto"/>
          <w:sz w:val="32"/>
          <w:szCs w:val="32"/>
          <w:highlight w:val="none"/>
          <w:lang w:val="en-US" w:eastAsia="zh-CN"/>
        </w:rPr>
      </w:pPr>
      <w:bookmarkStart w:id="10" w:name="_Toc68703837"/>
      <w:r>
        <w:rPr>
          <w:rFonts w:hint="default" w:ascii="Times New Roman" w:hAnsi="Times New Roman" w:eastAsia="黑体" w:cs="Times New Roman"/>
          <w:bCs/>
          <w:color w:val="auto"/>
          <w:sz w:val="32"/>
          <w:szCs w:val="32"/>
          <w:highlight w:val="none"/>
          <w:lang w:val="en-US" w:eastAsia="zh-CN"/>
        </w:rPr>
        <w:t>四、绩效评价指标分析</w:t>
      </w:r>
      <w:bookmarkEnd w:id="10"/>
    </w:p>
    <w:p>
      <w:pPr>
        <w:spacing w:line="560" w:lineRule="exact"/>
        <w:rPr>
          <w:rFonts w:hint="default" w:ascii="Times New Roman" w:hAnsi="Times New Roman" w:eastAsia="楷体_GB2312" w:cs="Times New Roman"/>
          <w:b/>
          <w:bCs/>
          <w:color w:val="auto"/>
          <w:kern w:val="2"/>
          <w:sz w:val="32"/>
          <w:szCs w:val="32"/>
          <w:highlight w:val="none"/>
          <w:lang w:val="en-US" w:eastAsia="zh-CN" w:bidi="ar-SA"/>
        </w:rPr>
      </w:pPr>
      <w:bookmarkStart w:id="11" w:name="_Toc68703838"/>
      <w:r>
        <w:rPr>
          <w:rFonts w:hint="default" w:ascii="Times New Roman" w:hAnsi="Times New Roman" w:eastAsia="楷体_GB2312" w:cs="Times New Roman"/>
          <w:b/>
          <w:bCs/>
          <w:color w:val="auto"/>
          <w:kern w:val="2"/>
          <w:sz w:val="32"/>
          <w:szCs w:val="32"/>
          <w:highlight w:val="none"/>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b w:val="0"/>
          <w:bCs w:val="0"/>
          <w:color w:val="auto"/>
          <w:sz w:val="32"/>
          <w:szCs w:val="32"/>
          <w:highlight w:val="none"/>
          <w:lang w:val="en-US" w:eastAsia="zh-CN"/>
        </w:rPr>
        <w:t>　　项目决策类指标包括项目立项、绩效目标和资金投入三方面的内容，由6个三级指标构成，权重分值为20分，实际得分20分，得分率为100%。</w:t>
      </w: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1.</w:t>
      </w:r>
      <w:r>
        <w:rPr>
          <w:rFonts w:hint="default" w:ascii="Times New Roman" w:hAnsi="Times New Roman" w:eastAsia="仿宋_GB2312" w:cs="Times New Roman"/>
          <w:b/>
          <w:bCs/>
          <w:color w:val="auto"/>
          <w:sz w:val="32"/>
          <w:szCs w:val="32"/>
          <w:highlight w:val="none"/>
          <w:lang w:val="en-US" w:eastAsia="zh-CN"/>
        </w:rPr>
        <w:t>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cs="Times New Roman"/>
          <w:b w:val="0"/>
          <w:bCs w:val="0"/>
          <w:color w:val="auto"/>
          <w:sz w:val="32"/>
          <w:szCs w:val="32"/>
          <w:highlight w:val="none"/>
        </w:rPr>
      </w:pPr>
      <w:r>
        <w:rPr>
          <w:rFonts w:hint="default" w:ascii="Times New Roman" w:hAnsi="Times New Roman" w:cs="Times New Roman"/>
          <w:b w:val="0"/>
          <w:bCs w:val="0"/>
          <w:color w:val="auto"/>
          <w:sz w:val="32"/>
          <w:szCs w:val="32"/>
          <w:highlight w:val="none"/>
        </w:rPr>
        <w:t>2</w:t>
      </w:r>
      <w:r>
        <w:rPr>
          <w:rFonts w:hint="default" w:ascii="Times New Roman" w:hAnsi="Times New Roman" w:cs="Times New Roman"/>
          <w:b w:val="0"/>
          <w:bCs w:val="0"/>
          <w:color w:val="auto"/>
          <w:sz w:val="32"/>
          <w:szCs w:val="32"/>
          <w:highlight w:val="none"/>
          <w:lang w:val="en-US" w:eastAsia="zh-CN"/>
        </w:rPr>
        <w:t>.</w:t>
      </w:r>
      <w:r>
        <w:rPr>
          <w:rFonts w:hint="default" w:ascii="Times New Roman" w:hAnsi="Times New Roman" w:cs="Times New Roman"/>
          <w:b w:val="0"/>
          <w:bCs w:val="0"/>
          <w:color w:val="auto"/>
          <w:sz w:val="32"/>
          <w:szCs w:val="32"/>
          <w:highlight w:val="none"/>
        </w:rPr>
        <w:t>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保障了程序的规范性。</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cs="Times New Roman"/>
          <w:b w:val="0"/>
          <w:bCs w:val="0"/>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bookmarkStart w:id="12" w:name="_Hlk68699917"/>
      <w:r>
        <w:rPr>
          <w:rFonts w:hint="default" w:ascii="Times New Roman" w:hAnsi="Times New Roman" w:eastAsia="仿宋_GB2312" w:cs="Times New Roman"/>
          <w:color w:val="auto"/>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cs="Times New Roman"/>
          <w:b/>
          <w:bCs/>
          <w:color w:val="auto"/>
          <w:sz w:val="32"/>
          <w:szCs w:val="32"/>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资金分配额度与项目单位实际工作内容相适应，资金分配额度合理，资金分配依据充分。</w:t>
      </w:r>
    </w:p>
    <w:p>
      <w:pPr>
        <w:pStyle w:val="11"/>
        <w:numPr>
          <w:ilvl w:val="0"/>
          <w:numId w:val="0"/>
        </w:numPr>
        <w:spacing w:before="0" w:after="0" w:line="560" w:lineRule="exact"/>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lang w:eastAsia="zh-CN"/>
        </w:rPr>
        <w:t>（二）</w:t>
      </w:r>
      <w:r>
        <w:rPr>
          <w:rFonts w:hint="default" w:ascii="Times New Roman" w:hAnsi="Times New Roman" w:eastAsia="楷体" w:cs="Times New Roman"/>
          <w:color w:val="auto"/>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default" w:ascii="Times New Roman" w:hAnsi="Times New Roman"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default" w:ascii="Times New Roman" w:hAnsi="Times New Roman" w:cs="Times New Roman"/>
          <w:color w:val="auto"/>
          <w:sz w:val="32"/>
          <w:szCs w:val="32"/>
          <w:highlight w:val="none"/>
          <w:lang w:val="en-US" w:eastAsia="zh-CN"/>
        </w:rPr>
        <w:t>600</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default" w:ascii="Times New Roman" w:hAnsi="Times New Roman" w:cs="Times New Roman"/>
          <w:color w:val="auto"/>
          <w:sz w:val="32"/>
          <w:szCs w:val="32"/>
          <w:highlight w:val="none"/>
          <w:lang w:val="en-US" w:eastAsia="zh-CN"/>
        </w:rPr>
        <w:t>600</w:t>
      </w:r>
      <w:r>
        <w:rPr>
          <w:rFonts w:hint="default" w:ascii="Times New Roman" w:hAnsi="Times New Roman" w:eastAsia="仿宋_GB2312" w:cs="Times New Roman"/>
          <w:color w:val="auto"/>
          <w:sz w:val="32"/>
          <w:szCs w:val="32"/>
          <w:highlight w:val="none"/>
          <w:lang w:val="en-US" w:eastAsia="zh-CN"/>
        </w:rPr>
        <w:t>万元，预算执行率为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3"/>
        </w:numPr>
        <w:rPr>
          <w:rFonts w:hint="default" w:ascii="Times New Roman" w:hAnsi="Times New Roman" w:eastAsia="楷体_GB2312" w:cs="Times New Roman"/>
          <w:b/>
          <w:bCs/>
          <w:color w:val="auto"/>
          <w:kern w:val="2"/>
          <w:sz w:val="32"/>
          <w:szCs w:val="32"/>
          <w:highlight w:val="none"/>
          <w:lang w:val="en-US" w:eastAsia="zh-CN" w:bidi="ar-SA"/>
        </w:rPr>
      </w:pPr>
      <w:bookmarkStart w:id="13" w:name="_Toc68703840"/>
      <w:r>
        <w:rPr>
          <w:rFonts w:hint="default" w:ascii="Times New Roman" w:hAnsi="Times New Roman" w:eastAsia="楷体_GB2312" w:cs="Times New Roman"/>
          <w:b/>
          <w:bCs/>
          <w:color w:val="auto"/>
          <w:kern w:val="2"/>
          <w:sz w:val="32"/>
          <w:szCs w:val="32"/>
          <w:highlight w:val="none"/>
          <w:lang w:val="en-US" w:eastAsia="zh-CN" w:bidi="ar-SA"/>
        </w:rPr>
        <w:t>（三）项目产出情况</w:t>
      </w:r>
      <w:bookmarkEnd w:id="13"/>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default" w:ascii="Times New Roman" w:hAnsi="Times New Roman"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default" w:ascii="Times New Roman" w:hAnsi="Times New Roman"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lang w:eastAsia="zh-CN"/>
        </w:rPr>
      </w:pPr>
      <w:r>
        <w:rPr>
          <w:rFonts w:hint="default" w:ascii="Times New Roman" w:hAnsi="Times New Roman" w:cs="Times New Roman"/>
          <w:color w:val="auto"/>
          <w:sz w:val="32"/>
          <w:szCs w:val="32"/>
          <w:highlight w:val="none"/>
        </w:rPr>
        <w:t>指标1：</w:t>
      </w:r>
      <w:r>
        <w:rPr>
          <w:rFonts w:hint="default" w:ascii="Times New Roman" w:hAnsi="Times New Roman" w:cs="Times New Roman"/>
          <w:color w:val="auto"/>
          <w:sz w:val="32"/>
          <w:szCs w:val="32"/>
          <w:highlight w:val="none"/>
          <w:lang w:eastAsia="zh-CN"/>
        </w:rPr>
        <w:t>苗木种植</w:t>
      </w:r>
      <w:r>
        <w:rPr>
          <w:rFonts w:hint="default" w:ascii="Times New Roman" w:hAnsi="Times New Roman" w:cs="Times New Roman"/>
          <w:color w:val="auto"/>
          <w:sz w:val="32"/>
          <w:szCs w:val="32"/>
          <w:highlight w:val="none"/>
        </w:rPr>
        <w:t>，指标值：</w:t>
      </w:r>
      <w:r>
        <w:rPr>
          <w:rFonts w:hint="default" w:ascii="Times New Roman" w:hAnsi="Times New Roman" w:eastAsia="仿宋_GB2312" w:cs="Times New Roman"/>
          <w:b w:val="0"/>
          <w:bCs w:val="0"/>
          <w:color w:val="auto"/>
          <w:kern w:val="2"/>
          <w:sz w:val="30"/>
          <w:szCs w:val="24"/>
          <w:highlight w:val="none"/>
          <w:lang w:val="en-US" w:eastAsia="zh-CN" w:bidi="ar-SA"/>
        </w:rPr>
        <w:t>&gt;=12000株</w:t>
      </w:r>
      <w:r>
        <w:rPr>
          <w:rFonts w:hint="default" w:ascii="Times New Roman" w:hAnsi="Times New Roman" w:cs="Times New Roman"/>
          <w:color w:val="auto"/>
          <w:sz w:val="32"/>
          <w:szCs w:val="32"/>
          <w:highlight w:val="none"/>
        </w:rPr>
        <w:t>，实际完成值</w:t>
      </w:r>
      <w:r>
        <w:rPr>
          <w:rFonts w:hint="default" w:ascii="Times New Roman" w:hAnsi="Times New Roman" w:cs="Times New Roman"/>
          <w:color w:val="auto"/>
          <w:sz w:val="32"/>
          <w:szCs w:val="32"/>
          <w:highlight w:val="none"/>
          <w:lang w:eastAsia="zh-CN"/>
        </w:rPr>
        <w:t>：12000株</w:t>
      </w:r>
      <w:r>
        <w:rPr>
          <w:rFonts w:hint="default" w:ascii="Times New Roman" w:hAnsi="Times New Roman" w:cs="Times New Roman"/>
          <w:color w:val="auto"/>
          <w:sz w:val="32"/>
          <w:szCs w:val="32"/>
          <w:highlight w:val="none"/>
        </w:rPr>
        <w:t>，指标完成率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cs="Times New Roman"/>
          <w:color w:val="auto"/>
          <w:sz w:val="32"/>
          <w:szCs w:val="32"/>
          <w:highlight w:val="none"/>
        </w:rPr>
        <w:t>指标</w:t>
      </w:r>
      <w:r>
        <w:rPr>
          <w:rFonts w:hint="default" w:ascii="Times New Roman" w:hAnsi="Times New Roman" w:cs="Times New Roman"/>
          <w:color w:val="auto"/>
          <w:sz w:val="32"/>
          <w:szCs w:val="32"/>
          <w:highlight w:val="none"/>
          <w:lang w:val="en-US" w:eastAsia="zh-CN"/>
        </w:rPr>
        <w:t>2</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道路绿化长度</w:t>
      </w:r>
      <w:r>
        <w:rPr>
          <w:rFonts w:hint="default" w:ascii="Times New Roman" w:hAnsi="Times New Roman" w:cs="Times New Roman"/>
          <w:color w:val="auto"/>
          <w:sz w:val="32"/>
          <w:szCs w:val="32"/>
          <w:highlight w:val="none"/>
        </w:rPr>
        <w:t>，指标值：</w:t>
      </w:r>
      <w:r>
        <w:rPr>
          <w:rFonts w:hint="default" w:ascii="Times New Roman" w:hAnsi="Times New Roman" w:eastAsia="仿宋_GB2312" w:cs="Times New Roman"/>
          <w:b w:val="0"/>
          <w:bCs w:val="0"/>
          <w:color w:val="auto"/>
          <w:kern w:val="2"/>
          <w:sz w:val="30"/>
          <w:szCs w:val="24"/>
          <w:highlight w:val="none"/>
          <w:lang w:val="en-US" w:eastAsia="zh-CN" w:bidi="ar-SA"/>
        </w:rPr>
        <w:t>&gt;=30千米</w:t>
      </w:r>
      <w:r>
        <w:rPr>
          <w:rFonts w:hint="default" w:ascii="Times New Roman" w:hAnsi="Times New Roman" w:cs="Times New Roman"/>
          <w:color w:val="auto"/>
          <w:sz w:val="32"/>
          <w:szCs w:val="32"/>
          <w:highlight w:val="none"/>
        </w:rPr>
        <w:t>，实际完成值</w:t>
      </w:r>
      <w:r>
        <w:rPr>
          <w:rFonts w:hint="default" w:ascii="Times New Roman" w:hAnsi="Times New Roman" w:cs="Times New Roman"/>
          <w:color w:val="auto"/>
          <w:sz w:val="32"/>
          <w:szCs w:val="32"/>
          <w:highlight w:val="none"/>
          <w:lang w:eastAsia="zh-CN"/>
        </w:rPr>
        <w:t>：30千米</w:t>
      </w:r>
      <w:r>
        <w:rPr>
          <w:rFonts w:hint="default" w:ascii="Times New Roman" w:hAnsi="Times New Roman" w:cs="Times New Roman"/>
          <w:color w:val="auto"/>
          <w:sz w:val="32"/>
          <w:szCs w:val="32"/>
          <w:highlight w:val="none"/>
        </w:rPr>
        <w:t>，指标完成率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lang w:eastAsia="zh-CN"/>
        </w:rPr>
      </w:pPr>
      <w:r>
        <w:rPr>
          <w:rFonts w:hint="default" w:ascii="Times New Roman" w:hAnsi="Times New Roman" w:cs="Times New Roman"/>
          <w:color w:val="auto"/>
          <w:sz w:val="32"/>
          <w:szCs w:val="32"/>
          <w:highlight w:val="none"/>
        </w:rPr>
        <w:t>指标1：</w:t>
      </w:r>
      <w:r>
        <w:rPr>
          <w:rFonts w:hint="default" w:ascii="Times New Roman" w:hAnsi="Times New Roman" w:cs="Times New Roman"/>
          <w:color w:val="auto"/>
          <w:sz w:val="32"/>
          <w:szCs w:val="32"/>
          <w:highlight w:val="none"/>
          <w:lang w:eastAsia="zh-CN"/>
        </w:rPr>
        <w:t>灌溉管线覆盖率</w:t>
      </w:r>
      <w:r>
        <w:rPr>
          <w:rFonts w:hint="default" w:ascii="Times New Roman" w:hAnsi="Times New Roman" w:cs="Times New Roman"/>
          <w:color w:val="auto"/>
          <w:sz w:val="32"/>
          <w:szCs w:val="32"/>
          <w:highlight w:val="none"/>
        </w:rPr>
        <w:t>，指标值：=100%，实际完成值</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100%，指标完成率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lang w:eastAsia="zh-CN"/>
        </w:rPr>
      </w:pPr>
      <w:r>
        <w:rPr>
          <w:rFonts w:hint="default" w:ascii="Times New Roman" w:hAnsi="Times New Roman" w:cs="Times New Roman"/>
          <w:color w:val="auto"/>
          <w:sz w:val="32"/>
          <w:szCs w:val="32"/>
          <w:highlight w:val="none"/>
        </w:rPr>
        <w:t>指标2：</w:t>
      </w:r>
      <w:r>
        <w:rPr>
          <w:rFonts w:hint="default" w:ascii="Times New Roman" w:hAnsi="Times New Roman" w:cs="Times New Roman"/>
          <w:color w:val="auto"/>
          <w:sz w:val="32"/>
          <w:szCs w:val="32"/>
          <w:highlight w:val="none"/>
          <w:lang w:eastAsia="zh-CN"/>
        </w:rPr>
        <w:t>种植苗木成活率</w:t>
      </w:r>
      <w:r>
        <w:rPr>
          <w:rFonts w:hint="default" w:ascii="Times New Roman" w:hAnsi="Times New Roman" w:cs="Times New Roman"/>
          <w:color w:val="auto"/>
          <w:sz w:val="32"/>
          <w:szCs w:val="32"/>
          <w:highlight w:val="none"/>
        </w:rPr>
        <w:t>，指标值：&gt;=80%，实际完成值</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80%，指标完成率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highlight w:val="none"/>
          <w:lang w:eastAsia="zh-CN"/>
        </w:rPr>
      </w:pPr>
      <w:r>
        <w:rPr>
          <w:rFonts w:hint="default" w:ascii="Times New Roman" w:hAnsi="Times New Roman" w:cs="Times New Roman"/>
          <w:color w:val="auto"/>
          <w:sz w:val="32"/>
          <w:szCs w:val="32"/>
          <w:highlight w:val="none"/>
        </w:rPr>
        <w:t>指标</w:t>
      </w:r>
      <w:r>
        <w:rPr>
          <w:rFonts w:hint="default" w:ascii="Times New Roman" w:hAnsi="Times New Roman" w:cs="Times New Roman"/>
          <w:color w:val="auto"/>
          <w:sz w:val="32"/>
          <w:szCs w:val="32"/>
          <w:highlight w:val="none"/>
          <w:lang w:val="en-US" w:eastAsia="zh-CN"/>
        </w:rPr>
        <w:t>3</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项目资金支付率</w:t>
      </w:r>
      <w:r>
        <w:rPr>
          <w:rFonts w:hint="default" w:ascii="Times New Roman" w:hAnsi="Times New Roman" w:cs="Times New Roman"/>
          <w:color w:val="auto"/>
          <w:sz w:val="32"/>
          <w:szCs w:val="32"/>
          <w:highlight w:val="none"/>
        </w:rPr>
        <w:t>，指标值：=100%，实际完成值</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100%，指标完成率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sz w:val="32"/>
          <w:szCs w:val="32"/>
          <w:highlight w:val="none"/>
          <w:lang w:eastAsia="zh-CN"/>
        </w:rPr>
      </w:pPr>
      <w:r>
        <w:rPr>
          <w:rFonts w:hint="default" w:ascii="Times New Roman" w:hAnsi="Times New Roman" w:cs="Times New Roman"/>
          <w:color w:val="auto"/>
          <w:sz w:val="32"/>
          <w:szCs w:val="32"/>
          <w:highlight w:val="none"/>
        </w:rPr>
        <w:t>指标1：</w:t>
      </w:r>
      <w:r>
        <w:rPr>
          <w:rFonts w:hint="default" w:ascii="Times New Roman" w:hAnsi="Times New Roman" w:cs="Times New Roman"/>
          <w:color w:val="auto"/>
          <w:sz w:val="32"/>
          <w:szCs w:val="32"/>
          <w:highlight w:val="none"/>
          <w:lang w:eastAsia="zh-CN"/>
        </w:rPr>
        <w:t>按期开工率</w:t>
      </w:r>
      <w:r>
        <w:rPr>
          <w:rFonts w:hint="default" w:ascii="Times New Roman" w:hAnsi="Times New Roman" w:cs="Times New Roman"/>
          <w:color w:val="auto"/>
          <w:sz w:val="32"/>
          <w:szCs w:val="32"/>
          <w:highlight w:val="none"/>
        </w:rPr>
        <w:t>，指标值：=100%，实际完成值</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100%，指标完成率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color w:val="auto"/>
          <w:highlight w:val="none"/>
          <w:lang w:eastAsia="zh-CN"/>
        </w:rPr>
      </w:pPr>
      <w:r>
        <w:rPr>
          <w:rFonts w:hint="default" w:ascii="Times New Roman" w:hAnsi="Times New Roman" w:cs="Times New Roman"/>
          <w:color w:val="auto"/>
          <w:sz w:val="32"/>
          <w:szCs w:val="32"/>
          <w:highlight w:val="none"/>
        </w:rPr>
        <w:t>指标</w:t>
      </w:r>
      <w:r>
        <w:rPr>
          <w:rFonts w:hint="default" w:ascii="Times New Roman" w:hAnsi="Times New Roman" w:cs="Times New Roman"/>
          <w:color w:val="auto"/>
          <w:sz w:val="32"/>
          <w:szCs w:val="32"/>
          <w:highlight w:val="none"/>
          <w:lang w:val="en-US" w:eastAsia="zh-CN"/>
        </w:rPr>
        <w:t>2</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苗木种植及时率</w:t>
      </w:r>
      <w:r>
        <w:rPr>
          <w:rFonts w:hint="default" w:ascii="Times New Roman" w:hAnsi="Times New Roman" w:cs="Times New Roman"/>
          <w:color w:val="auto"/>
          <w:sz w:val="32"/>
          <w:szCs w:val="32"/>
          <w:highlight w:val="none"/>
        </w:rPr>
        <w:t>，指标值：=100%，实际完成值</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100%，指标完成率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bookmarkStart w:id="14" w:name="_Toc68703841"/>
      <w:r>
        <w:rPr>
          <w:rFonts w:hint="default" w:ascii="Times New Roman" w:hAnsi="Times New Roman" w:eastAsia="仿宋_GB2312" w:cs="Times New Roman"/>
          <w:color w:val="auto"/>
          <w:sz w:val="32"/>
          <w:szCs w:val="32"/>
          <w:highlight w:val="none"/>
          <w:lang w:val="en-US" w:eastAsia="zh-CN"/>
        </w:rPr>
        <w:fldChar w:fldCharType="begin"/>
      </w:r>
      <w:r>
        <w:rPr>
          <w:rFonts w:hint="default" w:ascii="Times New Roman" w:hAnsi="Times New Roman" w:eastAsia="仿宋_GB2312" w:cs="Times New Roman"/>
          <w:color w:val="auto"/>
          <w:sz w:val="32"/>
          <w:szCs w:val="32"/>
          <w:highlight w:val="none"/>
          <w:lang w:val="en-US" w:eastAsia="zh-CN"/>
        </w:rPr>
        <w:instrText xml:space="preserve"> = 4 \* GB3 </w:instrText>
      </w:r>
      <w:r>
        <w:rPr>
          <w:rFonts w:hint="default" w:ascii="Times New Roman" w:hAnsi="Times New Roman" w:eastAsia="仿宋_GB2312" w:cs="Times New Roman"/>
          <w:color w:val="auto"/>
          <w:sz w:val="32"/>
          <w:szCs w:val="32"/>
          <w:highlight w:val="none"/>
          <w:lang w:val="en-US" w:eastAsia="zh-CN"/>
        </w:rPr>
        <w:fldChar w:fldCharType="separate"/>
      </w:r>
      <w:r>
        <w:rPr>
          <w:rFonts w:hint="default" w:ascii="Times New Roman" w:hAnsi="Times New Roman" w:eastAsia="仿宋_GB2312" w:cs="Times New Roman"/>
          <w:color w:val="auto"/>
          <w:sz w:val="32"/>
          <w:szCs w:val="32"/>
          <w:highlight w:val="none"/>
          <w:lang w:val="en-US" w:eastAsia="zh-CN"/>
        </w:rPr>
        <w:t>④</w:t>
      </w:r>
      <w:r>
        <w:rPr>
          <w:rFonts w:hint="default" w:ascii="Times New Roman" w:hAnsi="Times New Roman" w:eastAsia="仿宋_GB2312" w:cs="Times New Roman"/>
          <w:color w:val="auto"/>
          <w:sz w:val="32"/>
          <w:szCs w:val="32"/>
          <w:highlight w:val="none"/>
          <w:lang w:val="en-US" w:eastAsia="zh-CN"/>
        </w:rPr>
        <w:fldChar w:fldCharType="end"/>
      </w:r>
      <w:r>
        <w:rPr>
          <w:rFonts w:hint="default" w:ascii="Times New Roman" w:hAnsi="Times New Roman" w:eastAsia="仿宋_GB2312" w:cs="Times New Roman"/>
          <w:color w:val="auto"/>
          <w:sz w:val="32"/>
          <w:szCs w:val="32"/>
          <w:highlight w:val="none"/>
          <w:lang w:val="en-US" w:eastAsia="zh-CN"/>
        </w:rPr>
        <w:t>成本指标：</w:t>
      </w:r>
    </w:p>
    <w:p>
      <w:pPr>
        <w:shd w:val="clear"/>
        <w:spacing w:line="600" w:lineRule="exact"/>
        <w:ind w:firstLine="640" w:firstLineChars="200"/>
        <w:outlineLvl w:val="0"/>
        <w:rPr>
          <w:rFonts w:hint="default" w:ascii="Times New Roman" w:hAnsi="Times New Roman" w:cs="Times New Roman"/>
          <w:color w:val="auto"/>
          <w:sz w:val="32"/>
          <w:szCs w:val="32"/>
          <w:highlight w:val="none"/>
          <w:lang w:eastAsia="zh-CN"/>
        </w:rPr>
      </w:pPr>
      <w:r>
        <w:rPr>
          <w:rFonts w:hint="default" w:ascii="Times New Roman" w:hAnsi="Times New Roman" w:cs="Times New Roman"/>
          <w:color w:val="auto"/>
          <w:sz w:val="32"/>
          <w:szCs w:val="32"/>
          <w:highlight w:val="none"/>
        </w:rPr>
        <w:t>指标1：</w:t>
      </w:r>
      <w:r>
        <w:rPr>
          <w:rFonts w:hint="default" w:ascii="Times New Roman" w:hAnsi="Times New Roman" w:cs="Times New Roman"/>
          <w:color w:val="auto"/>
          <w:sz w:val="32"/>
          <w:szCs w:val="32"/>
          <w:highlight w:val="none"/>
          <w:lang w:eastAsia="zh-CN"/>
        </w:rPr>
        <w:t>每株苗木成本</w:t>
      </w:r>
      <w:r>
        <w:rPr>
          <w:rFonts w:hint="default" w:ascii="Times New Roman" w:hAnsi="Times New Roman" w:cs="Times New Roman"/>
          <w:color w:val="auto"/>
          <w:sz w:val="32"/>
          <w:szCs w:val="32"/>
          <w:highlight w:val="none"/>
        </w:rPr>
        <w:t>，指标值：&lt;=500元/株，实际完成值</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500元/株，指标完成率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pStyle w:val="4"/>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highlight w:val="none"/>
          <w:lang w:val="en-US" w:eastAsia="zh-CN" w:bidi="ar-SA"/>
        </w:rPr>
      </w:pPr>
      <w:r>
        <w:rPr>
          <w:rFonts w:hint="default" w:ascii="Times New Roman" w:hAnsi="Times New Roman" w:eastAsia="楷体_GB2312" w:cs="Times New Roman"/>
          <w:b/>
          <w:bCs/>
          <w:color w:val="auto"/>
          <w:kern w:val="2"/>
          <w:sz w:val="32"/>
          <w:szCs w:val="32"/>
          <w:highlight w:val="none"/>
          <w:lang w:val="en-US" w:eastAsia="zh-CN" w:bidi="ar-SA"/>
        </w:rPr>
        <w:t>（四）项目效益情况</w:t>
      </w:r>
      <w:bookmarkEnd w:id="14"/>
    </w:p>
    <w:p>
      <w:pPr>
        <w:shd w:val="clear"/>
        <w:spacing w:line="600" w:lineRule="exact"/>
        <w:ind w:firstLine="640" w:firstLineChars="200"/>
        <w:outlineLvl w:val="0"/>
        <w:rPr>
          <w:rFonts w:hint="default" w:ascii="Times New Roman" w:hAnsi="Times New Roman" w:cs="Times New Roman"/>
          <w:color w:val="auto"/>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default" w:ascii="Times New Roman" w:hAnsi="Times New Roman"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default" w:ascii="Times New Roman" w:hAnsi="Times New Roman"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default" w:ascii="Times New Roman" w:hAnsi="Times New Roman"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cs="Times New Roman"/>
          <w:color w:val="auto"/>
          <w:sz w:val="32"/>
          <w:szCs w:val="32"/>
          <w:highlight w:val="none"/>
        </w:rPr>
        <w:t>指标1：</w:t>
      </w:r>
      <w:r>
        <w:rPr>
          <w:rFonts w:hint="default" w:ascii="Times New Roman" w:hAnsi="Times New Roman" w:cs="Times New Roman"/>
          <w:color w:val="auto"/>
          <w:sz w:val="32"/>
          <w:szCs w:val="32"/>
          <w:highlight w:val="none"/>
          <w:lang w:eastAsia="zh-CN"/>
        </w:rPr>
        <w:t>自然生态环境改善情况</w:t>
      </w:r>
      <w:r>
        <w:rPr>
          <w:rFonts w:hint="default" w:ascii="Times New Roman" w:hAnsi="Times New Roman" w:cs="Times New Roman"/>
          <w:color w:val="auto"/>
          <w:sz w:val="32"/>
          <w:szCs w:val="32"/>
          <w:highlight w:val="none"/>
        </w:rPr>
        <w:t>，指标值：有效改善，实际完成值</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有效改善，指标完成率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cs="Times New Roman"/>
          <w:color w:val="auto"/>
          <w:sz w:val="32"/>
          <w:szCs w:val="32"/>
          <w:highlight w:val="none"/>
        </w:rPr>
        <w:t>指标1：</w:t>
      </w:r>
      <w:r>
        <w:rPr>
          <w:rFonts w:hint="default" w:ascii="Times New Roman" w:hAnsi="Times New Roman" w:cs="Times New Roman"/>
          <w:color w:val="auto"/>
          <w:sz w:val="32"/>
          <w:szCs w:val="32"/>
          <w:highlight w:val="none"/>
          <w:lang w:eastAsia="zh-CN"/>
        </w:rPr>
        <w:t>公众对高速公路绿化的满意率</w:t>
      </w:r>
      <w:r>
        <w:rPr>
          <w:rFonts w:hint="default" w:ascii="Times New Roman" w:hAnsi="Times New Roman" w:cs="Times New Roman"/>
          <w:color w:val="auto"/>
          <w:sz w:val="32"/>
          <w:szCs w:val="32"/>
          <w:highlight w:val="none"/>
        </w:rPr>
        <w:t>，指标值：&gt;=85%，实际完成值</w:t>
      </w:r>
      <w:r>
        <w:rPr>
          <w:rFonts w:hint="default" w:ascii="Times New Roman" w:hAnsi="Times New Roman" w:cs="Times New Roman"/>
          <w:color w:val="auto"/>
          <w:sz w:val="32"/>
          <w:szCs w:val="32"/>
          <w:highlight w:val="none"/>
          <w:lang w:eastAsia="zh-CN"/>
        </w:rPr>
        <w:t>：</w:t>
      </w:r>
      <w:r>
        <w:rPr>
          <w:rFonts w:hint="default" w:ascii="Times New Roman" w:hAnsi="Times New Roman" w:cs="Times New Roman"/>
          <w:color w:val="auto"/>
          <w:sz w:val="32"/>
          <w:szCs w:val="32"/>
          <w:highlight w:val="none"/>
        </w:rPr>
        <w:t>85%，指标完成率</w:t>
      </w:r>
      <w:r>
        <w:rPr>
          <w:rFonts w:hint="default" w:ascii="Times New Roman" w:hAnsi="Times New Roman" w:cs="Times New Roman"/>
          <w:color w:val="auto"/>
          <w:sz w:val="32"/>
          <w:szCs w:val="32"/>
          <w:highlight w:val="none"/>
          <w:lang w:val="en-US" w:eastAsia="zh-CN"/>
        </w:rPr>
        <w:t>100</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sz w:val="32"/>
          <w:szCs w:val="32"/>
          <w:highlight w:val="none"/>
          <w:lang w:eastAsia="zh-CN"/>
        </w:rPr>
        <w:t>。</w:t>
      </w:r>
    </w:p>
    <w:p>
      <w:pPr>
        <w:spacing w:line="560" w:lineRule="exact"/>
        <w:rPr>
          <w:rFonts w:hint="default" w:ascii="Times New Roman" w:hAnsi="Times New Roman" w:eastAsia="黑体" w:cs="Times New Roman"/>
          <w:color w:val="auto"/>
          <w:sz w:val="32"/>
          <w:szCs w:val="32"/>
          <w:highlight w:val="none"/>
          <w:lang w:eastAsia="zh-Hans"/>
        </w:rPr>
      </w:pPr>
      <w:r>
        <w:rPr>
          <w:rFonts w:hint="default" w:ascii="Times New Roman" w:hAnsi="Times New Roman" w:eastAsia="黑体" w:cs="Times New Roman"/>
          <w:color w:val="auto"/>
          <w:sz w:val="32"/>
          <w:szCs w:val="32"/>
          <w:highlight w:val="none"/>
          <w:lang w:eastAsia="zh-Hans"/>
        </w:rPr>
        <w:t>五、预算执行进度与绩效指标总体完成率偏差</w:t>
      </w:r>
    </w:p>
    <w:p>
      <w:pPr>
        <w:spacing w:line="560" w:lineRule="exact"/>
        <w:ind w:firstLine="640"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rPr>
        <w:t>霍尔果斯市连霍高速绿色长廊建设项目(二期)</w:t>
      </w:r>
      <w:r>
        <w:rPr>
          <w:rFonts w:hint="default" w:ascii="Times New Roman" w:hAnsi="Times New Roman" w:eastAsia="仿宋_GB2312" w:cs="Times New Roman"/>
          <w:color w:val="auto"/>
          <w:kern w:val="2"/>
          <w:sz w:val="32"/>
          <w:szCs w:val="32"/>
          <w:highlight w:val="none"/>
          <w:lang w:val="en-US" w:eastAsia="zh-CN" w:bidi="ar-SA"/>
        </w:rPr>
        <w:t>年初预算</w:t>
      </w:r>
      <w:r>
        <w:rPr>
          <w:rFonts w:hint="default" w:ascii="Times New Roman" w:hAnsi="Times New Roman" w:cs="Times New Roman"/>
          <w:color w:val="auto"/>
          <w:sz w:val="32"/>
          <w:szCs w:val="32"/>
          <w:highlight w:val="none"/>
          <w:lang w:val="en-US" w:eastAsia="zh-CN"/>
        </w:rPr>
        <w:t>600</w:t>
      </w:r>
      <w:r>
        <w:rPr>
          <w:rFonts w:hint="default" w:ascii="Times New Roman" w:hAnsi="Times New Roman" w:eastAsia="仿宋_GB2312" w:cs="Times New Roman"/>
          <w:color w:val="auto"/>
          <w:kern w:val="2"/>
          <w:sz w:val="32"/>
          <w:szCs w:val="32"/>
          <w:highlight w:val="none"/>
          <w:lang w:val="en-US" w:eastAsia="zh-CN" w:bidi="ar-SA"/>
        </w:rPr>
        <w:t>万元，全年预算</w:t>
      </w:r>
      <w:r>
        <w:rPr>
          <w:rFonts w:hint="default" w:ascii="Times New Roman" w:hAnsi="Times New Roman" w:cs="Times New Roman"/>
          <w:color w:val="auto"/>
          <w:sz w:val="32"/>
          <w:szCs w:val="32"/>
          <w:highlight w:val="none"/>
          <w:lang w:val="en-US" w:eastAsia="zh-CN"/>
        </w:rPr>
        <w:t>600</w:t>
      </w:r>
      <w:r>
        <w:rPr>
          <w:rFonts w:hint="default" w:ascii="Times New Roman" w:hAnsi="Times New Roman" w:eastAsia="仿宋_GB2312" w:cs="Times New Roman"/>
          <w:color w:val="auto"/>
          <w:kern w:val="2"/>
          <w:sz w:val="32"/>
          <w:szCs w:val="32"/>
          <w:highlight w:val="none"/>
          <w:lang w:val="en-US" w:eastAsia="zh-CN" w:bidi="ar-SA"/>
        </w:rPr>
        <w:t>万元，实际支出</w:t>
      </w:r>
      <w:r>
        <w:rPr>
          <w:rFonts w:hint="default" w:ascii="Times New Roman" w:hAnsi="Times New Roman" w:cs="Times New Roman"/>
          <w:color w:val="auto"/>
          <w:sz w:val="32"/>
          <w:szCs w:val="32"/>
          <w:highlight w:val="none"/>
          <w:lang w:val="en-US" w:eastAsia="zh-CN"/>
        </w:rPr>
        <w:t>600</w:t>
      </w:r>
      <w:r>
        <w:rPr>
          <w:rFonts w:hint="default" w:ascii="Times New Roman" w:hAnsi="Times New Roman" w:eastAsia="仿宋_GB2312" w:cs="Times New Roman"/>
          <w:color w:val="auto"/>
          <w:kern w:val="2"/>
          <w:sz w:val="32"/>
          <w:szCs w:val="32"/>
          <w:highlight w:val="none"/>
          <w:lang w:val="en-US" w:eastAsia="zh-CN" w:bidi="ar-SA"/>
        </w:rPr>
        <w:t>万元，预算执行率为</w:t>
      </w:r>
      <w:r>
        <w:rPr>
          <w:rFonts w:hint="default" w:ascii="Times New Roman" w:hAnsi="Times New Roman" w:cs="Times New Roman"/>
          <w:color w:val="auto"/>
          <w:kern w:val="2"/>
          <w:sz w:val="32"/>
          <w:szCs w:val="32"/>
          <w:highlight w:val="none"/>
          <w:lang w:val="en-US" w:eastAsia="zh-CN" w:bidi="ar-SA"/>
        </w:rPr>
        <w:t>100</w:t>
      </w:r>
      <w:r>
        <w:rPr>
          <w:rFonts w:hint="default" w:ascii="Times New Roman" w:hAnsi="Times New Roman" w:eastAsia="仿宋_GB2312" w:cs="Times New Roman"/>
          <w:color w:val="auto"/>
          <w:kern w:val="2"/>
          <w:sz w:val="32"/>
          <w:szCs w:val="32"/>
          <w:highlight w:val="none"/>
          <w:lang w:val="en-US" w:eastAsia="zh-CN" w:bidi="ar-SA"/>
        </w:rPr>
        <w:t>%，项目绩效指标总体完成率为</w:t>
      </w:r>
      <w:r>
        <w:rPr>
          <w:rFonts w:hint="default" w:ascii="Times New Roman" w:hAnsi="Times New Roman" w:cs="Times New Roman"/>
          <w:color w:val="auto"/>
          <w:kern w:val="2"/>
          <w:sz w:val="32"/>
          <w:szCs w:val="32"/>
          <w:highlight w:val="none"/>
          <w:lang w:val="en-US" w:eastAsia="zh-CN" w:bidi="ar-SA"/>
        </w:rPr>
        <w:t>100</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Hans" w:bidi="ar-SA"/>
        </w:rPr>
        <w:t>总体</w:t>
      </w:r>
      <w:r>
        <w:rPr>
          <w:rFonts w:hint="default" w:ascii="Times New Roman" w:hAnsi="Times New Roman" w:eastAsia="仿宋_GB2312" w:cs="Times New Roman"/>
          <w:color w:val="auto"/>
          <w:kern w:val="2"/>
          <w:sz w:val="32"/>
          <w:szCs w:val="32"/>
          <w:highlight w:val="none"/>
          <w:lang w:val="en-US" w:eastAsia="zh-CN" w:bidi="ar-SA"/>
        </w:rPr>
        <w:t>偏差率为</w:t>
      </w:r>
      <w:r>
        <w:rPr>
          <w:rFonts w:hint="default" w:ascii="Times New Roman" w:hAnsi="Times New Roman" w:cs="Times New Roman"/>
          <w:color w:val="auto"/>
          <w:kern w:val="2"/>
          <w:sz w:val="32"/>
          <w:szCs w:val="32"/>
          <w:highlight w:val="none"/>
          <w:lang w:val="en-US" w:eastAsia="zh-CN" w:bidi="ar-SA"/>
        </w:rPr>
        <w:t>0</w:t>
      </w:r>
      <w:r>
        <w:rPr>
          <w:rFonts w:hint="default" w:ascii="Times New Roman" w:hAnsi="Times New Roman" w:eastAsia="仿宋_GB2312" w:cs="Times New Roman"/>
          <w:color w:val="auto"/>
          <w:kern w:val="2"/>
          <w:sz w:val="32"/>
          <w:szCs w:val="32"/>
          <w:highlight w:val="none"/>
          <w:lang w:val="en-US" w:eastAsia="zh-CN" w:bidi="ar-SA"/>
        </w:rPr>
        <w:t>%。</w:t>
      </w:r>
    </w:p>
    <w:p>
      <w:pPr>
        <w:spacing w:line="560" w:lineRule="exact"/>
        <w:rPr>
          <w:rFonts w:hint="default" w:ascii="Times New Roman" w:hAnsi="Times New Roman" w:eastAsia="黑体" w:cs="Times New Roman"/>
          <w:bCs/>
          <w:color w:val="auto"/>
          <w:sz w:val="32"/>
          <w:szCs w:val="32"/>
          <w:highlight w:val="none"/>
          <w:lang w:val="en-US" w:eastAsia="zh-CN"/>
        </w:rPr>
      </w:pPr>
      <w:bookmarkStart w:id="15" w:name="_Toc68703842"/>
      <w:r>
        <w:rPr>
          <w:rFonts w:hint="default" w:ascii="Times New Roman" w:hAnsi="Times New Roman" w:eastAsia="黑体" w:cs="Times New Roman"/>
          <w:bCs/>
          <w:color w:val="auto"/>
          <w:sz w:val="32"/>
          <w:szCs w:val="32"/>
          <w:highlight w:val="none"/>
          <w:lang w:val="en-US" w:eastAsia="zh-CN"/>
        </w:rPr>
        <w:t>六、主要经验及做法、存在的问题及原因分析</w:t>
      </w:r>
      <w:bookmarkEnd w:id="15"/>
    </w:p>
    <w:p>
      <w:pPr>
        <w:spacing w:line="560" w:lineRule="exact"/>
        <w:rPr>
          <w:rFonts w:hint="default" w:ascii="Times New Roman" w:hAnsi="Times New Roman" w:eastAsia="楷体_GB2312" w:cs="Times New Roman"/>
          <w:b/>
          <w:bCs/>
          <w:color w:val="auto"/>
          <w:kern w:val="2"/>
          <w:sz w:val="32"/>
          <w:szCs w:val="32"/>
          <w:highlight w:val="none"/>
          <w:lang w:val="en-US" w:eastAsia="zh-CN" w:bidi="ar-SA"/>
        </w:rPr>
      </w:pPr>
      <w:bookmarkStart w:id="16" w:name="_Toc68703843"/>
      <w:r>
        <w:rPr>
          <w:rFonts w:hint="default" w:ascii="Times New Roman" w:hAnsi="Times New Roman" w:eastAsia="楷体_GB2312" w:cs="Times New Roman"/>
          <w:b/>
          <w:bCs/>
          <w:color w:val="auto"/>
          <w:kern w:val="2"/>
          <w:sz w:val="32"/>
          <w:szCs w:val="32"/>
          <w:highlight w:val="none"/>
          <w:lang w:val="en-US" w:eastAsia="zh-CN" w:bidi="ar-SA"/>
        </w:rPr>
        <w:t>（一）主要经验及做法</w:t>
      </w:r>
      <w:bookmarkEnd w:id="16"/>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1"/>
        <w:spacing w:before="0" w:after="0" w:line="560" w:lineRule="exact"/>
        <w:ind w:firstLine="640" w:firstLineChars="200"/>
        <w:jc w:val="left"/>
        <w:rPr>
          <w:rFonts w:hint="default" w:ascii="Times New Roman" w:hAnsi="Times New Roman" w:cs="Times New Roman"/>
          <w:color w:val="auto"/>
          <w:highlight w:val="none"/>
        </w:rPr>
      </w:pPr>
      <w:r>
        <w:rPr>
          <w:rFonts w:hint="default" w:ascii="Times New Roman" w:hAnsi="Times New Roman" w:eastAsia="仿宋_GB2312" w:cs="Times New Roman"/>
          <w:b w:val="0"/>
          <w:bCs w:val="0"/>
          <w:color w:val="auto"/>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4"/>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color w:val="auto"/>
          <w:kern w:val="2"/>
          <w:sz w:val="32"/>
          <w:szCs w:val="32"/>
          <w:highlight w:val="none"/>
          <w:lang w:val="en-US" w:eastAsia="zh-CN" w:bidi="ar-SA"/>
        </w:rPr>
      </w:pPr>
      <w:bookmarkStart w:id="17" w:name="_Toc68703844"/>
      <w:r>
        <w:rPr>
          <w:rFonts w:hint="default" w:ascii="Times New Roman" w:hAnsi="Times New Roman" w:eastAsia="楷体_GB2312" w:cs="Times New Roman"/>
          <w:b/>
          <w:bCs/>
          <w:color w:val="auto"/>
          <w:kern w:val="2"/>
          <w:sz w:val="32"/>
          <w:szCs w:val="32"/>
          <w:highlight w:val="none"/>
          <w:lang w:val="en-US" w:eastAsia="zh-CN" w:bidi="ar-SA"/>
        </w:rPr>
        <w:t>（二）存在的问题及原因分析</w:t>
      </w:r>
      <w:bookmarkEnd w:id="17"/>
      <w:r>
        <w:rPr>
          <w:rFonts w:hint="default" w:ascii="Times New Roman" w:hAnsi="Times New Roman" w:eastAsia="楷体_GB2312" w:cs="Times New Roman"/>
          <w:b/>
          <w:bCs/>
          <w:color w:val="auto"/>
          <w:kern w:val="2"/>
          <w:sz w:val="32"/>
          <w:szCs w:val="32"/>
          <w:highlight w:val="none"/>
          <w:lang w:val="en-US" w:eastAsia="zh-CN" w:bidi="ar-SA"/>
        </w:rPr>
        <w:t>　</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default" w:ascii="Times New Roman" w:hAnsi="Times New Roman" w:eastAsia="黑体" w:cs="Times New Roman"/>
          <w:b w:val="0"/>
          <w:bCs/>
          <w:color w:val="auto"/>
          <w:kern w:val="2"/>
          <w:sz w:val="32"/>
          <w:szCs w:val="32"/>
          <w:highlight w:val="none"/>
          <w:lang w:val="en-US" w:eastAsia="zh-CN" w:bidi="ar-SA"/>
        </w:rPr>
      </w:pPr>
      <w:bookmarkStart w:id="18" w:name="_Toc68703845"/>
      <w:r>
        <w:rPr>
          <w:rFonts w:hint="default" w:ascii="Times New Roman" w:hAnsi="Times New Roman" w:eastAsia="黑体" w:cs="Times New Roman"/>
          <w:b w:val="0"/>
          <w:bCs/>
          <w:color w:val="auto"/>
          <w:kern w:val="2"/>
          <w:sz w:val="32"/>
          <w:szCs w:val="32"/>
          <w:highlight w:val="none"/>
          <w:lang w:val="en-US" w:eastAsia="zh-CN" w:bidi="ar-SA"/>
        </w:rPr>
        <w:t>七、有关建议</w:t>
      </w:r>
      <w:bookmarkEnd w:id="18"/>
      <w:r>
        <w:rPr>
          <w:rFonts w:hint="default" w:ascii="Times New Roman" w:hAnsi="Times New Roman" w:eastAsia="黑体" w:cs="Times New Roman"/>
          <w:b w:val="0"/>
          <w:bCs/>
          <w:color w:val="auto"/>
          <w:kern w:val="2"/>
          <w:sz w:val="32"/>
          <w:szCs w:val="32"/>
          <w:highlight w:val="none"/>
          <w:lang w:val="en-US" w:eastAsia="zh-CN" w:bidi="ar-SA"/>
        </w:rPr>
        <w:t>　</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cs="Times New Roman"/>
          <w:b w:val="0"/>
          <w:bCs w:val="0"/>
          <w:color w:val="auto"/>
          <w:kern w:val="2"/>
          <w:sz w:val="32"/>
          <w:szCs w:val="32"/>
          <w:highlight w:val="none"/>
          <w:lang w:val="en-US" w:eastAsia="zh-CN" w:bidi="ar-SA"/>
        </w:rPr>
        <w:t>　　</w:t>
      </w:r>
      <w:r>
        <w:rPr>
          <w:rFonts w:hint="default" w:ascii="Times New Roman" w:hAnsi="Times New Roman" w:eastAsia="仿宋_GB2312" w:cs="Times New Roman"/>
          <w:b w:val="0"/>
          <w:bCs w:val="0"/>
          <w:color w:val="auto"/>
          <w:kern w:val="2"/>
          <w:sz w:val="32"/>
          <w:szCs w:val="32"/>
          <w:highlight w:val="none"/>
          <w:lang w:val="en-US" w:eastAsia="zh-CN" w:bidi="ar-SA"/>
        </w:rPr>
        <w:t>1.多进行有关绩效管理工作方面的培训。积极组织第三方开展绩效管理工作培训，进一步夯实业务基础，提高我单位绩效人员水平。</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default" w:ascii="Times New Roman" w:hAnsi="Times New Roman" w:cs="Times New Roman"/>
          <w:color w:val="auto"/>
          <w:sz w:val="22"/>
          <w:szCs w:val="28"/>
          <w:highlight w:val="none"/>
        </w:rPr>
      </w:pPr>
      <w:r>
        <w:rPr>
          <w:rFonts w:hint="eastAsia" w:ascii="Times New Roman" w:hAnsi="Times New Roman"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bookmarkStart w:id="19" w:name="_Toc68703846"/>
    </w:p>
    <w:p>
      <w:pPr>
        <w:shd w:val="clear"/>
        <w:spacing w:line="600" w:lineRule="exact"/>
        <w:ind w:firstLine="640" w:firstLineChars="200"/>
        <w:outlineLvl w:val="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eastAsia="zh-CN"/>
        </w:rPr>
        <w:t>八</w:t>
      </w:r>
      <w:r>
        <w:rPr>
          <w:rFonts w:hint="eastAsia" w:ascii="黑体" w:hAnsi="黑体" w:eastAsia="黑体" w:cs="黑体"/>
          <w:color w:val="auto"/>
          <w:sz w:val="32"/>
          <w:szCs w:val="32"/>
          <w:highlight w:val="none"/>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color w:val="auto"/>
          <w:sz w:val="32"/>
          <w:szCs w:val="32"/>
          <w:highlight w:val="none"/>
        </w:rPr>
      </w:pPr>
      <w:r>
        <w:rPr>
          <w:rFonts w:hint="default" w:ascii="Times New Roman" w:hAnsi="Times New Roman" w:cs="Times New Roman"/>
          <w:color w:val="auto"/>
          <w:sz w:val="32"/>
          <w:szCs w:val="32"/>
          <w:highlight w:val="none"/>
          <w:lang w:eastAsia="zh-CN"/>
        </w:rPr>
        <w:t>　</w:t>
      </w:r>
      <w:r>
        <w:rPr>
          <w:rFonts w:hint="default" w:ascii="Times New Roman" w:hAnsi="Times New Roman" w:eastAsia="仿宋_GB2312" w:cs="Times New Roman"/>
          <w:color w:val="auto"/>
          <w:sz w:val="32"/>
          <w:szCs w:val="32"/>
          <w:highlight w:val="none"/>
          <w:lang w:eastAsia="zh-Hans"/>
        </w:rPr>
        <w:t>本项目无其他需说明的问题</w:t>
      </w:r>
      <w:r>
        <w:rPr>
          <w:rFonts w:hint="default" w:ascii="Times New Roman" w:hAnsi="Times New Roman" w:cs="Times New Roman"/>
          <w:color w:val="auto"/>
          <w:sz w:val="32"/>
          <w:szCs w:val="32"/>
          <w:highlight w:val="none"/>
          <w:lang w:eastAsia="zh-CN"/>
        </w:rPr>
        <w:t>。</w:t>
      </w:r>
    </w:p>
    <w:p>
      <w:pPr>
        <w:rPr>
          <w:rFonts w:hint="default" w:ascii="Times New Roman" w:hAnsi="Times New Roman" w:cs="Times New Roman"/>
          <w:color w:val="auto"/>
          <w:highlight w:val="none"/>
        </w:rPr>
      </w:pPr>
    </w:p>
    <w:p>
      <w:pPr>
        <w:pStyle w:val="2"/>
        <w:rPr>
          <w:rFonts w:hint="default" w:ascii="Times New Roman" w:hAnsi="Times New Roman" w:cs="Times New Roman"/>
          <w:color w:val="auto"/>
          <w:highlight w:val="none"/>
        </w:rPr>
      </w:pPr>
    </w:p>
    <w:p>
      <w:pPr>
        <w:rPr>
          <w:rFonts w:hint="default" w:ascii="Times New Roman" w:hAnsi="Times New Roman" w:cs="Times New Roman"/>
          <w:color w:val="auto"/>
          <w:highlight w:val="none"/>
        </w:rPr>
      </w:pPr>
    </w:p>
    <w:p>
      <w:pPr>
        <w:pStyle w:val="2"/>
        <w:rPr>
          <w:rFonts w:hint="default"/>
        </w:rPr>
      </w:pPr>
    </w:p>
    <w:p>
      <w:pPr>
        <w:rPr>
          <w:rFonts w:hint="default"/>
        </w:rPr>
      </w:pPr>
    </w:p>
    <w:tbl>
      <w:tblPr>
        <w:tblStyle w:val="12"/>
        <w:tblpPr w:leftFromText="180" w:rightFromText="180" w:vertAnchor="text" w:horzAnchor="page" w:tblpX="1037" w:tblpY="162"/>
        <w:tblOverlap w:val="never"/>
        <w:tblW w:w="97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65"/>
        <w:gridCol w:w="765"/>
        <w:gridCol w:w="765"/>
        <w:gridCol w:w="765"/>
        <w:gridCol w:w="711"/>
        <w:gridCol w:w="446"/>
        <w:gridCol w:w="1063"/>
        <w:gridCol w:w="946"/>
        <w:gridCol w:w="615"/>
        <w:gridCol w:w="553"/>
        <w:gridCol w:w="627"/>
        <w:gridCol w:w="436"/>
        <w:gridCol w:w="498"/>
        <w:gridCol w:w="7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40" w:hRule="atLeast"/>
        </w:trPr>
        <w:tc>
          <w:tcPr>
            <w:tcW w:w="972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b/>
                <w:i w:val="0"/>
                <w:color w:val="auto"/>
                <w:sz w:val="32"/>
                <w:szCs w:val="32"/>
                <w:highlight w:val="none"/>
                <w:u w:val="none"/>
              </w:rPr>
            </w:pPr>
            <w:r>
              <w:rPr>
                <w:rFonts w:hint="default" w:ascii="Times New Roman" w:hAnsi="Times New Roman" w:eastAsia="宋体" w:cs="Times New Roman"/>
                <w:b/>
                <w:i w:val="0"/>
                <w:color w:val="auto"/>
                <w:kern w:val="0"/>
                <w:sz w:val="32"/>
                <w:szCs w:val="32"/>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77" w:hRule="atLeast"/>
        </w:trPr>
        <w:tc>
          <w:tcPr>
            <w:tcW w:w="972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86" w:hRule="atLeast"/>
        </w:trPr>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项目名称</w:t>
            </w:r>
          </w:p>
        </w:tc>
        <w:tc>
          <w:tcPr>
            <w:tcW w:w="819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霍尔果斯市连霍高速绿色长廊建设项目(二期)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86" w:hRule="atLeast"/>
        </w:trPr>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主管部门</w:t>
            </w:r>
          </w:p>
        </w:tc>
        <w:tc>
          <w:tcPr>
            <w:tcW w:w="375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霍尔果斯市城市管理局</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实施单位</w:t>
            </w:r>
          </w:p>
        </w:tc>
        <w:tc>
          <w:tcPr>
            <w:tcW w:w="287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霍尔果斯市城市管理局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49" w:hRule="atLeast"/>
        </w:trPr>
        <w:tc>
          <w:tcPr>
            <w:tcW w:w="15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项目资金</w:t>
            </w:r>
            <w:r>
              <w:rPr>
                <w:rFonts w:hint="default" w:ascii="Times New Roman" w:hAnsi="Times New Roman" w:eastAsia="宋体" w:cs="Times New Roman"/>
                <w:i w:val="0"/>
                <w:color w:val="auto"/>
                <w:kern w:val="0"/>
                <w:sz w:val="20"/>
                <w:szCs w:val="20"/>
                <w:highlight w:val="none"/>
                <w:u w:val="none"/>
                <w:lang w:val="en-US" w:eastAsia="zh-CN" w:bidi="ar"/>
              </w:rPr>
              <w:br w:type="textWrapping"/>
            </w:r>
            <w:r>
              <w:rPr>
                <w:rFonts w:hint="default" w:ascii="Times New Roman" w:hAnsi="Times New Roman" w:eastAsia="宋体" w:cs="Times New Roman"/>
                <w:i w:val="0"/>
                <w:color w:val="auto"/>
                <w:kern w:val="0"/>
                <w:sz w:val="20"/>
                <w:szCs w:val="20"/>
                <w:highlight w:val="none"/>
                <w:u w:val="none"/>
                <w:lang w:val="en-US" w:eastAsia="zh-CN" w:bidi="ar"/>
              </w:rPr>
              <w:t>（万元）</w:t>
            </w: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年初预算数</w:t>
            </w:r>
          </w:p>
        </w:tc>
        <w:tc>
          <w:tcPr>
            <w:tcW w:w="15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全年预算数</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全年执行数</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分值</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执行率</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13" w:hRule="atLeast"/>
        </w:trPr>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年度资金总额</w:t>
            </w:r>
          </w:p>
        </w:tc>
        <w:tc>
          <w:tcPr>
            <w:tcW w:w="7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600.00</w:t>
            </w:r>
          </w:p>
        </w:tc>
        <w:tc>
          <w:tcPr>
            <w:tcW w:w="15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600</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600.00</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100.00%</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13" w:hRule="atLeast"/>
        </w:trPr>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其中：当年财政拨款</w:t>
            </w:r>
          </w:p>
        </w:tc>
        <w:tc>
          <w:tcPr>
            <w:tcW w:w="7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600</w:t>
            </w:r>
          </w:p>
        </w:tc>
        <w:tc>
          <w:tcPr>
            <w:tcW w:w="15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600</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0</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13" w:hRule="atLeast"/>
        </w:trPr>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上年结转资金</w:t>
            </w:r>
          </w:p>
        </w:tc>
        <w:tc>
          <w:tcPr>
            <w:tcW w:w="7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0</w:t>
            </w:r>
          </w:p>
        </w:tc>
        <w:tc>
          <w:tcPr>
            <w:tcW w:w="15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0</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13" w:hRule="atLeast"/>
        </w:trPr>
        <w:tc>
          <w:tcPr>
            <w:tcW w:w="15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5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 xml:space="preserve">  其他资金</w:t>
            </w:r>
          </w:p>
        </w:tc>
        <w:tc>
          <w:tcPr>
            <w:tcW w:w="7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0</w:t>
            </w:r>
          </w:p>
        </w:tc>
        <w:tc>
          <w:tcPr>
            <w:tcW w:w="15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0</w:t>
            </w:r>
          </w:p>
        </w:tc>
        <w:tc>
          <w:tcPr>
            <w:tcW w:w="15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c>
          <w:tcPr>
            <w:tcW w:w="9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86"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年度总体目标</w:t>
            </w:r>
          </w:p>
        </w:tc>
        <w:tc>
          <w:tcPr>
            <w:tcW w:w="451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预期目标</w:t>
            </w:r>
          </w:p>
        </w:tc>
        <w:tc>
          <w:tcPr>
            <w:tcW w:w="444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49"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451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对霍尔果斯-伊宁高速及国道路段约30公里，通过提升改造，使霍尔果斯市绿化整体水平提高，绿化覆盖率提升，保持高速绿廊的美观整洁。</w:t>
            </w:r>
          </w:p>
        </w:tc>
        <w:tc>
          <w:tcPr>
            <w:tcW w:w="444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霍尔果斯-伊宁高速及国道路段约30公里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2"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一级指标</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二级指标</w:t>
            </w:r>
          </w:p>
        </w:tc>
        <w:tc>
          <w:tcPr>
            <w:tcW w:w="192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三级指标</w:t>
            </w:r>
          </w:p>
        </w:tc>
        <w:tc>
          <w:tcPr>
            <w:tcW w:w="10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年度指标值</w:t>
            </w: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实际完成值</w:t>
            </w:r>
          </w:p>
        </w:tc>
        <w:tc>
          <w:tcPr>
            <w:tcW w:w="116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分值</w:t>
            </w:r>
          </w:p>
        </w:tc>
        <w:tc>
          <w:tcPr>
            <w:tcW w:w="10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得分</w:t>
            </w:r>
          </w:p>
        </w:tc>
        <w:tc>
          <w:tcPr>
            <w:tcW w:w="12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8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9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0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1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0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2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86" w:hRule="atLeast"/>
        </w:trPr>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年度绩效指标完成情况</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产出指标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数量指标</w:t>
            </w:r>
          </w:p>
        </w:tc>
        <w:tc>
          <w:tcPr>
            <w:tcW w:w="19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苗木种植</w:t>
            </w:r>
          </w:p>
        </w:tc>
        <w:tc>
          <w:tcPr>
            <w:tcW w:w="1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&gt;=12000株</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12000株</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8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数量指标</w:t>
            </w:r>
          </w:p>
        </w:tc>
        <w:tc>
          <w:tcPr>
            <w:tcW w:w="19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道路绿化长度</w:t>
            </w:r>
          </w:p>
        </w:tc>
        <w:tc>
          <w:tcPr>
            <w:tcW w:w="1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&gt;=30千米</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30千米</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8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质量指标</w:t>
            </w:r>
          </w:p>
        </w:tc>
        <w:tc>
          <w:tcPr>
            <w:tcW w:w="19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灌溉管线覆盖率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8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质量指标</w:t>
            </w:r>
          </w:p>
        </w:tc>
        <w:tc>
          <w:tcPr>
            <w:tcW w:w="19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种植苗木成活率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&gt;=80%</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80%</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8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质量指标</w:t>
            </w:r>
          </w:p>
        </w:tc>
        <w:tc>
          <w:tcPr>
            <w:tcW w:w="19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项目资金支付率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8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时效指标</w:t>
            </w:r>
          </w:p>
        </w:tc>
        <w:tc>
          <w:tcPr>
            <w:tcW w:w="19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按期开工率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8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时效指标</w:t>
            </w:r>
          </w:p>
        </w:tc>
        <w:tc>
          <w:tcPr>
            <w:tcW w:w="19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苗木种植及时率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49"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成本指标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经济成本指标</w:t>
            </w:r>
          </w:p>
        </w:tc>
        <w:tc>
          <w:tcPr>
            <w:tcW w:w="19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每株苗木成本</w:t>
            </w:r>
          </w:p>
        </w:tc>
        <w:tc>
          <w:tcPr>
            <w:tcW w:w="1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&lt;=500元/株</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500元/株</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20</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20</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49"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社会成本指标</w:t>
            </w:r>
          </w:p>
        </w:tc>
        <w:tc>
          <w:tcPr>
            <w:tcW w:w="19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default" w:ascii="Times New Roman" w:hAnsi="Times New Roman" w:eastAsia="宋体" w:cs="Times New Roman"/>
                <w:i w:val="0"/>
                <w:color w:val="auto"/>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49"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生态环境成本指标</w:t>
            </w:r>
          </w:p>
        </w:tc>
        <w:tc>
          <w:tcPr>
            <w:tcW w:w="19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default" w:ascii="Times New Roman" w:hAnsi="Times New Roman" w:eastAsia="宋体" w:cs="Times New Roman"/>
                <w:i w:val="0"/>
                <w:color w:val="auto"/>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49"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效益指标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经济效益指标</w:t>
            </w:r>
          </w:p>
        </w:tc>
        <w:tc>
          <w:tcPr>
            <w:tcW w:w="19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default" w:ascii="Times New Roman" w:hAnsi="Times New Roman" w:eastAsia="宋体" w:cs="Times New Roman"/>
                <w:i w:val="0"/>
                <w:color w:val="auto"/>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49"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社会效益指标</w:t>
            </w:r>
          </w:p>
        </w:tc>
        <w:tc>
          <w:tcPr>
            <w:tcW w:w="19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default" w:ascii="Times New Roman" w:hAnsi="Times New Roman" w:eastAsia="宋体" w:cs="Times New Roman"/>
                <w:i w:val="0"/>
                <w:color w:val="auto"/>
                <w:sz w:val="20"/>
                <w:szCs w:val="20"/>
                <w:highlight w:val="none"/>
                <w:u w:val="none"/>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749"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生态效益指标</w:t>
            </w:r>
          </w:p>
        </w:tc>
        <w:tc>
          <w:tcPr>
            <w:tcW w:w="19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自然生态环境改善情况</w:t>
            </w:r>
          </w:p>
        </w:tc>
        <w:tc>
          <w:tcPr>
            <w:tcW w:w="1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有效改善</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20</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20</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86" w:hRule="atLeast"/>
        </w:trPr>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满意度指标</w:t>
            </w:r>
          </w:p>
        </w:tc>
        <w:tc>
          <w:tcPr>
            <w:tcW w:w="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满意度指标</w:t>
            </w:r>
          </w:p>
        </w:tc>
        <w:tc>
          <w:tcPr>
            <w:tcW w:w="19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公众对高速公路绿化的满意率</w:t>
            </w:r>
          </w:p>
        </w:tc>
        <w:tc>
          <w:tcPr>
            <w:tcW w:w="10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&gt;=85%</w:t>
            </w:r>
          </w:p>
        </w:tc>
        <w:tc>
          <w:tcPr>
            <w:tcW w:w="9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85%</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95" w:hRule="atLeast"/>
        </w:trPr>
        <w:tc>
          <w:tcPr>
            <w:tcW w:w="622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总分</w:t>
            </w:r>
          </w:p>
        </w:tc>
        <w:tc>
          <w:tcPr>
            <w:tcW w:w="116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w:t>
            </w:r>
          </w:p>
        </w:tc>
        <w:tc>
          <w:tcPr>
            <w:tcW w:w="10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highlight w:val="none"/>
                <w:u w:val="none"/>
              </w:rPr>
            </w:pPr>
            <w:r>
              <w:rPr>
                <w:rFonts w:hint="default" w:ascii="Times New Roman" w:hAnsi="Times New Roman" w:eastAsia="宋体" w:cs="Times New Roman"/>
                <w:i w:val="0"/>
                <w:color w:val="auto"/>
                <w:kern w:val="0"/>
                <w:sz w:val="20"/>
                <w:szCs w:val="20"/>
                <w:highlight w:val="none"/>
                <w:u w:val="none"/>
                <w:lang w:val="en-US" w:eastAsia="zh-CN" w:bidi="ar"/>
              </w:rPr>
              <w:t>100.00分</w:t>
            </w:r>
          </w:p>
        </w:tc>
        <w:tc>
          <w:tcPr>
            <w:tcW w:w="126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imes New Roman" w:hAnsi="Times New Roman" w:eastAsia="宋体" w:cs="Times New Roman"/>
                <w:i w:val="0"/>
                <w:color w:val="auto"/>
                <w:sz w:val="20"/>
                <w:szCs w:val="20"/>
                <w:highlight w:val="none"/>
                <w:u w:val="none"/>
              </w:rPr>
            </w:pPr>
          </w:p>
        </w:tc>
      </w:tr>
    </w:tbl>
    <w:p>
      <w:pPr>
        <w:pStyle w:val="11"/>
        <w:rPr>
          <w:rFonts w:hint="default" w:ascii="Times New Roman" w:hAnsi="Times New Roman" w:cs="Times New Roman"/>
          <w:color w:val="auto"/>
          <w:highlight w:val="none"/>
        </w:rPr>
      </w:pPr>
    </w:p>
    <w:p>
      <w:pPr>
        <w:rPr>
          <w:rFonts w:hint="default" w:ascii="Times New Roman" w:hAnsi="Times New Roman" w:cs="Times New Roman"/>
          <w:color w:val="auto"/>
          <w:highlight w:val="none"/>
        </w:rPr>
      </w:pPr>
    </w:p>
    <w:p>
      <w:pPr>
        <w:spacing w:line="600" w:lineRule="exact"/>
        <w:rPr>
          <w:rFonts w:hint="default" w:ascii="Times New Roman" w:hAnsi="Times New Roman" w:eastAsia="黑体" w:cs="Times New Roman"/>
          <w:bCs/>
          <w:color w:val="auto"/>
          <w:sz w:val="32"/>
          <w:szCs w:val="32"/>
          <w:highlight w:val="none"/>
        </w:rPr>
        <w:sectPr>
          <w:headerReference r:id="rId3" w:type="default"/>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p>
    <w:p>
      <w:pPr>
        <w:pStyle w:val="21"/>
        <w:ind w:firstLine="562"/>
        <w:jc w:val="center"/>
        <w:rPr>
          <w:rFonts w:hint="default" w:ascii="Times New Roman" w:hAnsi="Times New Roman" w:cs="Times New Roman"/>
          <w:color w:val="auto"/>
          <w:sz w:val="28"/>
          <w:szCs w:val="40"/>
          <w:highlight w:val="none"/>
        </w:rPr>
      </w:pPr>
      <w:bookmarkStart w:id="20" w:name="_Toc30064_WPSOffice_Level1"/>
      <w:bookmarkStart w:id="21" w:name="_Toc26499_WPSOffice_Level2"/>
      <w:r>
        <w:rPr>
          <w:rFonts w:hint="default" w:ascii="Times New Roman" w:hAnsi="Times New Roman" w:cs="Times New Roman"/>
          <w:b/>
          <w:bCs/>
          <w:color w:val="auto"/>
          <w:sz w:val="28"/>
          <w:szCs w:val="40"/>
          <w:highlight w:val="none"/>
        </w:rPr>
        <w:t>霍尔果斯市连霍高速绿色长廊建设项目(二期)绩效评价指标体系及综合评分表</w:t>
      </w:r>
      <w:bookmarkEnd w:id="20"/>
      <w:bookmarkEnd w:id="21"/>
      <w:bookmarkStart w:id="22" w:name="_GoBack"/>
      <w:bookmarkEnd w:id="22"/>
    </w:p>
    <w:tbl>
      <w:tblPr>
        <w:tblStyle w:val="12"/>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一级指标</w:t>
            </w:r>
          </w:p>
        </w:tc>
        <w:tc>
          <w:tcPr>
            <w:tcW w:w="764"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二级指标</w:t>
            </w:r>
          </w:p>
        </w:tc>
        <w:tc>
          <w:tcPr>
            <w:tcW w:w="87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三级指标</w:t>
            </w:r>
          </w:p>
        </w:tc>
        <w:tc>
          <w:tcPr>
            <w:tcW w:w="235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指标解释</w:t>
            </w:r>
          </w:p>
        </w:tc>
        <w:tc>
          <w:tcPr>
            <w:tcW w:w="5198"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指标说明</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权重</w:t>
            </w:r>
          </w:p>
        </w:tc>
        <w:tc>
          <w:tcPr>
            <w:tcW w:w="1363"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决策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项目立项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立项依据</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充分性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①项目立项是否符合国家法律法规、国民经济发展规划和相关政策；</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②项目立项是否符合行业发展规划和政策要求；</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③项目立项是否与部门职责范围相符，属于部门履职所需；</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④项目是否属于公共财政支持范围，是否符合中央、地方事权支出责任划分原则；</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立项程序</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规范性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①项目是否按照规定的程序申请设立；</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②审批文件、材料是否符合相关要求；</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绩效目标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绩效目标</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合理性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（如未设定预算绩效目标，也可考核其他工作任务目标）</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①项目是否有绩效目标；</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②项目绩效目标与实际工作内容是否具有相关性；</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③项目预期产出效益和效果是否符合正常的业绩水平；</w:t>
            </w:r>
          </w:p>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绩效指标</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明确性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①是否将项目绩效目标细化分解为具体的绩效指标；</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②是否通过清晰、可衡量的指标值予以体现；</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③是否与项目目标任务数或计划数相对应。</w:t>
            </w:r>
            <w:r>
              <w:rPr>
                <w:rFonts w:hint="default" w:ascii="Times New Roman" w:hAnsi="Times New Roman" w:cs="Times New Roman"/>
                <w:color w:val="auto"/>
                <w:kern w:val="0"/>
                <w:sz w:val="22"/>
                <w:szCs w:val="22"/>
                <w:highlight w:val="none"/>
              </w:rPr>
              <w:br w:type="textWrapping"/>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资金投入</w:t>
            </w:r>
          </w:p>
          <w:p>
            <w:pPr>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预算编制</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科学性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①预算编制是否经过科学论证；</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②预算内容与项目内容是否匹配；</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③预算额度测算依据是否充分，是否按照标准编制；</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资金分配</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合理性</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①预算资金分配依据是否充分；</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p>
          <w:p>
            <w:pPr>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过程</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资金到位率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资金到位率=（实际到位资金/预算资金）×100%。</w:t>
            </w:r>
          </w:p>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实际到位资金：一定时期（本年度或项目期）内落实到具体项目的资金。</w:t>
            </w:r>
          </w:p>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预算执行率</w:t>
            </w:r>
          </w:p>
        </w:tc>
        <w:tc>
          <w:tcPr>
            <w:tcW w:w="2353"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预算执行率=（实际支出资金/实际到位资金）×100%。</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资金管理</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资金使用</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合规性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①是否符合国家财经法规和财务管理制度以及有关专项资金管理办法的规定；</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②资金的拨付是否有完整的审批程序和手续；</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③是否符合项目预算批复或合同规定的用途；</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组织实施</w:t>
            </w:r>
          </w:p>
          <w:p>
            <w:pPr>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管理制度</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健全性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①是否已制定或具有相应的财务和业务管理制度；</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制度执行</w:t>
            </w:r>
          </w:p>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有效性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评价要点：</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①是否遵守相关法律法规和相关管理规定；</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②项目调整及支出调整手续是否完备；</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③项目合同书、验收报告、技术鉴定等资料是否齐全并及时归档；</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eastAsia="zh-CN"/>
              </w:rPr>
            </w:pPr>
            <w:r>
              <w:rPr>
                <w:rFonts w:hint="default" w:ascii="Times New Roman" w:hAnsi="Times New Roman" w:cs="Times New Roman"/>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w:t>
            </w: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产出数量</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实际完成率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实际完成率=（实际产出数/计划产出数）×100%。</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实际产出数：一定时期（本年度或项目期）内项目实际产出的产品或提供的服务数量。</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产出质量</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质量达标率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质量达标率=（质量达标产出数/实际产出数）×100%。</w:t>
            </w:r>
          </w:p>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p>
        </w:tc>
        <w:tc>
          <w:tcPr>
            <w:tcW w:w="764" w:type="dxa"/>
            <w:shd w:val="clear" w:color="auto" w:fill="FFFFFF"/>
            <w:vAlign w:val="center"/>
          </w:tcPr>
          <w:p>
            <w:pPr>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产出时效</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完成及时性</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实际完成时间：项目实施单位完成该项目实际所耗用的时间。</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产出成本</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成本节约率</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成本节约率=[（计划成本-实际成本）/计划成本]×100%。</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实际成本：项目实施单位如期、保质、保量完成既定工作目标实际所耗费的支出。</w:t>
            </w:r>
            <w:r>
              <w:rPr>
                <w:rFonts w:hint="default" w:ascii="Times New Roman" w:hAnsi="Times New Roman" w:cs="Times New Roman"/>
                <w:color w:val="auto"/>
                <w:kern w:val="0"/>
                <w:sz w:val="22"/>
                <w:szCs w:val="22"/>
                <w:highlight w:val="none"/>
              </w:rPr>
              <w:br w:type="textWrapping"/>
            </w:r>
            <w:r>
              <w:rPr>
                <w:rFonts w:hint="default" w:ascii="Times New Roman" w:hAnsi="Times New Roman" w:cs="Times New Roman"/>
                <w:color w:val="auto"/>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效益　</w:t>
            </w:r>
          </w:p>
        </w:tc>
        <w:tc>
          <w:tcPr>
            <w:tcW w:w="764" w:type="dxa"/>
            <w:vMerge w:val="restart"/>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项目效益　</w:t>
            </w: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实施效益</w:t>
            </w:r>
          </w:p>
        </w:tc>
        <w:tc>
          <w:tcPr>
            <w:tcW w:w="2353" w:type="dxa"/>
            <w:shd w:val="clear" w:color="auto" w:fill="FFFFFF"/>
            <w:vAlign w:val="center"/>
          </w:tcPr>
          <w:p>
            <w:pPr>
              <w:widowControl/>
              <w:spacing w:line="0" w:lineRule="atLeast"/>
              <w:jc w:val="lef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项目实施所产生的效益。</w:t>
            </w:r>
          </w:p>
        </w:tc>
        <w:tc>
          <w:tcPr>
            <w:tcW w:w="5198" w:type="dxa"/>
            <w:shd w:val="clear" w:color="auto"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p>
        </w:tc>
        <w:tc>
          <w:tcPr>
            <w:tcW w:w="873" w:type="dxa"/>
            <w:shd w:val="clear" w:color="auto" w:fill="FFFFFF"/>
            <w:vAlign w:val="center"/>
          </w:tcPr>
          <w:p>
            <w:pPr>
              <w:widowControl/>
              <w:spacing w:line="0" w:lineRule="atLeast"/>
              <w:jc w:val="center"/>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满意度</w:t>
            </w:r>
          </w:p>
        </w:tc>
        <w:tc>
          <w:tcPr>
            <w:tcW w:w="2353"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rFonts w:hint="default" w:ascii="Times New Roman" w:hAnsi="Times New Roman" w:cs="Times New Roman"/>
                <w:color w:val="auto"/>
                <w:kern w:val="0"/>
                <w:sz w:val="22"/>
                <w:szCs w:val="22"/>
                <w:highlight w:val="none"/>
              </w:rPr>
            </w:pPr>
            <w:r>
              <w:rPr>
                <w:rFonts w:hint="default" w:ascii="Times New Roman" w:hAnsi="Times New Roman" w:cs="Times New Roman"/>
                <w:color w:val="auto"/>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cs="Times New Roman"/>
                <w:b/>
                <w:bCs/>
                <w:color w:val="auto"/>
                <w:kern w:val="0"/>
                <w:sz w:val="22"/>
                <w:szCs w:val="22"/>
                <w:highlight w:val="none"/>
              </w:rPr>
            </w:pPr>
            <w:r>
              <w:rPr>
                <w:rFonts w:hint="default" w:ascii="Times New Roman" w:hAnsi="Times New Roman" w:cs="Times New Roman"/>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22"/>
                <w:szCs w:val="22"/>
                <w:highlight w:val="none"/>
                <w:lang w:val="en-US" w:eastAsia="zh-CN"/>
              </w:rPr>
            </w:pPr>
            <w:r>
              <w:rPr>
                <w:rFonts w:hint="default" w:ascii="Times New Roman" w:hAnsi="Times New Roman" w:cs="Times New Roman"/>
                <w:b/>
                <w:bCs/>
                <w:color w:val="auto"/>
                <w:kern w:val="0"/>
                <w:sz w:val="22"/>
                <w:szCs w:val="22"/>
                <w:highlight w:val="none"/>
                <w:lang w:val="en-US" w:eastAsia="zh-CN"/>
              </w:rPr>
              <w:t>10</w:t>
            </w:r>
          </w:p>
        </w:tc>
      </w:tr>
    </w:tbl>
    <w:p>
      <w:pPr>
        <w:rPr>
          <w:rFonts w:hint="default" w:ascii="Times New Roman" w:hAnsi="Times New Roman" w:cs="Times New Roman"/>
          <w:color w:val="auto"/>
          <w:highlight w:val="none"/>
        </w:rPr>
      </w:pPr>
    </w:p>
    <w:sectPr>
      <w:pgSz w:w="16838" w:h="11906" w:orient="landscape"/>
      <w:pgMar w:top="1531" w:right="1928" w:bottom="1531" w:left="1701" w:header="737" w:footer="851" w:gutter="0"/>
      <w:pgBorders>
        <w:top w:val="none" w:sz="0" w:space="0"/>
        <w:left w:val="none" w:sz="0" w:space="0"/>
        <w:bottom w:val="none" w:sz="0" w:space="0"/>
        <w:right w:val="none" w:sz="0" w:space="0"/>
      </w:pgBorders>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2EF0847"/>
    <w:rsid w:val="05253FFE"/>
    <w:rsid w:val="0F2A6BF7"/>
    <w:rsid w:val="109627EE"/>
    <w:rsid w:val="14B96BE5"/>
    <w:rsid w:val="15AD17BE"/>
    <w:rsid w:val="17136327"/>
    <w:rsid w:val="181871E2"/>
    <w:rsid w:val="19166846"/>
    <w:rsid w:val="20E92B23"/>
    <w:rsid w:val="22AC2218"/>
    <w:rsid w:val="24CF18D2"/>
    <w:rsid w:val="2729052F"/>
    <w:rsid w:val="28C14634"/>
    <w:rsid w:val="29CA5115"/>
    <w:rsid w:val="2EC724D4"/>
    <w:rsid w:val="2EE30257"/>
    <w:rsid w:val="34DA27CE"/>
    <w:rsid w:val="36411DC5"/>
    <w:rsid w:val="36B72533"/>
    <w:rsid w:val="4057649F"/>
    <w:rsid w:val="450B6AE4"/>
    <w:rsid w:val="46FA4489"/>
    <w:rsid w:val="54873A1A"/>
    <w:rsid w:val="56796849"/>
    <w:rsid w:val="568F383B"/>
    <w:rsid w:val="58962892"/>
    <w:rsid w:val="5D555EEF"/>
    <w:rsid w:val="5DA95371"/>
    <w:rsid w:val="5EE355ED"/>
    <w:rsid w:val="61171FA5"/>
    <w:rsid w:val="686F7714"/>
    <w:rsid w:val="6A862BA8"/>
    <w:rsid w:val="6DFC1C65"/>
    <w:rsid w:val="75FA041F"/>
    <w:rsid w:val="760F49BD"/>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semiHidden/>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20"/>
    <w:semiHidden/>
    <w:unhideWhenUsed/>
    <w:qFormat/>
    <w:uiPriority w:val="99"/>
    <w:pPr>
      <w:tabs>
        <w:tab w:val="center" w:pos="4153"/>
        <w:tab w:val="right" w:pos="8306"/>
      </w:tabs>
      <w:snapToGrid w:val="0"/>
      <w:jc w:val="left"/>
    </w:pPr>
    <w:rPr>
      <w:sz w:val="18"/>
      <w:szCs w:val="18"/>
    </w:rPr>
  </w:style>
  <w:style w:type="paragraph" w:styleId="8">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4">
    <w:name w:val="Strong"/>
    <w:qFormat/>
    <w:uiPriority w:val="0"/>
    <w:rPr>
      <w:b/>
      <w:b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eastAsia="仿宋_GB2312" w:cs="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sz w:val="32"/>
      <w:szCs w:val="32"/>
    </w:rPr>
  </w:style>
  <w:style w:type="paragraph" w:customStyle="1" w:styleId="18">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9">
    <w:name w:val="页眉 Char"/>
    <w:basedOn w:val="13"/>
    <w:link w:val="8"/>
    <w:semiHidden/>
    <w:qFormat/>
    <w:uiPriority w:val="99"/>
    <w:rPr>
      <w:rFonts w:ascii="Times New Roman" w:hAnsi="Times New Roman" w:eastAsia="仿宋_GB2312" w:cs="Times New Roman"/>
      <w:sz w:val="18"/>
      <w:szCs w:val="18"/>
    </w:rPr>
  </w:style>
  <w:style w:type="character" w:customStyle="1" w:styleId="20">
    <w:name w:val="页脚 Char"/>
    <w:basedOn w:val="13"/>
    <w:link w:val="7"/>
    <w:semiHidden/>
    <w:qFormat/>
    <w:uiPriority w:val="99"/>
    <w:rPr>
      <w:rFonts w:ascii="Times New Roman" w:hAnsi="Times New Roman" w:eastAsia="仿宋_GB2312" w:cs="Times New Roman"/>
      <w:sz w:val="18"/>
      <w:szCs w:val="18"/>
    </w:rPr>
  </w:style>
  <w:style w:type="paragraph" w:customStyle="1" w:styleId="2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5042</Words>
  <Characters>5242</Characters>
  <Lines>37</Lines>
  <Paragraphs>10</Paragraphs>
  <TotalTime>2</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2024-06-07T12:06:58Z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