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ind w:left="0" w:leftChars="0" w:firstLine="964" w:firstLineChars="200"/>
        <w:jc w:val="center"/>
        <w:rPr>
          <w:rFonts w:ascii="宋体" w:hAnsi="宋体" w:eastAsia="宋体" w:cs="Arial"/>
          <w:b/>
          <w:bCs/>
          <w:color w:val="auto"/>
          <w:sz w:val="48"/>
          <w:szCs w:val="48"/>
          <w:highlight w:val="none"/>
        </w:rPr>
      </w:pPr>
    </w:p>
    <w:p>
      <w:pPr>
        <w:pageBreakBefore w:val="0"/>
        <w:kinsoku/>
        <w:wordWrap/>
        <w:overflowPunct/>
        <w:topLinePunct w:val="0"/>
        <w:autoSpaceDE/>
        <w:autoSpaceDN/>
        <w:bidi w:val="0"/>
        <w:adjustRightInd/>
        <w:snapToGrid/>
        <w:spacing w:line="560" w:lineRule="exact"/>
        <w:ind w:left="0" w:leftChars="0" w:firstLine="964" w:firstLineChars="200"/>
        <w:jc w:val="center"/>
        <w:rPr>
          <w:rFonts w:ascii="宋体" w:hAnsi="宋体" w:eastAsia="宋体" w:cs="Arial"/>
          <w:b/>
          <w:bCs/>
          <w:color w:val="auto"/>
          <w:sz w:val="48"/>
          <w:szCs w:val="48"/>
          <w:highlight w:val="none"/>
        </w:rPr>
      </w:pPr>
    </w:p>
    <w:p>
      <w:pPr>
        <w:pageBreakBefore w:val="0"/>
        <w:kinsoku/>
        <w:wordWrap/>
        <w:overflowPunct/>
        <w:topLinePunct w:val="0"/>
        <w:autoSpaceDE/>
        <w:autoSpaceDN/>
        <w:bidi w:val="0"/>
        <w:adjustRightInd/>
        <w:snapToGrid/>
        <w:spacing w:line="560" w:lineRule="exact"/>
        <w:ind w:left="0" w:leftChars="0" w:firstLine="964" w:firstLineChars="200"/>
        <w:jc w:val="center"/>
        <w:rPr>
          <w:rFonts w:ascii="宋体" w:hAnsi="宋体" w:eastAsia="宋体" w:cs="Arial"/>
          <w:b/>
          <w:bCs/>
          <w:color w:val="auto"/>
          <w:sz w:val="48"/>
          <w:szCs w:val="48"/>
          <w:highlight w:val="none"/>
        </w:rPr>
      </w:pPr>
    </w:p>
    <w:p>
      <w:pPr>
        <w:pStyle w:val="2"/>
        <w:pageBreakBefore w:val="0"/>
        <w:kinsoku/>
        <w:wordWrap/>
        <w:overflowPunct/>
        <w:topLinePunct w:val="0"/>
        <w:autoSpaceDE/>
        <w:autoSpaceDN/>
        <w:bidi w:val="0"/>
        <w:adjustRightInd/>
        <w:snapToGrid/>
        <w:spacing w:before="0" w:beforeLines="0" w:after="0" w:afterLines="0" w:line="560" w:lineRule="exact"/>
        <w:ind w:left="0" w:leftChars="0" w:firstLine="643" w:firstLineChars="200"/>
        <w:rPr>
          <w:rFonts w:hint="eastAsia"/>
          <w:color w:val="auto"/>
          <w:highlight w:val="none"/>
          <w:lang w:val="en-US" w:eastAsia="zh-CN"/>
        </w:rPr>
      </w:pPr>
      <w:bookmarkStart w:id="0" w:name="_Toc68703827"/>
    </w:p>
    <w:p>
      <w:pPr>
        <w:pageBreakBefore w:val="0"/>
        <w:kinsoku/>
        <w:wordWrap/>
        <w:overflowPunct/>
        <w:topLinePunct w:val="0"/>
        <w:autoSpaceDE/>
        <w:autoSpaceDN/>
        <w:bidi w:val="0"/>
        <w:adjustRightInd/>
        <w:snapToGrid/>
        <w:spacing w:line="560" w:lineRule="exact"/>
        <w:ind w:left="0" w:leftChars="0" w:firstLine="960" w:firstLineChars="200"/>
        <w:jc w:val="center"/>
        <w:rPr>
          <w:rFonts w:hint="eastAsia" w:ascii="方正小标宋简体" w:hAnsi="方正小标宋简体" w:eastAsia="方正小标宋简体" w:cs="方正小标宋简体"/>
          <w:b w:val="0"/>
          <w:bCs w:val="0"/>
          <w:color w:val="auto"/>
          <w:kern w:val="0"/>
          <w:sz w:val="48"/>
          <w:szCs w:val="48"/>
          <w:highlight w:val="none"/>
        </w:rPr>
      </w:pPr>
      <w:r>
        <w:rPr>
          <w:rFonts w:hint="eastAsia" w:ascii="方正小标宋简体" w:hAnsi="方正小标宋简体" w:eastAsia="方正小标宋简体" w:cs="方正小标宋简体"/>
          <w:b w:val="0"/>
          <w:bCs w:val="0"/>
          <w:color w:val="auto"/>
          <w:kern w:val="0"/>
          <w:sz w:val="48"/>
          <w:szCs w:val="48"/>
          <w:highlight w:val="none"/>
        </w:rPr>
        <w:t>霍尔果斯市</w:t>
      </w:r>
      <w:r>
        <w:rPr>
          <w:rFonts w:hint="eastAsia" w:ascii="方正小标宋简体" w:hAnsi="方正小标宋简体" w:eastAsia="方正小标宋简体" w:cs="方正小标宋简体"/>
          <w:b w:val="0"/>
          <w:bCs w:val="0"/>
          <w:color w:val="auto"/>
          <w:kern w:val="0"/>
          <w:sz w:val="48"/>
          <w:szCs w:val="48"/>
          <w:highlight w:val="none"/>
          <w:lang w:val="en-US" w:eastAsia="zh-CN"/>
        </w:rPr>
        <w:t>土地和房屋征收项目</w:t>
      </w:r>
      <w:r>
        <w:rPr>
          <w:rFonts w:hint="eastAsia" w:ascii="方正小标宋简体" w:hAnsi="方正小标宋简体" w:eastAsia="方正小标宋简体" w:cs="方正小标宋简体"/>
          <w:b w:val="0"/>
          <w:bCs w:val="0"/>
          <w:color w:val="auto"/>
          <w:kern w:val="0"/>
          <w:sz w:val="48"/>
          <w:szCs w:val="48"/>
          <w:highlight w:val="none"/>
        </w:rPr>
        <w:t>支出绩效评价报告</w:t>
      </w:r>
    </w:p>
    <w:p>
      <w:pPr>
        <w:pageBreakBefore w:val="0"/>
        <w:kinsoku/>
        <w:wordWrap/>
        <w:overflowPunct/>
        <w:topLinePunct w:val="0"/>
        <w:autoSpaceDE/>
        <w:autoSpaceDN/>
        <w:bidi w:val="0"/>
        <w:adjustRightInd/>
        <w:snapToGrid/>
        <w:spacing w:line="560" w:lineRule="exact"/>
        <w:ind w:left="0" w:leftChars="0" w:firstLine="643" w:firstLineChars="200"/>
        <w:jc w:val="center"/>
        <w:rPr>
          <w:rFonts w:hint="eastAsia" w:ascii="宋体" w:hAnsi="宋体" w:eastAsia="宋体" w:cs="仿宋_GB2312"/>
          <w:b/>
          <w:bCs/>
          <w:color w:val="auto"/>
          <w:kern w:val="0"/>
          <w:sz w:val="32"/>
          <w:szCs w:val="32"/>
          <w:highlight w:val="none"/>
          <w:lang w:val="en-US" w:eastAsia="zh-CN"/>
        </w:rPr>
      </w:pPr>
    </w:p>
    <w:p>
      <w:pPr>
        <w:pageBreakBefore w:val="0"/>
        <w:kinsoku/>
        <w:wordWrap/>
        <w:overflowPunct/>
        <w:topLinePunct w:val="0"/>
        <w:autoSpaceDE/>
        <w:autoSpaceDN/>
        <w:bidi w:val="0"/>
        <w:adjustRightInd/>
        <w:snapToGrid/>
        <w:spacing w:line="560" w:lineRule="exact"/>
        <w:ind w:left="0" w:leftChars="0" w:firstLine="643" w:firstLineChars="200"/>
        <w:jc w:val="center"/>
        <w:rPr>
          <w:rFonts w:hint="eastAsia" w:ascii="宋体" w:hAnsi="宋体" w:eastAsia="宋体" w:cs="仿宋_GB2312"/>
          <w:b/>
          <w:bCs/>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lang w:val="en-US" w:eastAsia="zh-CN"/>
        </w:rPr>
        <w:t>（2023年度）</w:t>
      </w:r>
    </w:p>
    <w:p>
      <w:pPr>
        <w:pageBreakBefore w:val="0"/>
        <w:kinsoku/>
        <w:wordWrap/>
        <w:overflowPunct/>
        <w:topLinePunct w:val="0"/>
        <w:autoSpaceDE/>
        <w:autoSpaceDN/>
        <w:bidi w:val="0"/>
        <w:adjustRightInd/>
        <w:snapToGrid/>
        <w:spacing w:line="560" w:lineRule="exact"/>
        <w:ind w:left="0" w:leftChars="0" w:firstLine="880" w:firstLineChars="200"/>
        <w:jc w:val="center"/>
        <w:rPr>
          <w:rFonts w:hint="eastAsia" w:ascii="方正小标宋简体" w:hAnsi="方正小标宋简体" w:eastAsia="方正小标宋简体" w:cs="方正小标宋简体"/>
          <w:b w:val="0"/>
          <w:bCs w:val="0"/>
          <w:color w:val="auto"/>
          <w:sz w:val="44"/>
          <w:szCs w:val="44"/>
          <w:highlight w:val="none"/>
          <w:lang w:val="en-US" w:eastAsia="zh-CN"/>
        </w:rPr>
      </w:pPr>
    </w:p>
    <w:p>
      <w:pPr>
        <w:pStyle w:val="2"/>
        <w:pageBreakBefore w:val="0"/>
        <w:kinsoku/>
        <w:wordWrap/>
        <w:overflowPunct/>
        <w:topLinePunct w:val="0"/>
        <w:autoSpaceDE/>
        <w:autoSpaceDN/>
        <w:bidi w:val="0"/>
        <w:adjustRightInd/>
        <w:snapToGrid/>
        <w:spacing w:before="0" w:beforeLines="0" w:after="0" w:afterLines="0" w:line="560" w:lineRule="exact"/>
        <w:ind w:left="0" w:leftChars="0" w:firstLine="880" w:firstLineChars="200"/>
        <w:rPr>
          <w:rFonts w:hint="eastAsia" w:ascii="方正小标宋简体" w:hAnsi="方正小标宋简体" w:eastAsia="方正小标宋简体" w:cs="方正小标宋简体"/>
          <w:b w:val="0"/>
          <w:bCs w:val="0"/>
          <w:color w:val="auto"/>
          <w:sz w:val="44"/>
          <w:szCs w:val="44"/>
          <w:highlight w:val="none"/>
          <w:lang w:val="en-US" w:eastAsia="zh-CN"/>
        </w:rPr>
      </w:pPr>
    </w:p>
    <w:p>
      <w:pPr>
        <w:rPr>
          <w:rFonts w:hint="eastAsia" w:ascii="方正小标宋简体" w:hAnsi="方正小标宋简体" w:eastAsia="方正小标宋简体" w:cs="方正小标宋简体"/>
          <w:b w:val="0"/>
          <w:bCs w:val="0"/>
          <w:color w:val="auto"/>
          <w:sz w:val="44"/>
          <w:szCs w:val="44"/>
          <w:highlight w:val="none"/>
          <w:lang w:val="en-US" w:eastAsia="zh-CN"/>
        </w:rPr>
      </w:pPr>
    </w:p>
    <w:p>
      <w:pPr>
        <w:pStyle w:val="2"/>
        <w:rPr>
          <w:rFonts w:hint="eastAsia" w:ascii="方正小标宋简体" w:hAnsi="方正小标宋简体" w:eastAsia="方正小标宋简体" w:cs="方正小标宋简体"/>
          <w:b w:val="0"/>
          <w:bCs w:val="0"/>
          <w:color w:val="auto"/>
          <w:sz w:val="44"/>
          <w:szCs w:val="44"/>
          <w:highlight w:val="none"/>
          <w:lang w:val="en-US" w:eastAsia="zh-CN"/>
        </w:rPr>
      </w:pPr>
    </w:p>
    <w:p>
      <w:pPr>
        <w:rPr>
          <w:rFonts w:hint="eastAsia"/>
          <w:lang w:val="en-US" w:eastAsia="zh-CN"/>
        </w:rPr>
      </w:pPr>
    </w:p>
    <w:p>
      <w:pPr>
        <w:pageBreakBefore w:val="0"/>
        <w:kinsoku/>
        <w:wordWrap/>
        <w:overflowPunct/>
        <w:topLinePunct w:val="0"/>
        <w:autoSpaceDE/>
        <w:autoSpaceDN/>
        <w:bidi w:val="0"/>
        <w:adjustRightInd/>
        <w:snapToGrid/>
        <w:spacing w:line="560" w:lineRule="exact"/>
        <w:ind w:left="0" w:leftChars="0" w:firstLine="880" w:firstLineChars="200"/>
        <w:rPr>
          <w:rFonts w:hint="eastAsia" w:ascii="方正小标宋简体" w:hAnsi="方正小标宋简体" w:eastAsia="方正小标宋简体" w:cs="方正小标宋简体"/>
          <w:b w:val="0"/>
          <w:bCs w:val="0"/>
          <w:color w:val="auto"/>
          <w:sz w:val="44"/>
          <w:szCs w:val="44"/>
          <w:highlight w:val="none"/>
          <w:lang w:val="en-US" w:eastAsia="zh-CN"/>
        </w:rPr>
      </w:pPr>
    </w:p>
    <w:p>
      <w:pPr>
        <w:pageBreakBefore w:val="0"/>
        <w:kinsoku/>
        <w:wordWrap/>
        <w:overflowPunct/>
        <w:topLinePunct w:val="0"/>
        <w:autoSpaceDE/>
        <w:autoSpaceDN/>
        <w:bidi w:val="0"/>
        <w:adjustRightInd/>
        <w:snapToGrid/>
        <w:spacing w:line="560" w:lineRule="exact"/>
        <w:ind w:left="3832" w:leftChars="742" w:hanging="1606" w:hangingChars="500"/>
        <w:jc w:val="both"/>
        <w:rPr>
          <w:rFonts w:ascii="宋体" w:hAnsi="宋体" w:eastAsia="宋体" w:cs="宋体"/>
          <w:color w:val="auto"/>
          <w:kern w:val="0"/>
          <w:sz w:val="32"/>
          <w:szCs w:val="32"/>
          <w:highlight w:val="none"/>
        </w:rPr>
      </w:pPr>
      <w:r>
        <w:rPr>
          <w:rFonts w:hint="eastAsia" w:ascii="宋体" w:hAnsi="宋体" w:eastAsia="宋体" w:cs="仿宋_GB2312"/>
          <w:b/>
          <w:bCs/>
          <w:color w:val="auto"/>
          <w:kern w:val="0"/>
          <w:sz w:val="32"/>
          <w:szCs w:val="32"/>
          <w:highlight w:val="none"/>
        </w:rPr>
        <w:t>项目名称：2023年霍尔果斯市</w:t>
      </w:r>
      <w:r>
        <w:rPr>
          <w:rFonts w:hint="eastAsia" w:ascii="宋体" w:hAnsi="宋体" w:eastAsia="宋体" w:cs="仿宋_GB2312"/>
          <w:b/>
          <w:bCs/>
          <w:color w:val="auto"/>
          <w:kern w:val="0"/>
          <w:sz w:val="32"/>
          <w:szCs w:val="32"/>
          <w:highlight w:val="none"/>
          <w:lang w:val="en-US" w:eastAsia="zh-CN"/>
        </w:rPr>
        <w:t>土地和房屋征收</w:t>
      </w:r>
      <w:r>
        <w:rPr>
          <w:rFonts w:hint="eastAsia" w:ascii="宋体" w:hAnsi="宋体" w:eastAsia="宋体" w:cs="仿宋_GB2312"/>
          <w:b/>
          <w:bCs/>
          <w:color w:val="auto"/>
          <w:kern w:val="0"/>
          <w:sz w:val="32"/>
          <w:szCs w:val="32"/>
          <w:highlight w:val="none"/>
        </w:rPr>
        <w:t>项目</w:t>
      </w:r>
    </w:p>
    <w:p>
      <w:pPr>
        <w:pageBreakBefore w:val="0"/>
        <w:kinsoku/>
        <w:wordWrap/>
        <w:overflowPunct/>
        <w:topLinePunct w:val="0"/>
        <w:autoSpaceDE/>
        <w:autoSpaceDN/>
        <w:bidi w:val="0"/>
        <w:adjustRightInd/>
        <w:snapToGrid/>
        <w:spacing w:line="560" w:lineRule="exact"/>
        <w:ind w:left="0" w:leftChars="0" w:firstLine="643" w:firstLineChars="200"/>
        <w:jc w:val="both"/>
        <w:rPr>
          <w:rFonts w:hint="eastAsia" w:ascii="宋体" w:hAnsi="宋体" w:eastAsia="宋体" w:cs="仿宋_GB2312"/>
          <w:b/>
          <w:bCs/>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实施单位（公章）：</w:t>
      </w:r>
      <w:r>
        <w:rPr>
          <w:rFonts w:hint="eastAsia" w:ascii="宋体" w:hAnsi="宋体" w:eastAsia="宋体" w:cs="仿宋_GB2312"/>
          <w:b/>
          <w:bCs/>
          <w:color w:val="auto"/>
          <w:kern w:val="0"/>
          <w:sz w:val="32"/>
          <w:szCs w:val="32"/>
          <w:highlight w:val="none"/>
          <w:lang w:val="en-US" w:eastAsia="zh-CN"/>
        </w:rPr>
        <w:t>霍尔果斯市城市管理局</w:t>
      </w:r>
    </w:p>
    <w:p>
      <w:pPr>
        <w:pageBreakBefore w:val="0"/>
        <w:kinsoku/>
        <w:wordWrap/>
        <w:overflowPunct/>
        <w:topLinePunct w:val="0"/>
        <w:autoSpaceDE/>
        <w:autoSpaceDN/>
        <w:bidi w:val="0"/>
        <w:adjustRightInd/>
        <w:snapToGrid/>
        <w:spacing w:line="560" w:lineRule="exact"/>
        <w:ind w:left="0" w:leftChars="0" w:firstLine="643" w:firstLineChars="200"/>
        <w:jc w:val="both"/>
        <w:rPr>
          <w:rFonts w:hint="eastAsia" w:ascii="宋体" w:hAnsi="宋体" w:eastAsia="宋体" w:cs="仿宋_GB2312"/>
          <w:b/>
          <w:bCs/>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lang w:val="en-US" w:eastAsia="zh-CN"/>
        </w:rPr>
        <w:t>　　　　　主管部门（公章）：霍尔果斯市城市管理局</w:t>
      </w:r>
    </w:p>
    <w:p>
      <w:pPr>
        <w:pageBreakBefore w:val="0"/>
        <w:kinsoku/>
        <w:wordWrap/>
        <w:overflowPunct/>
        <w:topLinePunct w:val="0"/>
        <w:autoSpaceDE/>
        <w:autoSpaceDN/>
        <w:bidi w:val="0"/>
        <w:adjustRightInd/>
        <w:snapToGrid/>
        <w:spacing w:line="560" w:lineRule="exact"/>
        <w:ind w:left="0" w:leftChars="0" w:firstLine="643" w:firstLineChars="200"/>
        <w:jc w:val="both"/>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lang w:val="en-US" w:eastAsia="zh-CN"/>
        </w:rPr>
        <w:t xml:space="preserve">  </w:t>
      </w:r>
      <w:r>
        <w:rPr>
          <w:rFonts w:hint="eastAsia" w:ascii="宋体" w:hAnsi="宋体" w:eastAsia="宋体" w:cs="仿宋_GB2312"/>
          <w:b/>
          <w:bCs/>
          <w:color w:val="auto"/>
          <w:kern w:val="0"/>
          <w:sz w:val="32"/>
          <w:szCs w:val="32"/>
          <w:highlight w:val="none"/>
        </w:rPr>
        <w:t>项目负责人（签章）：</w:t>
      </w:r>
      <w:r>
        <w:rPr>
          <w:rFonts w:hint="eastAsia" w:ascii="宋体" w:hAnsi="宋体" w:eastAsia="宋体" w:cs="仿宋_GB2312"/>
          <w:b/>
          <w:bCs/>
          <w:color w:val="auto"/>
          <w:kern w:val="0"/>
          <w:sz w:val="32"/>
          <w:szCs w:val="32"/>
          <w:highlight w:val="none"/>
          <w:lang w:val="en-US" w:eastAsia="zh-CN"/>
        </w:rPr>
        <w:t>张磊</w:t>
      </w:r>
    </w:p>
    <w:p>
      <w:pPr>
        <w:pageBreakBefore w:val="0"/>
        <w:kinsoku/>
        <w:wordWrap/>
        <w:overflowPunct/>
        <w:topLinePunct w:val="0"/>
        <w:autoSpaceDE/>
        <w:autoSpaceDN/>
        <w:bidi w:val="0"/>
        <w:adjustRightInd/>
        <w:snapToGrid/>
        <w:spacing w:line="560" w:lineRule="exact"/>
        <w:ind w:left="0" w:leftChars="0" w:firstLine="643" w:firstLineChars="200"/>
        <w:jc w:val="both"/>
        <w:rPr>
          <w:rFonts w:hint="eastAsia" w:ascii="宋体" w:hAnsi="宋体" w:eastAsia="宋体" w:cs="仿宋_GB2312"/>
          <w:b/>
          <w:bCs/>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lang w:val="en-US" w:eastAsia="zh-CN"/>
        </w:rPr>
        <w:t xml:space="preserve">  </w:t>
      </w:r>
      <w:r>
        <w:rPr>
          <w:rFonts w:hint="eastAsia" w:ascii="宋体" w:hAnsi="宋体" w:eastAsia="宋体" w:cs="仿宋_GB2312"/>
          <w:b/>
          <w:bCs/>
          <w:color w:val="auto"/>
          <w:kern w:val="0"/>
          <w:sz w:val="32"/>
          <w:szCs w:val="32"/>
          <w:highlight w:val="none"/>
        </w:rPr>
        <w:t>填报时间：</w:t>
      </w:r>
      <w:r>
        <w:rPr>
          <w:rFonts w:hint="eastAsia" w:ascii="宋体" w:hAnsi="宋体" w:eastAsia="宋体" w:cs="仿宋_GB2312"/>
          <w:b/>
          <w:bCs/>
          <w:color w:val="auto"/>
          <w:kern w:val="0"/>
          <w:sz w:val="32"/>
          <w:szCs w:val="32"/>
          <w:highlight w:val="none"/>
          <w:lang w:val="en-US" w:eastAsia="zh-CN"/>
        </w:rPr>
        <w:t>2024年5月9日</w:t>
      </w:r>
    </w:p>
    <w:p>
      <w:pPr>
        <w:pageBreakBefore w:val="0"/>
        <w:numPr>
          <w:numId w:val="0"/>
        </w:numPr>
        <w:kinsoku/>
        <w:wordWrap/>
        <w:overflowPunct/>
        <w:topLinePunct w:val="0"/>
        <w:autoSpaceDE/>
        <w:autoSpaceDN/>
        <w:bidi w:val="0"/>
        <w:adjustRightInd/>
        <w:snapToGrid/>
        <w:spacing w:line="560" w:lineRule="exact"/>
        <w:rPr>
          <w:rFonts w:hint="eastAsia" w:ascii="Times New Roman" w:hAnsi="Times New Roman" w:eastAsia="黑体" w:cs="Times New Roman"/>
          <w:bCs/>
          <w:color w:val="auto"/>
          <w:sz w:val="32"/>
          <w:szCs w:val="32"/>
          <w:highlight w:val="none"/>
        </w:rPr>
      </w:pPr>
    </w:p>
    <w:p>
      <w:pPr>
        <w:pageBreakBefore w:val="0"/>
        <w:numPr>
          <w:numId w:val="0"/>
        </w:numPr>
        <w:kinsoku/>
        <w:wordWrap/>
        <w:overflowPunct/>
        <w:topLinePunct w:val="0"/>
        <w:autoSpaceDE/>
        <w:autoSpaceDN/>
        <w:bidi w:val="0"/>
        <w:adjustRightInd/>
        <w:snapToGrid/>
        <w:spacing w:line="560" w:lineRule="exact"/>
        <w:rPr>
          <w:rFonts w:hint="eastAsia" w:ascii="Times New Roman" w:hAnsi="Times New Roman" w:eastAsia="黑体" w:cs="Times New Roman"/>
          <w:bCs/>
          <w:color w:val="auto"/>
          <w:sz w:val="32"/>
          <w:szCs w:val="32"/>
          <w:highlight w:val="none"/>
        </w:rPr>
      </w:pPr>
      <w:r>
        <w:rPr>
          <w:rFonts w:hint="eastAsia" w:eastAsia="黑体" w:cs="Times New Roman"/>
          <w:bCs/>
          <w:color w:val="auto"/>
          <w:sz w:val="32"/>
          <w:szCs w:val="32"/>
          <w:highlight w:val="none"/>
          <w:lang w:eastAsia="zh-CN"/>
        </w:rPr>
        <w:t>　　一、</w:t>
      </w:r>
      <w:r>
        <w:rPr>
          <w:rFonts w:hint="eastAsia" w:ascii="Times New Roman" w:hAnsi="Times New Roman" w:eastAsia="黑体" w:cs="Times New Roman"/>
          <w:bCs/>
          <w:color w:val="auto"/>
          <w:sz w:val="32"/>
          <w:szCs w:val="32"/>
          <w:highlight w:val="none"/>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color w:val="auto"/>
          <w:sz w:val="32"/>
          <w:szCs w:val="32"/>
          <w:highlight w:val="none"/>
          <w:lang w:eastAsia="zh-CN"/>
        </w:rPr>
      </w:pPr>
      <w:r>
        <w:rPr>
          <w:rFonts w:hint="eastAsia" w:ascii="Times New Roman" w:hAnsi="Times New Roman" w:eastAsia="楷体_GB2312" w:cs="Times New Roman"/>
          <w:b/>
          <w:bCs/>
          <w:color w:val="auto"/>
          <w:sz w:val="32"/>
          <w:szCs w:val="32"/>
          <w:highlight w:val="none"/>
          <w:lang w:eastAsia="zh-CN"/>
        </w:rPr>
        <w:t>（一）</w:t>
      </w:r>
      <w:r>
        <w:rPr>
          <w:rFonts w:hint="eastAsia" w:ascii="Times New Roman" w:hAnsi="Times New Roman" w:eastAsia="楷体_GB2312" w:cs="Times New Roman"/>
          <w:b/>
          <w:bCs/>
          <w:color w:val="auto"/>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1.项目背景：</w:t>
      </w:r>
    </w:p>
    <w:p>
      <w:pPr>
        <w:pStyle w:val="2"/>
        <w:pageBreakBefore w:val="0"/>
        <w:kinsoku/>
        <w:wordWrap/>
        <w:overflowPunct/>
        <w:topLinePunct w:val="0"/>
        <w:autoSpaceDE/>
        <w:autoSpaceDN/>
        <w:bidi w:val="0"/>
        <w:adjustRightInd/>
        <w:snapToGrid/>
        <w:spacing w:before="0" w:beforeLines="0" w:after="0" w:afterLines="0" w:line="560" w:lineRule="exact"/>
        <w:ind w:left="0" w:leftChars="0" w:firstLine="640" w:firstLineChars="200"/>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为进一步加强我市基础设施建设，改善人居环境，2023年霍尔果斯市征收办根据市政府工作要求，咬定目标、突出重点、攻坚克难，</w:t>
      </w:r>
      <w:r>
        <w:rPr>
          <w:rFonts w:hint="eastAsia" w:ascii="Times New Roman" w:hAnsi="Times New Roman" w:cs="Times New Roman"/>
          <w:b w:val="0"/>
          <w:bCs w:val="0"/>
          <w:color w:val="auto"/>
          <w:kern w:val="2"/>
          <w:sz w:val="32"/>
          <w:szCs w:val="32"/>
          <w:highlight w:val="none"/>
          <w:lang w:val="en-US" w:eastAsia="zh-CN" w:bidi="ar-SA"/>
        </w:rPr>
        <w:t>霍尔果斯市征收</w:t>
      </w:r>
      <w:r>
        <w:rPr>
          <w:rFonts w:hint="eastAsia" w:ascii="Times New Roman" w:hAnsi="Times New Roman" w:eastAsia="仿宋_GB2312" w:cs="Times New Roman"/>
          <w:b w:val="0"/>
          <w:bCs w:val="0"/>
          <w:color w:val="auto"/>
          <w:kern w:val="2"/>
          <w:sz w:val="32"/>
          <w:szCs w:val="32"/>
          <w:highlight w:val="none"/>
          <w:lang w:val="en-US" w:eastAsia="zh-CN" w:bidi="ar-SA"/>
        </w:rPr>
        <w:t>项目征收工作取得了重大突破，成效显著。</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eastAsia="仿宋_GB2312" w:cs="Times New Roman"/>
          <w:b w:val="0"/>
          <w:bCs w:val="0"/>
          <w:color w:val="auto"/>
          <w:sz w:val="32"/>
          <w:szCs w:val="32"/>
          <w:highlight w:val="none"/>
          <w:lang w:eastAsia="zh-CN"/>
        </w:rPr>
        <w:t>2</w:t>
      </w:r>
      <w:r>
        <w:rPr>
          <w:rFonts w:hint="eastAsia"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eastAsia="zh-CN"/>
        </w:rPr>
        <w:t>主要内容及实施情况</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仿宋_GB2312" w:cs="Times New Roman"/>
          <w:color w:val="auto"/>
          <w:kern w:val="2"/>
          <w:sz w:val="32"/>
          <w:szCs w:val="32"/>
          <w:highlight w:val="none"/>
          <w:lang w:val="en-US" w:eastAsia="zh-CN" w:bidi="ar-SA"/>
        </w:rPr>
      </w:pPr>
      <w:r>
        <w:rPr>
          <w:rFonts w:hint="eastAsia" w:ascii="仿宋_GB2312"/>
          <w:color w:val="auto"/>
          <w:sz w:val="32"/>
          <w:szCs w:val="32"/>
          <w:highlight w:val="none"/>
        </w:rPr>
        <w:t>主要内容：</w:t>
      </w:r>
      <w:r>
        <w:rPr>
          <w:rFonts w:hint="eastAsia" w:ascii="Times New Roman" w:hAnsi="Times New Roman" w:eastAsia="仿宋_GB2312" w:cs="Times New Roman"/>
          <w:color w:val="auto"/>
          <w:kern w:val="2"/>
          <w:sz w:val="32"/>
          <w:szCs w:val="32"/>
          <w:highlight w:val="none"/>
          <w:lang w:val="en-US" w:eastAsia="zh-CN" w:bidi="ar-SA"/>
        </w:rPr>
        <w:t>针对我市征收领域历史遗留问题多、重点地块推进慢、被征收户预期过高等现实情况，2023年征收办坚持司法推进和协商谈判签约同步进行的工作方式，紧盯工作目标、步步为营、攻坚克难，集中力量完成郝先忠、邮政局一批重点难点被征收户征收工作。</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rPr>
          <w:rFonts w:ascii="Times New Roman" w:hAnsi="Times New Roman" w:eastAsia="仿宋_GB2312" w:cs="Times New Roman"/>
          <w:color w:val="auto"/>
          <w:kern w:val="2"/>
          <w:sz w:val="32"/>
          <w:szCs w:val="32"/>
          <w:highlight w:val="none"/>
          <w:lang w:val="en-US" w:eastAsia="zh-CN" w:bidi="ar-SA"/>
        </w:rPr>
      </w:pPr>
      <w:r>
        <w:rPr>
          <w:rFonts w:hint="eastAsia" w:ascii="仿宋_GB2312"/>
          <w:color w:val="auto"/>
          <w:sz w:val="32"/>
          <w:szCs w:val="32"/>
          <w:highlight w:val="none"/>
        </w:rPr>
        <w:t>实施情况：</w:t>
      </w:r>
      <w:r>
        <w:rPr>
          <w:rFonts w:hint="eastAsia" w:ascii="Times New Roman" w:hAnsi="Times New Roman" w:eastAsia="仿宋_GB2312" w:cs="Times New Roman"/>
          <w:color w:val="auto"/>
          <w:kern w:val="2"/>
          <w:sz w:val="32"/>
          <w:szCs w:val="32"/>
          <w:highlight w:val="none"/>
          <w:lang w:val="en-US" w:eastAsia="zh-CN" w:bidi="ar-SA"/>
        </w:rPr>
        <w:t>截至目前，对被征收户达利克（新疆）酒店有限公司、新疆正方建设集团有限责任公司、郝宪忠、王喆、祝仁兴土地及地上附属物实施征收，共征收土地面积约19.6亩，征收房屋面积9821.8平方米，征收补偿款共计1532.03万元，累计拆除房屋面积约7800平方米，推进司法程序及开庭应诉案件11件，</w:t>
      </w:r>
      <w:r>
        <w:rPr>
          <w:rFonts w:hint="default" w:ascii="Times New Roman" w:hAnsi="Times New Roman" w:eastAsia="仿宋_GB2312" w:cs="Times New Roman"/>
          <w:color w:val="auto"/>
          <w:kern w:val="2"/>
          <w:sz w:val="32"/>
          <w:szCs w:val="32"/>
          <w:highlight w:val="none"/>
          <w:lang w:val="en-US" w:eastAsia="zh-CN" w:bidi="ar-SA"/>
        </w:rPr>
        <w:t>其中6</w:t>
      </w:r>
      <w:r>
        <w:rPr>
          <w:rFonts w:hint="eastAsia" w:ascii="Times New Roman" w:hAnsi="Times New Roman" w:eastAsia="仿宋_GB2312" w:cs="Times New Roman"/>
          <w:color w:val="auto"/>
          <w:kern w:val="2"/>
          <w:sz w:val="32"/>
          <w:szCs w:val="32"/>
          <w:highlight w:val="none"/>
          <w:lang w:val="en-US" w:eastAsia="zh-CN" w:bidi="ar-SA"/>
        </w:rPr>
        <w:t>件</w:t>
      </w:r>
      <w:r>
        <w:rPr>
          <w:rFonts w:hint="default" w:ascii="Times New Roman" w:hAnsi="Times New Roman" w:eastAsia="仿宋_GB2312" w:cs="Times New Roman"/>
          <w:color w:val="auto"/>
          <w:kern w:val="2"/>
          <w:sz w:val="32"/>
          <w:szCs w:val="32"/>
          <w:highlight w:val="none"/>
          <w:lang w:val="en-US" w:eastAsia="zh-CN" w:bidi="ar-SA"/>
        </w:rPr>
        <w:t>已结案</w:t>
      </w:r>
      <w:r>
        <w:rPr>
          <w:rFonts w:hint="eastAsia" w:ascii="Times New Roman" w:hAnsi="Times New Roman" w:eastAsia="仿宋_GB2312" w:cs="Times New Roman"/>
          <w:color w:val="auto"/>
          <w:kern w:val="2"/>
          <w:sz w:val="32"/>
          <w:szCs w:val="32"/>
          <w:highlight w:val="none"/>
          <w:lang w:val="en-US" w:eastAsia="zh-CN" w:bidi="ar-SA"/>
        </w:rPr>
        <w:t>。全面深入开展征收领域矛盾纠纷排查化解工作，使群众反映的合理诉求和实际困难得到解决，协调化解王喆、祝仁兴等遗留多年的历史问题。做好重大节假日、重要时间节点信访人员稳控工作，加强重点人员日常联系沟通，做好思想工作，引导其通过司法途径依法依规化解矛盾纠纷，全年未发生“越级访”、“进京访”事件。</w:t>
      </w:r>
    </w:p>
    <w:p>
      <w:pPr>
        <w:pageBreakBefore w:val="0"/>
        <w:kinsoku/>
        <w:wordWrap/>
        <w:overflowPunct/>
        <w:topLinePunct w:val="0"/>
        <w:autoSpaceDE/>
        <w:autoSpaceDN/>
        <w:bidi w:val="0"/>
        <w:adjustRightInd/>
        <w:snapToGrid/>
        <w:spacing w:line="560" w:lineRule="exact"/>
        <w:ind w:left="0" w:leftChars="0" w:firstLine="640" w:firstLineChars="200"/>
        <w:rPr>
          <w:color w:val="auto"/>
          <w:highlight w:val="none"/>
        </w:rPr>
      </w:pPr>
      <w:r>
        <w:rPr>
          <w:rFonts w:hint="eastAsia" w:ascii="仿宋_GB2312"/>
          <w:color w:val="auto"/>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b w:val="0"/>
          <w:bCs w:val="0"/>
          <w:color w:val="auto"/>
          <w:sz w:val="32"/>
          <w:szCs w:val="32"/>
          <w:highlight w:val="none"/>
          <w:lang w:eastAsia="zh-CN"/>
        </w:rPr>
      </w:pPr>
      <w:r>
        <w:rPr>
          <w:rFonts w:hint="eastAsia" w:ascii="Times New Roman" w:hAnsi="Times New Roman" w:cs="Times New Roman"/>
          <w:b w:val="0"/>
          <w:bCs w:val="0"/>
          <w:color w:val="auto"/>
          <w:sz w:val="32"/>
          <w:szCs w:val="32"/>
          <w:highlight w:val="none"/>
          <w:lang w:eastAsia="zh-CN"/>
        </w:rPr>
        <w:t>　3</w:t>
      </w:r>
      <w:r>
        <w:rPr>
          <w:rFonts w:hint="eastAsia" w:ascii="Times New Roman" w:hAnsi="Times New Roman" w:cs="Times New Roman"/>
          <w:b w:val="0"/>
          <w:bCs w:val="0"/>
          <w:color w:val="auto"/>
          <w:sz w:val="32"/>
          <w:szCs w:val="32"/>
          <w:highlight w:val="none"/>
          <w:lang w:val="en-US" w:eastAsia="zh-CN"/>
        </w:rPr>
        <w:t>.</w:t>
      </w:r>
      <w:r>
        <w:rPr>
          <w:rFonts w:hint="eastAsia" w:ascii="Times New Roman" w:hAnsi="Times New Roman" w:cs="Times New Roman"/>
          <w:b w:val="0"/>
          <w:bCs w:val="0"/>
          <w:color w:val="auto"/>
          <w:sz w:val="32"/>
          <w:szCs w:val="32"/>
          <w:highlight w:val="none"/>
          <w:lang w:eastAsia="zh-CN"/>
        </w:rPr>
        <w:t>资</w:t>
      </w:r>
      <w:r>
        <w:rPr>
          <w:rFonts w:hint="default" w:ascii="Times New Roman" w:hAnsi="Times New Roman" w:cs="Times New Roman"/>
          <w:b w:val="0"/>
          <w:bCs w:val="0"/>
          <w:color w:val="auto"/>
          <w:sz w:val="32"/>
          <w:szCs w:val="32"/>
          <w:highlight w:val="none"/>
          <w:lang w:eastAsia="zh-CN"/>
        </w:rPr>
        <w:t>金投入和使用情况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资金投入情况：该项目年初预算数</w:t>
      </w:r>
      <w:r>
        <w:rPr>
          <w:rFonts w:hint="default" w:ascii="Times New Roman" w:hAnsi="Times New Roman" w:eastAsia="方正仿宋简体" w:cs="Times New Roman"/>
          <w:color w:val="auto"/>
          <w:kern w:val="2"/>
          <w:sz w:val="32"/>
          <w:szCs w:val="32"/>
          <w:highlight w:val="none"/>
          <w:lang w:val="en-US" w:eastAsia="zh-CN"/>
        </w:rPr>
        <w:t>1532.03</w:t>
      </w:r>
      <w:r>
        <w:rPr>
          <w:rFonts w:hint="default" w:ascii="Times New Roman" w:hAnsi="Times New Roman" w:cs="Times New Roman"/>
          <w:color w:val="auto"/>
          <w:sz w:val="32"/>
          <w:szCs w:val="32"/>
          <w:highlight w:val="none"/>
        </w:rPr>
        <w:t>万元，全年预算数</w:t>
      </w:r>
      <w:r>
        <w:rPr>
          <w:rFonts w:hint="default" w:ascii="Times New Roman" w:hAnsi="Times New Roman" w:eastAsia="方正仿宋简体" w:cs="Times New Roman"/>
          <w:color w:val="auto"/>
          <w:kern w:val="2"/>
          <w:sz w:val="32"/>
          <w:szCs w:val="32"/>
          <w:highlight w:val="none"/>
          <w:lang w:val="en-US" w:eastAsia="zh-CN"/>
        </w:rPr>
        <w:t>1532.03</w:t>
      </w:r>
      <w:r>
        <w:rPr>
          <w:rFonts w:hint="default" w:ascii="Times New Roman" w:hAnsi="Times New Roman" w:cs="Times New Roman"/>
          <w:color w:val="auto"/>
          <w:sz w:val="32"/>
          <w:szCs w:val="32"/>
          <w:highlight w:val="none"/>
        </w:rPr>
        <w:t>万元，实际总投入</w:t>
      </w:r>
      <w:r>
        <w:rPr>
          <w:rFonts w:hint="default" w:ascii="Times New Roman" w:hAnsi="Times New Roman" w:eastAsia="方正仿宋简体" w:cs="Times New Roman"/>
          <w:color w:val="auto"/>
          <w:kern w:val="2"/>
          <w:sz w:val="32"/>
          <w:szCs w:val="32"/>
          <w:highlight w:val="none"/>
          <w:lang w:val="en-US" w:eastAsia="zh-CN"/>
        </w:rPr>
        <w:t>1532.03</w:t>
      </w:r>
      <w:r>
        <w:rPr>
          <w:rFonts w:hint="default" w:ascii="Times New Roman" w:hAnsi="Times New Roman" w:cs="Times New Roman"/>
          <w:color w:val="auto"/>
          <w:sz w:val="32"/>
          <w:szCs w:val="32"/>
          <w:highlight w:val="none"/>
        </w:rPr>
        <w:t>万元，该项目资金已全部落实到位，资金来源为</w:t>
      </w:r>
      <w:r>
        <w:rPr>
          <w:rFonts w:hint="default" w:ascii="Times New Roman" w:hAnsi="Times New Roman" w:cs="Times New Roman"/>
          <w:color w:val="auto"/>
          <w:sz w:val="32"/>
          <w:szCs w:val="32"/>
          <w:highlight w:val="none"/>
          <w:lang w:val="en-US" w:eastAsia="zh-CN"/>
        </w:rPr>
        <w:t>政府性基金</w:t>
      </w:r>
      <w:r>
        <w:rPr>
          <w:rFonts w:hint="default" w:ascii="Times New Roman" w:hAnsi="Times New Roman"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资金使用情况：该项目年初预算数</w:t>
      </w:r>
      <w:r>
        <w:rPr>
          <w:rFonts w:hint="default" w:ascii="Times New Roman" w:hAnsi="Times New Roman" w:eastAsia="方正仿宋简体" w:cs="Times New Roman"/>
          <w:color w:val="auto"/>
          <w:kern w:val="2"/>
          <w:sz w:val="32"/>
          <w:szCs w:val="32"/>
          <w:highlight w:val="none"/>
          <w:lang w:val="en-US" w:eastAsia="zh-CN"/>
        </w:rPr>
        <w:t>1532.03</w:t>
      </w:r>
      <w:r>
        <w:rPr>
          <w:rFonts w:hint="default" w:ascii="Times New Roman" w:hAnsi="Times New Roman" w:cs="Times New Roman"/>
          <w:color w:val="auto"/>
          <w:sz w:val="32"/>
          <w:szCs w:val="32"/>
          <w:highlight w:val="none"/>
        </w:rPr>
        <w:t>万元，全年预算数</w:t>
      </w:r>
      <w:r>
        <w:rPr>
          <w:rFonts w:hint="default" w:ascii="Times New Roman" w:hAnsi="Times New Roman" w:eastAsia="方正仿宋简体" w:cs="Times New Roman"/>
          <w:color w:val="auto"/>
          <w:kern w:val="2"/>
          <w:sz w:val="32"/>
          <w:szCs w:val="32"/>
          <w:highlight w:val="none"/>
          <w:lang w:val="en-US" w:eastAsia="zh-CN"/>
        </w:rPr>
        <w:t>1532.03</w:t>
      </w:r>
      <w:r>
        <w:rPr>
          <w:rFonts w:hint="default" w:ascii="Times New Roman" w:hAnsi="Times New Roman" w:cs="Times New Roman"/>
          <w:color w:val="auto"/>
          <w:sz w:val="32"/>
          <w:szCs w:val="32"/>
          <w:highlight w:val="none"/>
        </w:rPr>
        <w:t>万元，全年执行数</w:t>
      </w:r>
      <w:r>
        <w:rPr>
          <w:rFonts w:hint="default" w:ascii="Times New Roman" w:hAnsi="Times New Roman" w:eastAsia="方正仿宋简体" w:cs="Times New Roman"/>
          <w:color w:val="auto"/>
          <w:kern w:val="2"/>
          <w:sz w:val="32"/>
          <w:szCs w:val="32"/>
          <w:highlight w:val="none"/>
          <w:lang w:val="en-US" w:eastAsia="zh-CN"/>
        </w:rPr>
        <w:t>1532.03</w:t>
      </w:r>
      <w:r>
        <w:rPr>
          <w:rFonts w:hint="default" w:ascii="Times New Roman" w:hAnsi="Times New Roman" w:cs="Times New Roman"/>
          <w:color w:val="auto"/>
          <w:sz w:val="32"/>
          <w:szCs w:val="32"/>
          <w:highlight w:val="none"/>
        </w:rPr>
        <w:t>万元，预算执行率为</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主要</w:t>
      </w:r>
      <w:r>
        <w:rPr>
          <w:rFonts w:hint="default" w:ascii="Times New Roman" w:hAnsi="Times New Roman" w:cs="Times New Roman"/>
          <w:color w:val="auto"/>
          <w:sz w:val="32"/>
          <w:szCs w:val="32"/>
          <w:highlight w:val="none"/>
        </w:rPr>
        <w:t>用于：</w:t>
      </w:r>
      <w:r>
        <w:rPr>
          <w:rFonts w:hint="default" w:ascii="Times New Roman" w:hAnsi="Times New Roman" w:eastAsia="方正仿宋简体" w:cs="Times New Roman"/>
          <w:color w:val="auto"/>
          <w:kern w:val="2"/>
          <w:sz w:val="32"/>
          <w:szCs w:val="32"/>
          <w:highlight w:val="none"/>
          <w:lang w:val="en-US" w:eastAsia="zh-CN"/>
        </w:rPr>
        <w:t>1532.03</w:t>
      </w:r>
      <w:r>
        <w:rPr>
          <w:rFonts w:hint="default" w:ascii="Times New Roman" w:hAnsi="Times New Roman" w:cs="Times New Roman"/>
          <w:color w:val="auto"/>
          <w:sz w:val="32"/>
          <w:szCs w:val="32"/>
          <w:highlight w:val="none"/>
        </w:rPr>
        <w:t>万元。</w:t>
      </w:r>
      <w:bookmarkStart w:id="2" w:name="_Toc68703829"/>
    </w:p>
    <w:p>
      <w:pPr>
        <w:pageBreakBefore w:val="0"/>
        <w:kinsoku/>
        <w:wordWrap/>
        <w:overflowPunct/>
        <w:topLinePunct w:val="0"/>
        <w:autoSpaceDE/>
        <w:autoSpaceDN/>
        <w:bidi w:val="0"/>
        <w:adjustRightInd/>
        <w:snapToGrid/>
        <w:spacing w:line="560" w:lineRule="exact"/>
        <w:ind w:left="0" w:leftChars="0" w:firstLine="643" w:firstLineChars="200"/>
        <w:rPr>
          <w:rFonts w:hint="default" w:ascii="Times New Roman" w:hAnsi="Times New Roman" w:cs="Times New Roman"/>
          <w:color w:val="auto"/>
          <w:sz w:val="32"/>
          <w:szCs w:val="32"/>
          <w:highlight w:val="none"/>
        </w:rPr>
      </w:pPr>
      <w:r>
        <w:rPr>
          <w:rFonts w:hint="default" w:ascii="Times New Roman" w:hAnsi="Times New Roman" w:eastAsia="楷体_GB2312" w:cs="Times New Roman"/>
          <w:b/>
          <w:bCs/>
          <w:color w:val="auto"/>
          <w:sz w:val="32"/>
          <w:szCs w:val="32"/>
          <w:highlight w:val="none"/>
          <w:lang w:eastAsia="zh-CN"/>
        </w:rPr>
        <w:t>（二）项目绩效目标</w:t>
      </w:r>
      <w:bookmarkEnd w:id="2"/>
    </w:p>
    <w:p>
      <w:pPr>
        <w:pStyle w:val="14"/>
        <w:pageBreakBefore w:val="0"/>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640" w:firstLineChars="200"/>
        <w:rPr>
          <w:rFonts w:hint="eastAsia" w:ascii="方正仿宋简体" w:hAnsi="方正仿宋简体" w:eastAsia="方正仿宋简体" w:cs="方正仿宋简体"/>
          <w:color w:val="auto"/>
          <w:kern w:val="2"/>
          <w:sz w:val="32"/>
          <w:szCs w:val="32"/>
          <w:highlight w:val="none"/>
          <w:lang w:val="en-US" w:eastAsia="zh-CN" w:bidi="ar-SA"/>
        </w:rPr>
      </w:pPr>
      <w:r>
        <w:rPr>
          <w:rFonts w:hint="eastAsia"/>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val="en-US" w:eastAsia="zh-CN"/>
        </w:rPr>
        <w:t>1.总体目标：</w:t>
      </w:r>
      <w:r>
        <w:rPr>
          <w:rFonts w:hint="eastAsia" w:ascii="Times New Roman" w:hAnsi="Times New Roman" w:eastAsia="仿宋_GB2312" w:cs="Times New Roman"/>
          <w:color w:val="auto"/>
          <w:kern w:val="2"/>
          <w:sz w:val="32"/>
          <w:szCs w:val="32"/>
          <w:highlight w:val="none"/>
          <w:lang w:val="en-US" w:eastAsia="zh-CN" w:bidi="ar-SA"/>
        </w:rPr>
        <w:t>在2023年征收范围内已签订的征收补偿协议的房屋及地上附着物进行安全拆除，签订征收补偿协议由征收领导小组成员实施入户谈判，再由市征收办负责协调拆除公司开展房屋安全拆除工作，计划于2023年11月底将已签订征收补偿协议的房屋全部安全拆除，征收土地面积约19.6亩，征收房屋面积9821.8平方米，征收补偿款共计1532.03万元，累计拆除房屋面积约7800平方米。</w:t>
      </w:r>
    </w:p>
    <w:p>
      <w:pPr>
        <w:pStyle w:val="14"/>
        <w:pageBreakBefore w:val="0"/>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640" w:firstLineChars="200"/>
        <w:rPr>
          <w:rFonts w:hint="eastAsia" w:ascii="Times New Roman" w:hAnsi="Times New Roman" w:eastAsia="仿宋_GB2312" w:cs="Times New Roman"/>
          <w:color w:val="auto"/>
          <w:kern w:val="2"/>
          <w:sz w:val="32"/>
          <w:szCs w:val="32"/>
          <w:highlight w:val="none"/>
          <w:lang w:val="en-US" w:eastAsia="zh-CN" w:bidi="ar-SA"/>
        </w:rPr>
      </w:pPr>
      <w:r>
        <w:rPr>
          <w:rFonts w:hint="eastAsia"/>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val="en-US" w:eastAsia="zh-CN"/>
        </w:rPr>
        <w:t>2.阶段性目标：</w:t>
      </w:r>
      <w:bookmarkStart w:id="3" w:name="_Toc68703830"/>
      <w:r>
        <w:rPr>
          <w:rFonts w:hint="eastAsia" w:ascii="Times New Roman" w:hAnsi="Times New Roman" w:eastAsia="仿宋_GB2312" w:cs="Times New Roman"/>
          <w:color w:val="auto"/>
          <w:kern w:val="2"/>
          <w:sz w:val="32"/>
          <w:szCs w:val="32"/>
          <w:highlight w:val="none"/>
          <w:lang w:val="en-US" w:eastAsia="zh-CN" w:bidi="ar-SA"/>
        </w:rPr>
        <w:t>5月1日至5月31日，通知已签订征收补偿协议的被征收户在规定的时间内将房屋腾空；6月1日至6月30日，征收工作组入户检查房屋是否腾空并通知相关部门进行停水停电停暖；7月1日至11月30日，协调房屋拆除公司开展房屋安全拆除工作。</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bCs/>
          <w:color w:val="auto"/>
          <w:sz w:val="32"/>
          <w:szCs w:val="32"/>
          <w:highlight w:val="none"/>
          <w:lang w:val="en-US" w:eastAsia="zh-CN"/>
        </w:rPr>
      </w:pPr>
      <w:r>
        <w:rPr>
          <w:rFonts w:hint="eastAsia" w:ascii="Times New Roman" w:hAnsi="Times New Roman" w:eastAsia="黑体" w:cs="Times New Roman"/>
          <w:bCs/>
          <w:color w:val="auto"/>
          <w:sz w:val="32"/>
          <w:szCs w:val="32"/>
          <w:highlight w:val="none"/>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color w:val="auto"/>
          <w:sz w:val="32"/>
          <w:szCs w:val="32"/>
          <w:highlight w:val="none"/>
          <w:lang w:eastAsia="zh-CN"/>
        </w:rPr>
      </w:pPr>
      <w:bookmarkStart w:id="4" w:name="_Toc68703831"/>
      <w:r>
        <w:rPr>
          <w:rFonts w:hint="eastAsia" w:ascii="Times New Roman" w:hAnsi="Times New Roman" w:eastAsia="楷体_GB2312" w:cs="Times New Roman"/>
          <w:b/>
          <w:bCs/>
          <w:color w:val="auto"/>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1.绩效评价目的</w:t>
      </w:r>
    </w:p>
    <w:p>
      <w:pPr>
        <w:pageBreakBefore w:val="0"/>
        <w:kinsoku/>
        <w:wordWrap/>
        <w:overflowPunct/>
        <w:topLinePunct w:val="0"/>
        <w:autoSpaceDE/>
        <w:autoSpaceDN/>
        <w:bidi w:val="0"/>
        <w:adjustRightInd/>
        <w:snapToGrid/>
        <w:spacing w:line="560" w:lineRule="exact"/>
        <w:ind w:left="0" w:leftChars="0" w:firstLine="640" w:firstLineChars="200"/>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left="0" w:leftChars="0" w:firstLine="640" w:firstLineChars="200"/>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leftChars="0" w:firstLine="640" w:firstLineChars="200"/>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pStyle w:val="24"/>
        <w:pageBreakBefore w:val="0"/>
        <w:kinsoku/>
        <w:wordWrap/>
        <w:overflowPunct/>
        <w:topLinePunct w:val="0"/>
        <w:autoSpaceDE/>
        <w:autoSpaceDN/>
        <w:bidi w:val="0"/>
        <w:adjustRightInd/>
        <w:snapToGrid/>
        <w:spacing w:line="560" w:lineRule="exact"/>
        <w:ind w:left="0" w:leftChars="0" w:firstLine="640" w:firstLineChars="200"/>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2.绩效评价对象：</w:t>
      </w:r>
    </w:p>
    <w:p>
      <w:pPr>
        <w:pageBreakBefore w:val="0"/>
        <w:kinsoku/>
        <w:wordWrap/>
        <w:overflowPunct/>
        <w:topLinePunct w:val="0"/>
        <w:autoSpaceDE/>
        <w:autoSpaceDN/>
        <w:bidi w:val="0"/>
        <w:adjustRightInd/>
        <w:snapToGrid/>
        <w:spacing w:line="560" w:lineRule="exact"/>
        <w:ind w:left="0" w:leftChars="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2023年霍尔果斯市</w:t>
      </w:r>
      <w:r>
        <w:rPr>
          <w:rFonts w:hint="eastAsia" w:ascii="仿宋_GB2312" w:hAnsi="仿宋_GB2312" w:cs="仿宋_GB2312"/>
          <w:color w:val="auto"/>
          <w:sz w:val="32"/>
          <w:szCs w:val="32"/>
          <w:highlight w:val="none"/>
          <w:lang w:val="en-US" w:eastAsia="zh-CN"/>
        </w:rPr>
        <w:t>土地和房屋征收</w:t>
      </w:r>
      <w:r>
        <w:rPr>
          <w:rFonts w:hint="eastAsia" w:ascii="仿宋_GB2312" w:hAnsi="仿宋_GB2312" w:eastAsia="仿宋_GB2312" w:cs="仿宋_GB2312"/>
          <w:color w:val="auto"/>
          <w:sz w:val="32"/>
          <w:szCs w:val="32"/>
          <w:highlight w:val="none"/>
        </w:rPr>
        <w:t>项目</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3.绩效评价范围：</w:t>
      </w: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jc w:val="left"/>
        <w:textAlignment w:val="auto"/>
        <w:outlineLvl w:val="9"/>
        <w:rPr>
          <w:color w:val="auto"/>
          <w:sz w:val="32"/>
          <w:szCs w:val="32"/>
          <w:highlight w:val="none"/>
        </w:rPr>
      </w:pPr>
      <w:r>
        <w:rPr>
          <w:rFonts w:hint="eastAsia"/>
          <w:color w:val="auto"/>
          <w:sz w:val="32"/>
          <w:szCs w:val="32"/>
          <w:highlight w:val="none"/>
          <w:lang w:eastAsia="zh-CN"/>
        </w:rPr>
        <w:t>　　</w:t>
      </w:r>
      <w:r>
        <w:rPr>
          <w:rFonts w:hint="eastAsia"/>
          <w:color w:val="auto"/>
          <w:sz w:val="32"/>
          <w:szCs w:val="32"/>
          <w:highlight w:val="none"/>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color w:val="auto"/>
          <w:sz w:val="32"/>
          <w:szCs w:val="32"/>
          <w:highlight w:val="none"/>
        </w:rPr>
        <w:t>2023年霍尔果斯市</w:t>
      </w:r>
      <w:r>
        <w:rPr>
          <w:rFonts w:hint="eastAsia" w:ascii="仿宋_GB2312" w:hAnsi="仿宋_GB2312" w:cs="仿宋_GB2312"/>
          <w:color w:val="auto"/>
          <w:sz w:val="32"/>
          <w:szCs w:val="32"/>
          <w:highlight w:val="none"/>
          <w:lang w:val="en-US" w:eastAsia="zh-CN"/>
        </w:rPr>
        <w:t>土地和房屋征收</w:t>
      </w:r>
      <w:r>
        <w:rPr>
          <w:rFonts w:hint="eastAsia" w:ascii="仿宋_GB2312" w:hAnsi="仿宋_GB2312" w:eastAsia="仿宋_GB2312" w:cs="仿宋_GB2312"/>
          <w:color w:val="auto"/>
          <w:sz w:val="32"/>
          <w:szCs w:val="32"/>
          <w:highlight w:val="none"/>
        </w:rPr>
        <w:t>项目</w:t>
      </w:r>
      <w:r>
        <w:rPr>
          <w:rFonts w:hint="eastAsia"/>
          <w:color w:val="auto"/>
          <w:sz w:val="32"/>
          <w:szCs w:val="32"/>
          <w:highlight w:val="none"/>
        </w:rPr>
        <w:t>评价，评价核心为资金的支出完成情况和效果。</w:t>
      </w:r>
    </w:p>
    <w:p>
      <w:pPr>
        <w:pStyle w:val="4"/>
        <w:pageBreakBefore w:val="0"/>
        <w:widowControl w:val="0"/>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5" w:name="_Toc68703832"/>
      <w:r>
        <w:rPr>
          <w:rFonts w:hint="eastAsia" w:ascii="Times New Roman" w:hAnsi="Times New Roman" w:eastAsia="楷体_GB2312" w:cs="Times New Roman"/>
          <w:b/>
          <w:bCs/>
          <w:color w:val="auto"/>
          <w:kern w:val="2"/>
          <w:sz w:val="32"/>
          <w:szCs w:val="32"/>
          <w:highlight w:val="none"/>
          <w:lang w:val="en-US" w:eastAsia="zh-CN" w:bidi="ar-SA"/>
        </w:rPr>
        <w:t>（二）绩效评价原则、评价指标体系</w:t>
      </w:r>
      <w:r>
        <w:rPr>
          <w:rFonts w:eastAsia="楷体_GB2312"/>
          <w:b/>
          <w:bCs/>
          <w:color w:val="auto"/>
          <w:sz w:val="32"/>
          <w:szCs w:val="32"/>
          <w:highlight w:val="none"/>
        </w:rPr>
        <w:t>（详情见表1）</w:t>
      </w:r>
      <w:r>
        <w:rPr>
          <w:rFonts w:hint="eastAsia" w:ascii="Times New Roman" w:hAnsi="Times New Roman" w:eastAsia="楷体_GB2312" w:cs="Times New Roman"/>
          <w:b/>
          <w:bCs/>
          <w:color w:val="auto"/>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绩效评价原则</w:t>
      </w:r>
    </w:p>
    <w:p>
      <w:pPr>
        <w:pageBreakBefore w:val="0"/>
        <w:kinsoku/>
        <w:wordWrap/>
        <w:overflowPunct/>
        <w:topLinePunct w:val="0"/>
        <w:autoSpaceDE/>
        <w:autoSpaceDN/>
        <w:bidi w:val="0"/>
        <w:adjustRightInd/>
        <w:snapToGrid/>
        <w:spacing w:line="560" w:lineRule="exact"/>
        <w:ind w:left="0" w:leftChars="0" w:firstLine="640" w:firstLineChars="200"/>
        <w:rPr>
          <w:rFonts w:eastAsia="仿宋_GB2312"/>
          <w:color w:val="auto"/>
          <w:sz w:val="32"/>
          <w:szCs w:val="32"/>
          <w:highlight w:val="none"/>
        </w:rPr>
      </w:pPr>
      <w:r>
        <w:rPr>
          <w:rFonts w:eastAsia="仿宋_GB2312"/>
          <w:color w:val="auto"/>
          <w:sz w:val="32"/>
          <w:szCs w:val="32"/>
          <w:highlight w:val="none"/>
        </w:rPr>
        <w:t>本次项目绩效评价遵循以下基本原则：</w:t>
      </w:r>
    </w:p>
    <w:p>
      <w:pPr>
        <w:pStyle w:val="13"/>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（1）科学公正。绩效评价应当运用科学合理的方法，按照规范的程序，对项目绩效进行客观、公正的反映。</w:t>
      </w:r>
    </w:p>
    <w:p>
      <w:pPr>
        <w:pStyle w:val="13"/>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3"/>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pPr>
        <w:pStyle w:val="13"/>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left="0" w:leftChars="0" w:firstLine="600" w:firstLineChars="200"/>
        <w:jc w:val="left"/>
        <w:rPr>
          <w:rFonts w:hint="eastAsia"/>
          <w:color w:val="auto"/>
          <w:sz w:val="32"/>
          <w:szCs w:val="32"/>
          <w:highlight w:val="none"/>
        </w:rPr>
      </w:pPr>
      <w:r>
        <w:rPr>
          <w:rFonts w:hint="eastAsia"/>
          <w:color w:val="auto"/>
          <w:highlight w:val="none"/>
        </w:rPr>
        <w:t>2、</w:t>
      </w:r>
      <w:r>
        <w:rPr>
          <w:rFonts w:hint="eastAsia"/>
          <w:color w:val="auto"/>
          <w:sz w:val="32"/>
          <w:szCs w:val="32"/>
          <w:highlight w:val="none"/>
        </w:rPr>
        <w:t>评价指标体系</w:t>
      </w:r>
    </w:p>
    <w:p>
      <w:pPr>
        <w:pageBreakBefore w:val="0"/>
        <w:kinsoku/>
        <w:wordWrap/>
        <w:overflowPunct/>
        <w:topLinePunct w:val="0"/>
        <w:autoSpaceDE/>
        <w:autoSpaceDN/>
        <w:bidi w:val="0"/>
        <w:adjustRightInd/>
        <w:snapToGrid/>
        <w:spacing w:line="560" w:lineRule="exact"/>
        <w:ind w:left="0" w:leftChars="0" w:firstLine="708" w:firstLineChars="200"/>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auto"/>
          <w:spacing w:val="17"/>
          <w:sz w:val="32"/>
          <w:szCs w:val="32"/>
          <w:highlight w:val="none"/>
        </w:rPr>
      </w:pPr>
      <w:r>
        <w:rPr>
          <w:rFonts w:eastAsia="仿宋_GB2312"/>
          <w:color w:val="auto"/>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3"/>
        <w:pageBreakBefore w:val="0"/>
        <w:kinsoku/>
        <w:wordWrap/>
        <w:overflowPunct/>
        <w:topLinePunct w:val="0"/>
        <w:autoSpaceDE/>
        <w:autoSpaceDN/>
        <w:bidi w:val="0"/>
        <w:adjustRightInd/>
        <w:snapToGrid/>
        <w:spacing w:before="0" w:after="0" w:line="560" w:lineRule="exact"/>
        <w:ind w:left="0" w:leftChars="0" w:firstLine="708" w:firstLineChars="200"/>
        <w:jc w:val="both"/>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3"/>
        <w:pageBreakBefore w:val="0"/>
        <w:widowControl w:val="0"/>
        <w:kinsoku/>
        <w:wordWrap/>
        <w:overflowPunct/>
        <w:topLinePunct w:val="0"/>
        <w:autoSpaceDE/>
        <w:autoSpaceDN/>
        <w:bidi w:val="0"/>
        <w:adjustRightInd/>
        <w:snapToGrid/>
        <w:spacing w:before="0" w:after="0" w:line="560" w:lineRule="exact"/>
        <w:ind w:left="0" w:leftChars="0" w:firstLine="708" w:firstLineChars="200"/>
        <w:jc w:val="both"/>
        <w:outlineLvl w:val="9"/>
        <w:rPr>
          <w:rFonts w:hint="eastAsia"/>
          <w:color w:val="auto"/>
          <w:highlight w:val="none"/>
        </w:rPr>
      </w:pPr>
      <w:r>
        <w:rPr>
          <w:rFonts w:ascii="Times New Roman" w:hAnsi="Times New Roman" w:eastAsia="仿宋_GB2312"/>
          <w:b w:val="0"/>
          <w:bCs w:val="0"/>
          <w:color w:val="auto"/>
          <w:spacing w:val="17"/>
          <w:highlight w:val="none"/>
        </w:rPr>
        <w:t>具体评价指标体系详情见附件1</w:t>
      </w:r>
    </w:p>
    <w:p>
      <w:pPr>
        <w:pStyle w:val="6"/>
        <w:pageBreakBefore w:val="0"/>
        <w:kinsoku/>
        <w:wordWrap/>
        <w:overflowPunct/>
        <w:topLinePunct w:val="0"/>
        <w:autoSpaceDE/>
        <w:autoSpaceDN/>
        <w:bidi w:val="0"/>
        <w:adjustRightInd/>
        <w:snapToGrid/>
        <w:spacing w:line="560" w:lineRule="exact"/>
        <w:ind w:left="0" w:leftChars="0" w:firstLine="640" w:firstLineChars="200"/>
        <w:rPr>
          <w:rFonts w:hint="eastAsia"/>
          <w:color w:val="auto"/>
          <w:sz w:val="32"/>
          <w:szCs w:val="32"/>
          <w:highlight w:val="none"/>
        </w:rPr>
      </w:pPr>
      <w:r>
        <w:rPr>
          <w:rFonts w:hint="eastAsia"/>
          <w:color w:val="auto"/>
          <w:sz w:val="32"/>
          <w:szCs w:val="32"/>
          <w:highlight w:val="none"/>
        </w:rPr>
        <w:t>3、评价方法</w:t>
      </w:r>
    </w:p>
    <w:p>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left="0" w:leftChars="0" w:firstLine="708" w:firstLineChars="200"/>
        <w:rPr>
          <w:rFonts w:hint="eastAsia" w:eastAsia="仿宋_GB2312"/>
          <w:bCs/>
          <w:color w:val="auto"/>
          <w:sz w:val="32"/>
          <w:szCs w:val="32"/>
          <w:highlight w:val="none"/>
          <w:lang w:eastAsia="zh-CN"/>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auto"/>
          <w:spacing w:val="17"/>
          <w:sz w:val="32"/>
          <w:szCs w:val="32"/>
          <w:highlight w:val="none"/>
        </w:rPr>
      </w:pPr>
      <w:r>
        <w:rPr>
          <w:rFonts w:eastAsia="仿宋_GB2312"/>
          <w:color w:val="auto"/>
          <w:spacing w:val="17"/>
          <w:sz w:val="32"/>
          <w:szCs w:val="32"/>
          <w:highlight w:val="none"/>
        </w:rPr>
        <w:t>（1）比较法</w:t>
      </w:r>
    </w:p>
    <w:p>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auto"/>
          <w:spacing w:val="17"/>
          <w:sz w:val="32"/>
          <w:szCs w:val="32"/>
          <w:highlight w:val="none"/>
        </w:rPr>
      </w:pPr>
      <w:r>
        <w:rPr>
          <w:rFonts w:eastAsia="仿宋_GB2312"/>
          <w:color w:val="auto"/>
          <w:spacing w:val="17"/>
          <w:sz w:val="32"/>
          <w:szCs w:val="32"/>
          <w:highlight w:val="none"/>
        </w:rPr>
        <w:t>（2）因素分析法</w:t>
      </w:r>
    </w:p>
    <w:p>
      <w:pPr>
        <w:pageBreakBefore w:val="0"/>
        <w:kinsoku/>
        <w:wordWrap/>
        <w:overflowPunct/>
        <w:topLinePunct w:val="0"/>
        <w:autoSpaceDE/>
        <w:autoSpaceDN/>
        <w:bidi w:val="0"/>
        <w:adjustRightInd/>
        <w:snapToGrid/>
        <w:spacing w:line="560" w:lineRule="exact"/>
        <w:ind w:left="0" w:leftChars="0" w:firstLine="708" w:firstLineChars="200"/>
        <w:rPr>
          <w:rFonts w:hint="eastAsia" w:eastAsia="仿宋_GB2312"/>
          <w:color w:val="auto"/>
          <w:spacing w:val="17"/>
          <w:sz w:val="32"/>
          <w:szCs w:val="32"/>
          <w:highlight w:val="none"/>
          <w:lang w:eastAsia="zh-CN"/>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highlight w:val="none"/>
        </w:rPr>
      </w:pPr>
      <w:r>
        <w:rPr>
          <w:rFonts w:hint="eastAsia"/>
          <w:color w:val="auto"/>
          <w:sz w:val="32"/>
          <w:szCs w:val="32"/>
          <w:highlight w:val="none"/>
        </w:rPr>
        <w:t>4</w:t>
      </w:r>
      <w:r>
        <w:rPr>
          <w:rFonts w:hint="eastAsia"/>
          <w:color w:val="auto"/>
          <w:sz w:val="32"/>
          <w:szCs w:val="32"/>
          <w:highlight w:val="none"/>
          <w:lang w:val="en-US" w:eastAsia="zh-CN"/>
        </w:rPr>
        <w:t>.</w:t>
      </w:r>
      <w:r>
        <w:rPr>
          <w:rFonts w:hint="eastAsia"/>
          <w:color w:val="auto"/>
          <w:sz w:val="32"/>
          <w:szCs w:val="32"/>
          <w:highlight w:val="none"/>
        </w:rPr>
        <w:t>评价标准</w:t>
      </w:r>
    </w:p>
    <w:p>
      <w:pPr>
        <w:pageBreakBefore w:val="0"/>
        <w:kinsoku/>
        <w:wordWrap/>
        <w:overflowPunct/>
        <w:topLinePunct w:val="0"/>
        <w:autoSpaceDE/>
        <w:autoSpaceDN/>
        <w:bidi w:val="0"/>
        <w:adjustRightInd/>
        <w:snapToGrid/>
        <w:spacing w:line="560" w:lineRule="exact"/>
        <w:ind w:left="0" w:leftChars="0" w:firstLine="640" w:firstLineChars="200"/>
        <w:rPr>
          <w:rFonts w:hint="eastAsia"/>
          <w:bCs/>
          <w:color w:val="auto"/>
          <w:sz w:val="32"/>
          <w:szCs w:val="32"/>
          <w:highlight w:val="none"/>
        </w:rPr>
      </w:pPr>
      <w:r>
        <w:rPr>
          <w:rFonts w:hint="eastAsia"/>
          <w:bCs/>
          <w:color w:val="auto"/>
          <w:sz w:val="32"/>
          <w:szCs w:val="32"/>
          <w:highlight w:val="none"/>
        </w:rPr>
        <w:t>绩效评价标准通常包括计划标准、行业标准、历史标准等，用于对绩效指标完成情况进行比较、分析、评价。本次评价主要采用了</w:t>
      </w:r>
      <w:r>
        <w:rPr>
          <w:rFonts w:hint="eastAsia" w:ascii="仿宋_GB2312" w:cs="Times New Roman"/>
          <w:bCs/>
          <w:color w:val="auto"/>
          <w:sz w:val="32"/>
          <w:szCs w:val="32"/>
          <w:highlight w:val="none"/>
          <w:lang w:val="en-US" w:eastAsia="zh-CN"/>
        </w:rPr>
        <w:t>计划</w:t>
      </w:r>
      <w:r>
        <w:rPr>
          <w:rFonts w:hint="eastAsia" w:ascii="仿宋_GB2312" w:hAnsi="Times New Roman" w:cs="Times New Roman"/>
          <w:bCs/>
          <w:color w:val="auto"/>
          <w:sz w:val="32"/>
          <w:szCs w:val="32"/>
          <w:highlight w:val="none"/>
          <w:lang w:val="en-US" w:eastAsia="zh-CN"/>
        </w:rPr>
        <w:t>标准</w:t>
      </w:r>
      <w:r>
        <w:rPr>
          <w:rFonts w:hint="eastAsia"/>
          <w:bCs/>
          <w:color w:val="auto"/>
          <w:sz w:val="32"/>
          <w:szCs w:val="32"/>
          <w:highlight w:val="none"/>
        </w:rPr>
        <w:t>。</w:t>
      </w:r>
    </w:p>
    <w:p>
      <w:pPr>
        <w:pageBreakBefore w:val="0"/>
        <w:kinsoku/>
        <w:wordWrap/>
        <w:overflowPunct/>
        <w:topLinePunct w:val="0"/>
        <w:autoSpaceDE/>
        <w:autoSpaceDN/>
        <w:bidi w:val="0"/>
        <w:adjustRightInd/>
        <w:snapToGrid/>
        <w:spacing w:line="560" w:lineRule="exact"/>
        <w:ind w:left="0" w:leftChars="0" w:firstLine="640" w:firstLineChars="200"/>
        <w:rPr>
          <w:rFonts w:hint="eastAsia"/>
          <w:bCs/>
          <w:color w:val="auto"/>
          <w:sz w:val="32"/>
          <w:szCs w:val="32"/>
          <w:highlight w:val="none"/>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6" w:name="_Toc68703833"/>
      <w:r>
        <w:rPr>
          <w:rFonts w:hint="eastAsia" w:ascii="Times New Roman" w:hAnsi="Times New Roman" w:eastAsia="楷体_GB2312" w:cs="Times New Roman"/>
          <w:b/>
          <w:bCs/>
          <w:color w:val="auto"/>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color w:val="auto"/>
          <w:sz w:val="32"/>
          <w:szCs w:val="32"/>
          <w:highlight w:val="none"/>
        </w:rPr>
      </w:pPr>
      <w:r>
        <w:rPr>
          <w:rFonts w:hint="eastAsia"/>
          <w:color w:val="auto"/>
          <w:sz w:val="32"/>
          <w:szCs w:val="32"/>
          <w:highlight w:val="none"/>
        </w:rPr>
        <w:t>2</w:t>
      </w:r>
      <w:r>
        <w:rPr>
          <w:rFonts w:hint="eastAsia"/>
          <w:color w:val="auto"/>
          <w:sz w:val="32"/>
          <w:szCs w:val="32"/>
          <w:highlight w:val="none"/>
          <w:lang w:val="en-US" w:eastAsia="zh-CN"/>
        </w:rPr>
        <w:t>.</w:t>
      </w:r>
      <w:r>
        <w:rPr>
          <w:rFonts w:hint="eastAsia"/>
          <w:color w:val="auto"/>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color w:val="auto"/>
          <w:sz w:val="32"/>
          <w:szCs w:val="32"/>
          <w:highlight w:val="none"/>
        </w:rPr>
      </w:pPr>
      <w:r>
        <w:rPr>
          <w:rFonts w:hint="eastAsia"/>
          <w:color w:val="auto"/>
          <w:sz w:val="32"/>
          <w:szCs w:val="32"/>
          <w:highlight w:val="none"/>
        </w:rPr>
        <w:t>3</w:t>
      </w:r>
      <w:r>
        <w:rPr>
          <w:rFonts w:hint="eastAsia"/>
          <w:color w:val="auto"/>
          <w:sz w:val="32"/>
          <w:szCs w:val="32"/>
          <w:highlight w:val="none"/>
          <w:lang w:val="en-US" w:eastAsia="zh-CN"/>
        </w:rPr>
        <w:t>.</w:t>
      </w:r>
      <w:r>
        <w:rPr>
          <w:rFonts w:hint="eastAsia"/>
          <w:color w:val="auto"/>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color w:val="auto"/>
          <w:sz w:val="32"/>
          <w:szCs w:val="32"/>
          <w:highlight w:val="none"/>
        </w:rPr>
      </w:pPr>
      <w:bookmarkStart w:id="7" w:name="_Toc68703834"/>
      <w:r>
        <w:rPr>
          <w:rFonts w:hint="eastAsia" w:eastAsia="仿宋_GB2312"/>
          <w:bCs/>
          <w:color w:val="auto"/>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0"/>
        </w:numPr>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bCs/>
          <w:color w:val="auto"/>
          <w:sz w:val="32"/>
          <w:szCs w:val="32"/>
          <w:highlight w:val="none"/>
          <w:lang w:val="en-US" w:eastAsia="zh-CN"/>
        </w:rPr>
      </w:pPr>
      <w:r>
        <w:rPr>
          <w:rFonts w:hint="eastAsia" w:eastAsia="黑体" w:cs="Times New Roman"/>
          <w:bCs/>
          <w:color w:val="auto"/>
          <w:sz w:val="32"/>
          <w:szCs w:val="32"/>
          <w:highlight w:val="none"/>
          <w:lang w:val="en-US" w:eastAsia="zh-CN"/>
        </w:rPr>
        <w:t>三、</w:t>
      </w:r>
      <w:r>
        <w:rPr>
          <w:rFonts w:hint="eastAsia" w:ascii="Times New Roman" w:hAnsi="Times New Roman" w:eastAsia="黑体" w:cs="Times New Roman"/>
          <w:bCs/>
          <w:color w:val="auto"/>
          <w:sz w:val="32"/>
          <w:szCs w:val="32"/>
          <w:highlight w:val="none"/>
          <w:lang w:val="en-US" w:eastAsia="zh-CN"/>
        </w:rPr>
        <w:t>综合评价情况及评价结论</w:t>
      </w:r>
      <w:bookmarkEnd w:id="7"/>
      <w:r>
        <w:rPr>
          <w:rFonts w:eastAsia="黑体"/>
          <w:color w:val="auto"/>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8" w:name="_Toc68703835"/>
      <w:r>
        <w:rPr>
          <w:rFonts w:hint="eastAsia" w:ascii="Times New Roman" w:hAnsi="Times New Roman" w:eastAsia="楷体_GB2312" w:cs="Times New Roman"/>
          <w:b/>
          <w:bCs/>
          <w:color w:val="auto"/>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color w:val="auto"/>
          <w:sz w:val="32"/>
          <w:szCs w:val="32"/>
          <w:highlight w:val="none"/>
        </w:rPr>
      </w:pPr>
      <w:r>
        <w:rPr>
          <w:rFonts w:hint="eastAsia" w:ascii="Times New Roman" w:hAnsi="Times New Roman" w:eastAsia="仿宋_GB2312" w:cs="Times New Roman"/>
          <w:b w:val="0"/>
          <w:bCs w:val="0"/>
          <w:color w:val="auto"/>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9" w:name="_Toc68703836"/>
      <w:r>
        <w:rPr>
          <w:rFonts w:hint="eastAsia" w:ascii="Times New Roman" w:hAnsi="Times New Roman" w:eastAsia="楷体_GB2312" w:cs="Times New Roman"/>
          <w:b/>
          <w:bCs/>
          <w:color w:val="auto"/>
          <w:kern w:val="2"/>
          <w:sz w:val="32"/>
          <w:szCs w:val="32"/>
          <w:highlight w:val="none"/>
          <w:lang w:val="en-US" w:eastAsia="zh-CN" w:bidi="ar-SA"/>
        </w:rPr>
        <w:t>（二）评价结论</w:t>
      </w:r>
      <w:bookmarkEnd w:id="9"/>
    </w:p>
    <w:p>
      <w:pPr>
        <w:pStyle w:val="13"/>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hint="eastAsia"/>
          <w:color w:val="auto"/>
          <w:highlight w:val="none"/>
        </w:rPr>
      </w:pPr>
      <w:r>
        <w:rPr>
          <w:rFonts w:hint="eastAsia" w:ascii="Times New Roman" w:hAnsi="Times New Roman" w:eastAsia="仿宋_GB2312"/>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100%。项目过程类指标权重为20分，得分为20分，得分率为100%。项目产出类指标权重为40分，得分为40分，得分率为 100%。项目效益类指标权重为20分，得分为20分，得分率为100%。具体打分情况详见：附件1综合评分表</w:t>
      </w:r>
      <w:r>
        <w:rPr>
          <w:rFonts w:hint="eastAsia" w:ascii="Times New Roman" w:hAnsi="Times New Roman" w:eastAsia="仿宋_GB2312"/>
          <w:b w:val="0"/>
          <w:bCs w:val="0"/>
          <w:color w:val="auto"/>
          <w:highlight w:val="none"/>
          <w:lang w:eastAsia="zh-CN"/>
        </w:rPr>
        <w:t>。</w:t>
      </w:r>
    </w:p>
    <w:p>
      <w:pPr>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ascii="Times New Roman" w:hAnsi="Times New Roman" w:eastAsia="仿宋_GB2312" w:cs="Times New Roman"/>
          <w:b w:val="0"/>
          <w:bCs w:val="0"/>
          <w:color w:val="auto"/>
          <w:kern w:val="28"/>
          <w:sz w:val="32"/>
          <w:szCs w:val="32"/>
          <w:highlight w:val="none"/>
          <w:lang w:val="en-US" w:eastAsia="zh-CN" w:bidi="ar-SA"/>
        </w:rPr>
      </w:pPr>
      <w:r>
        <w:rPr>
          <w:rFonts w:hint="eastAsia"/>
          <w:color w:val="auto"/>
          <w:sz w:val="30"/>
          <w:szCs w:val="30"/>
          <w:highlight w:val="none"/>
          <w:lang w:eastAsia="zh-CN"/>
        </w:rPr>
        <w:t>　　　　　　　　</w:t>
      </w:r>
      <w:r>
        <w:rPr>
          <w:rFonts w:hint="eastAsia" w:ascii="Times New Roman" w:hAnsi="Times New Roman" w:eastAsia="仿宋_GB2312" w:cs="Times New Roman"/>
          <w:b w:val="0"/>
          <w:bCs w:val="0"/>
          <w:color w:val="auto"/>
          <w:kern w:val="28"/>
          <w:sz w:val="32"/>
          <w:szCs w:val="32"/>
          <w:highlight w:val="none"/>
          <w:lang w:val="en-US" w:eastAsia="zh-CN" w:bidi="ar-SA"/>
        </w:rPr>
        <w:t>表1综合评分表</w:t>
      </w:r>
    </w:p>
    <w:tbl>
      <w:tblPr>
        <w:tblStyle w:val="15"/>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b/>
                <w:bCs/>
                <w:color w:val="auto"/>
                <w:sz w:val="22"/>
                <w:highlight w:val="none"/>
              </w:rPr>
            </w:pPr>
            <w:r>
              <w:rPr>
                <w:rFonts w:hint="eastAsia"/>
                <w:b/>
                <w:bCs/>
                <w:color w:val="auto"/>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b/>
                <w:bCs/>
                <w:color w:val="auto"/>
                <w:sz w:val="22"/>
                <w:highlight w:val="none"/>
              </w:rPr>
            </w:pPr>
            <w:r>
              <w:rPr>
                <w:rFonts w:hint="eastAsia"/>
                <w:b/>
                <w:bCs/>
                <w:color w:val="auto"/>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b/>
                <w:bCs/>
                <w:color w:val="auto"/>
                <w:sz w:val="22"/>
                <w:highlight w:val="none"/>
              </w:rPr>
            </w:pPr>
            <w:r>
              <w:rPr>
                <w:rFonts w:hint="eastAsia"/>
                <w:b/>
                <w:bCs/>
                <w:color w:val="auto"/>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rFonts w:hint="eastAsia" w:eastAsia="宋体"/>
                <w:color w:val="auto"/>
                <w:sz w:val="22"/>
                <w:highlight w:val="none"/>
              </w:rPr>
            </w:pPr>
            <w:r>
              <w:rPr>
                <w:rFonts w:hint="eastAsia" w:eastAsia="宋体"/>
                <w:color w:val="auto"/>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rFonts w:hint="eastAsia" w:eastAsia="宋体"/>
                <w:color w:val="auto"/>
                <w:sz w:val="22"/>
                <w:highlight w:val="none"/>
              </w:rPr>
            </w:pPr>
            <w:r>
              <w:rPr>
                <w:rFonts w:hint="eastAsia" w:eastAsia="宋体"/>
                <w:color w:val="auto"/>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rFonts w:hint="eastAsia" w:eastAsia="宋体"/>
                <w:color w:val="auto"/>
                <w:sz w:val="22"/>
                <w:highlight w:val="none"/>
              </w:rPr>
            </w:pPr>
            <w:r>
              <w:rPr>
                <w:rFonts w:hint="eastAsia" w:eastAsia="宋体"/>
                <w:color w:val="auto"/>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eastAsia"/>
                <w:color w:val="auto"/>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rFonts w:hint="eastAsia" w:eastAsia="宋体"/>
                <w:color w:val="auto"/>
                <w:sz w:val="22"/>
                <w:highlight w:val="none"/>
              </w:rPr>
            </w:pPr>
            <w:r>
              <w:rPr>
                <w:rFonts w:hint="eastAsia" w:eastAsia="宋体"/>
                <w:color w:val="auto"/>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rFonts w:cs="宋体"/>
                <w:b/>
                <w:bCs/>
                <w:color w:val="auto"/>
                <w:sz w:val="22"/>
                <w:highlight w:val="none"/>
              </w:rPr>
            </w:pPr>
            <w:r>
              <w:rPr>
                <w:rFonts w:hint="eastAsia" w:cs="宋体"/>
                <w:b/>
                <w:bCs/>
                <w:color w:val="auto"/>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rFonts w:hint="default" w:eastAsia="仿宋_GB2312"/>
                <w:b/>
                <w:bCs/>
                <w:color w:val="auto"/>
                <w:sz w:val="22"/>
                <w:highlight w:val="none"/>
                <w:lang w:val="en-US" w:eastAsia="zh-CN"/>
              </w:rPr>
            </w:pPr>
            <w:r>
              <w:rPr>
                <w:rFonts w:hint="eastAsia"/>
                <w:b/>
                <w:bCs/>
                <w:color w:val="auto"/>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rFonts w:hint="default" w:ascii="Times New Roman" w:hAnsi="Times New Roman" w:eastAsia="仿宋_GB2312" w:cs="Times New Roman"/>
                <w:b/>
                <w:bCs/>
                <w:color w:val="auto"/>
                <w:kern w:val="2"/>
                <w:sz w:val="22"/>
                <w:szCs w:val="24"/>
                <w:highlight w:val="none"/>
                <w:lang w:val="en-US" w:eastAsia="zh-CN" w:bidi="ar-SA"/>
              </w:rPr>
            </w:pPr>
            <w:r>
              <w:rPr>
                <w:rFonts w:hint="eastAsia"/>
                <w:b/>
                <w:bCs/>
                <w:color w:val="auto"/>
                <w:sz w:val="22"/>
                <w:highlight w:val="none"/>
                <w:lang w:val="en-US" w:eastAsia="zh-CN"/>
              </w:rPr>
              <w:t>100</w:t>
            </w:r>
          </w:p>
        </w:tc>
      </w:tr>
    </w:tbl>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bCs/>
          <w:color w:val="auto"/>
          <w:sz w:val="32"/>
          <w:szCs w:val="32"/>
          <w:highlight w:val="none"/>
          <w:lang w:val="en-US" w:eastAsia="zh-CN"/>
        </w:rPr>
      </w:pPr>
      <w:bookmarkStart w:id="10" w:name="_Toc68703837"/>
      <w:r>
        <w:rPr>
          <w:rFonts w:hint="eastAsia" w:ascii="Times New Roman" w:hAnsi="Times New Roman" w:eastAsia="黑体" w:cs="Times New Roman"/>
          <w:bCs/>
          <w:color w:val="auto"/>
          <w:sz w:val="32"/>
          <w:szCs w:val="32"/>
          <w:highlight w:val="none"/>
          <w:lang w:val="en-US" w:eastAsia="zh-CN"/>
        </w:rPr>
        <w:t>四、绩效评价指标分析</w:t>
      </w:r>
      <w:bookmarkEnd w:id="10"/>
    </w:p>
    <w:p>
      <w:pPr>
        <w:pageBreakBefore w:val="0"/>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color w:val="auto"/>
          <w:kern w:val="2"/>
          <w:sz w:val="32"/>
          <w:szCs w:val="32"/>
          <w:highlight w:val="none"/>
          <w:lang w:val="en-US" w:eastAsia="zh-CN" w:bidi="ar-SA"/>
        </w:rPr>
      </w:pPr>
      <w:bookmarkStart w:id="11" w:name="_Toc68703838"/>
      <w:r>
        <w:rPr>
          <w:rFonts w:hint="eastAsia" w:ascii="Times New Roman" w:hAnsi="Times New Roman" w:eastAsia="楷体_GB2312" w:cs="Times New Roman"/>
          <w:b/>
          <w:bCs/>
          <w:color w:val="auto"/>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highlight w:val="none"/>
          <w:lang w:val="en-US" w:eastAsia="zh-CN"/>
        </w:rPr>
      </w:pPr>
      <w:r>
        <w:rPr>
          <w:rFonts w:hint="eastAsia"/>
          <w:b w:val="0"/>
          <w:bCs w:val="0"/>
          <w:color w:val="auto"/>
          <w:sz w:val="32"/>
          <w:szCs w:val="32"/>
          <w:highlight w:val="none"/>
          <w:lang w:val="en-US" w:eastAsia="zh-CN"/>
        </w:rPr>
        <w:t>项目决策类指标包括项目立项、绩效目标和资金投入三方面的内容，由6个三级指标构成，权重分值为20分，实际得分20分，得分率为100%。</w:t>
      </w:r>
    </w:p>
    <w:p>
      <w:pPr>
        <w:pStyle w:val="24"/>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val="en-US" w:eastAsia="zh-CN"/>
        </w:rPr>
        <w:t>项目立项</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color w:val="auto"/>
          <w:sz w:val="32"/>
          <w:szCs w:val="32"/>
          <w:highlight w:val="none"/>
        </w:rPr>
      </w:pPr>
      <w:r>
        <w:rPr>
          <w:rFonts w:hint="eastAsia" w:ascii="仿宋_GB2312" w:hAnsi="仿宋_GB2312" w:eastAsia="仿宋_GB2312" w:cs="仿宋_GB2312"/>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b w:val="0"/>
          <w:bCs w:val="0"/>
          <w:color w:val="auto"/>
          <w:sz w:val="32"/>
          <w:szCs w:val="32"/>
          <w:highlight w:val="none"/>
        </w:rPr>
      </w:pPr>
      <w:r>
        <w:rPr>
          <w:rFonts w:hint="eastAsia"/>
          <w:b w:val="0"/>
          <w:bCs w:val="0"/>
          <w:color w:val="auto"/>
          <w:sz w:val="32"/>
          <w:szCs w:val="32"/>
          <w:highlight w:val="none"/>
        </w:rPr>
        <w:t>2</w:t>
      </w:r>
      <w:r>
        <w:rPr>
          <w:rFonts w:hint="eastAsia"/>
          <w:b w:val="0"/>
          <w:bCs w:val="0"/>
          <w:color w:val="auto"/>
          <w:sz w:val="32"/>
          <w:szCs w:val="32"/>
          <w:highlight w:val="none"/>
          <w:lang w:val="en-US" w:eastAsia="zh-CN"/>
        </w:rPr>
        <w:t>.</w:t>
      </w:r>
      <w:r>
        <w:rPr>
          <w:rFonts w:hint="eastAsia"/>
          <w:b w:val="0"/>
          <w:bCs w:val="0"/>
          <w:color w:val="auto"/>
          <w:sz w:val="32"/>
          <w:szCs w:val="32"/>
          <w:highlight w:val="none"/>
        </w:rPr>
        <w:t>立项程序规范性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项目申请、设立过程符合相关要求，</w:t>
      </w:r>
      <w:r>
        <w:rPr>
          <w:rFonts w:hint="eastAsia" w:ascii="仿宋_GB2312" w:hAnsi="仿宋_GB2312" w:eastAsia="仿宋_GB2312" w:cs="仿宋_GB2312"/>
          <w:color w:val="auto"/>
          <w:sz w:val="32"/>
          <w:szCs w:val="32"/>
          <w:highlight w:val="none"/>
          <w:lang w:eastAsia="zh-Hans"/>
        </w:rPr>
        <w:t>严格按照审批流程准备符合要求的文件、材料；</w:t>
      </w:r>
      <w:r>
        <w:rPr>
          <w:rFonts w:hint="eastAsia" w:ascii="仿宋_GB2312" w:hAnsi="仿宋_GB2312" w:eastAsia="仿宋_GB2312" w:cs="仿宋_GB2312"/>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保障了程序的规范性。</w:t>
      </w:r>
    </w:p>
    <w:p>
      <w:pPr>
        <w:pStyle w:val="2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b w:val="0"/>
          <w:bCs w:val="0"/>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2.绩效目标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Hans"/>
        </w:rPr>
        <w:t>年初结合实际工作内容</w:t>
      </w:r>
      <w:r>
        <w:rPr>
          <w:rFonts w:hint="eastAsia" w:ascii="仿宋_GB2312" w:hAnsi="仿宋_GB2312" w:eastAsia="仿宋_GB2312" w:cs="仿宋_GB2312"/>
          <w:color w:val="auto"/>
          <w:sz w:val="32"/>
          <w:szCs w:val="32"/>
          <w:highlight w:val="none"/>
          <w:lang w:val="en-US" w:eastAsia="zh-CN"/>
        </w:rPr>
        <w:t>设定绩效目标</w:t>
      </w:r>
      <w:r>
        <w:rPr>
          <w:rFonts w:hint="eastAsia" w:ascii="仿宋_GB2312" w:hAnsi="仿宋_GB2312" w:eastAsia="仿宋_GB2312" w:cs="仿宋_GB2312"/>
          <w:color w:val="auto"/>
          <w:sz w:val="32"/>
          <w:szCs w:val="32"/>
          <w:highlight w:val="none"/>
          <w:lang w:val="en-US" w:eastAsia="zh-Hans"/>
        </w:rPr>
        <w:t>，绩效目标</w:t>
      </w:r>
      <w:r>
        <w:rPr>
          <w:rFonts w:hint="eastAsia" w:ascii="仿宋_GB2312" w:hAnsi="仿宋_GB2312" w:eastAsia="仿宋_GB2312" w:cs="仿宋_GB2312"/>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bookmarkStart w:id="12" w:name="_Hlk68699917"/>
      <w:r>
        <w:rPr>
          <w:rFonts w:hint="eastAsia" w:ascii="仿宋_GB2312" w:hAnsi="仿宋_GB2312" w:eastAsia="仿宋_GB2312" w:cs="仿宋_GB2312"/>
          <w:color w:val="auto"/>
          <w:sz w:val="32"/>
          <w:szCs w:val="32"/>
          <w:highlight w:val="none"/>
          <w:lang w:val="en-US" w:eastAsia="zh-CN"/>
        </w:rPr>
        <w:t>（2）绩效指标明确性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4"/>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val="en-US" w:eastAsia="zh-CN"/>
        </w:rPr>
        <w:t>资金投入</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（1）预算编制科学性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（2）资金分配合理性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资金分配额度与项目单位实际工作内容相适应，资金分配额度合理，资金分配依据充分。</w:t>
      </w:r>
    </w:p>
    <w:p>
      <w:pPr>
        <w:pStyle w:val="13"/>
        <w:pageBreakBefore w:val="0"/>
        <w:numPr>
          <w:ilvl w:val="0"/>
          <w:numId w:val="0"/>
        </w:numPr>
        <w:kinsoku/>
        <w:wordWrap/>
        <w:overflowPunct/>
        <w:topLinePunct w:val="0"/>
        <w:autoSpaceDE/>
        <w:autoSpaceDN/>
        <w:bidi w:val="0"/>
        <w:adjustRightInd/>
        <w:snapToGrid/>
        <w:spacing w:before="0" w:after="0" w:line="560" w:lineRule="exact"/>
        <w:ind w:left="0" w:leftChars="0" w:firstLine="643" w:firstLineChars="200"/>
        <w:jc w:val="both"/>
        <w:rPr>
          <w:rFonts w:ascii="楷体" w:hAnsi="楷体" w:eastAsia="楷体" w:cs="楷体"/>
          <w:color w:val="auto"/>
          <w:highlight w:val="none"/>
        </w:rPr>
      </w:pPr>
      <w:r>
        <w:rPr>
          <w:rFonts w:hint="eastAsia" w:ascii="楷体" w:hAnsi="楷体" w:eastAsia="楷体" w:cs="楷体"/>
          <w:color w:val="auto"/>
          <w:highlight w:val="none"/>
          <w:lang w:eastAsia="zh-CN"/>
        </w:rPr>
        <w:t>（二）</w:t>
      </w:r>
      <w:r>
        <w:rPr>
          <w:rFonts w:hint="eastAsia" w:ascii="楷体" w:hAnsi="楷体" w:eastAsia="楷体" w:cs="楷体"/>
          <w:color w:val="auto"/>
          <w:highlight w:val="none"/>
        </w:rPr>
        <w:t>项目过程情况</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项目过程类指标包括资金管理和组织实施两方面的内容，由5个三级指标构成，权重分值为20分，实际得分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default" w:ascii="Times New Roman" w:hAnsi="Times New Roman" w:cs="Times New Roman"/>
          <w:color w:val="auto"/>
          <w:sz w:val="32"/>
          <w:szCs w:val="32"/>
          <w:highlight w:val="none"/>
          <w:lang w:val="en-US" w:eastAsia="zh-CN"/>
        </w:rPr>
        <w:t>1532.03</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default" w:ascii="Times New Roman" w:hAnsi="Times New Roman" w:cs="Times New Roman"/>
          <w:color w:val="auto"/>
          <w:sz w:val="32"/>
          <w:szCs w:val="32"/>
          <w:highlight w:val="none"/>
          <w:lang w:val="en-US" w:eastAsia="zh-CN"/>
        </w:rPr>
        <w:t>1532.03</w:t>
      </w:r>
      <w:r>
        <w:rPr>
          <w:rFonts w:hint="default" w:ascii="Times New Roman" w:hAnsi="Times New Roman" w:eastAsia="仿宋_GB2312" w:cs="Times New Roman"/>
          <w:color w:val="auto"/>
          <w:sz w:val="32"/>
          <w:szCs w:val="32"/>
          <w:highlight w:val="none"/>
          <w:lang w:val="en-US" w:eastAsia="zh-CN"/>
        </w:rPr>
        <w:t>万元，预算执行率为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2.组织实施</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pageBreakBefore w:val="0"/>
        <w:numPr>
          <w:ilvl w:val="0"/>
          <w:numId w:val="0"/>
        </w:numPr>
        <w:kinsoku/>
        <w:wordWrap/>
        <w:overflowPunct/>
        <w:topLinePunct w:val="0"/>
        <w:autoSpaceDE/>
        <w:autoSpaceDN/>
        <w:bidi w:val="0"/>
        <w:adjustRightInd/>
        <w:snapToGrid/>
        <w:spacing w:line="560" w:lineRule="exact"/>
        <w:ind w:leftChars="200"/>
        <w:rPr>
          <w:rFonts w:hint="eastAsia" w:ascii="Times New Roman" w:hAnsi="Times New Roman" w:eastAsia="楷体_GB2312" w:cs="Times New Roman"/>
          <w:b/>
          <w:bCs/>
          <w:color w:val="auto"/>
          <w:kern w:val="2"/>
          <w:sz w:val="32"/>
          <w:szCs w:val="32"/>
          <w:highlight w:val="none"/>
          <w:lang w:val="en-US" w:eastAsia="zh-CN" w:bidi="ar-SA"/>
        </w:rPr>
      </w:pPr>
      <w:bookmarkStart w:id="13" w:name="_Toc68703840"/>
      <w:r>
        <w:rPr>
          <w:rFonts w:hint="eastAsia" w:ascii="Times New Roman" w:hAnsi="Times New Roman" w:eastAsia="楷体_GB2312" w:cs="Times New Roman"/>
          <w:b/>
          <w:bCs/>
          <w:color w:val="auto"/>
          <w:kern w:val="2"/>
          <w:sz w:val="32"/>
          <w:szCs w:val="32"/>
          <w:highlight w:val="none"/>
          <w:lang w:val="en-US" w:eastAsia="zh-CN" w:bidi="ar-SA"/>
        </w:rPr>
        <w:t>（三）项目产出情况</w:t>
      </w:r>
      <w:bookmarkEnd w:id="13"/>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项目产出类指标包括产出数量、产出质量、产出时效、产出成本四方面的内容，由</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个三级指标构成，权重分为40分，实际得分</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指标1：支付征收补偿户数，指标值：=6户，实际完成值：6户，指标完成率100%。</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2：指标2：征收房屋面积，指标值：，&gt;=9821.83平方米，实际完成值：9821.83平方米，指标完成率100%。</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指标3：征收土地面积，指标值：≧13088.9平方米，实际完成值：≧13088.9平方米，指标完成率100%。</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 = 2 \* GB3 </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val="en-US" w:eastAsia="zh-CN"/>
        </w:rPr>
        <w:fldChar w:fldCharType="end"/>
      </w:r>
      <w:r>
        <w:rPr>
          <w:rFonts w:hint="eastAsia" w:ascii="仿宋_GB2312" w:hAnsi="仿宋_GB2312" w:eastAsia="仿宋_GB2312" w:cs="仿宋_GB2312"/>
          <w:color w:val="auto"/>
          <w:sz w:val="32"/>
          <w:szCs w:val="32"/>
          <w:highlight w:val="none"/>
          <w:lang w:val="en-US" w:eastAsia="zh-CN"/>
        </w:rPr>
        <w:t>质量指标：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指标1：资金支付合规性，指标值：=100%，实际完成值：100%，指标完成率100%。</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 = 3 \* GB3 </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val="en-US" w:eastAsia="zh-CN"/>
        </w:rPr>
        <w:fldChar w:fldCharType="end"/>
      </w:r>
      <w:r>
        <w:rPr>
          <w:rFonts w:hint="eastAsia" w:ascii="仿宋_GB2312" w:hAnsi="仿宋_GB2312" w:eastAsia="仿宋_GB2312" w:cs="仿宋_GB2312"/>
          <w:color w:val="auto"/>
          <w:sz w:val="32"/>
          <w:szCs w:val="32"/>
          <w:highlight w:val="none"/>
          <w:lang w:val="en-US" w:eastAsia="zh-CN"/>
        </w:rPr>
        <w:t>时效指标：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指标1：补偿款拨付及时率，指标值：≧95%，实际完成值：95%，指标完成率100%。</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14" w:name="_Toc68703841"/>
      <w:r>
        <w:rPr>
          <w:rFonts w:hint="eastAsia" w:ascii="Times New Roman" w:hAnsi="Times New Roman" w:eastAsia="楷体_GB2312" w:cs="Times New Roman"/>
          <w:b/>
          <w:bCs/>
          <w:color w:val="auto"/>
          <w:kern w:val="2"/>
          <w:sz w:val="32"/>
          <w:szCs w:val="32"/>
          <w:highlight w:val="none"/>
          <w:lang w:val="en-US" w:eastAsia="zh-CN" w:bidi="ar-SA"/>
        </w:rPr>
        <w:t>（四）项目效益情况</w:t>
      </w:r>
      <w:bookmarkEnd w:id="14"/>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项目效益类指标包括项目实施效益和满意度两方面的内容，由</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个三级指标构成，权重分为20分，实际得分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%。具体效益指标及满意度指标完成情况如下：</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1.实施效益</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社会效益指标：</w:t>
      </w:r>
      <w:r>
        <w:rPr>
          <w:rFonts w:hint="eastAsia"/>
          <w:color w:val="auto"/>
          <w:sz w:val="32"/>
          <w:szCs w:val="32"/>
          <w:highlight w:val="none"/>
        </w:rPr>
        <w:t>指标1：</w:t>
      </w:r>
      <w:r>
        <w:rPr>
          <w:rFonts w:hint="eastAsia" w:ascii="仿宋_GB2312" w:hAnsi="仿宋_GB2312" w:eastAsia="仿宋_GB2312" w:cs="仿宋_GB2312"/>
          <w:color w:val="auto"/>
          <w:sz w:val="32"/>
          <w:szCs w:val="32"/>
          <w:highlight w:val="none"/>
        </w:rPr>
        <w:t>改善</w:t>
      </w:r>
      <w:r>
        <w:rPr>
          <w:rFonts w:hint="eastAsia" w:ascii="仿宋_GB2312" w:hAnsi="仿宋_GB2312" w:cs="仿宋_GB2312"/>
          <w:color w:val="auto"/>
          <w:sz w:val="32"/>
          <w:szCs w:val="32"/>
          <w:highlight w:val="none"/>
          <w:lang w:eastAsia="zh-CN"/>
        </w:rPr>
        <w:t>城市面貌和人居环境</w:t>
      </w:r>
      <w:r>
        <w:rPr>
          <w:rFonts w:hint="eastAsia"/>
          <w:color w:val="auto"/>
          <w:sz w:val="32"/>
          <w:szCs w:val="32"/>
          <w:highlight w:val="none"/>
        </w:rPr>
        <w:t>，指标值：有效改善，实际完成值</w:t>
      </w:r>
      <w:r>
        <w:rPr>
          <w:rFonts w:hint="eastAsia"/>
          <w:color w:val="auto"/>
          <w:sz w:val="32"/>
          <w:szCs w:val="32"/>
          <w:highlight w:val="none"/>
          <w:lang w:eastAsia="zh-CN"/>
        </w:rPr>
        <w:t>：</w:t>
      </w:r>
      <w:r>
        <w:rPr>
          <w:rFonts w:hint="eastAsia"/>
          <w:color w:val="auto"/>
          <w:sz w:val="32"/>
          <w:szCs w:val="32"/>
          <w:highlight w:val="none"/>
        </w:rPr>
        <w:t>有效改善，指标完成率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满意度指标：</w:t>
      </w:r>
      <w:r>
        <w:rPr>
          <w:rFonts w:hint="eastAsia"/>
          <w:color w:val="auto"/>
          <w:sz w:val="32"/>
          <w:szCs w:val="32"/>
          <w:highlight w:val="none"/>
        </w:rPr>
        <w:t>指</w:t>
      </w:r>
      <w:r>
        <w:rPr>
          <w:rFonts w:hint="eastAsia" w:ascii="仿宋_GB2312" w:hAnsi="仿宋_GB2312" w:eastAsia="仿宋_GB2312" w:cs="仿宋_GB2312"/>
          <w:color w:val="auto"/>
          <w:sz w:val="32"/>
          <w:szCs w:val="32"/>
          <w:highlight w:val="none"/>
          <w:lang w:val="en-US" w:eastAsia="zh-CN"/>
        </w:rPr>
        <w:t>标1：征收对象满意度，指标值：&gt;=95%，实际完成值：95%，指标完成率100%。</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color w:val="auto"/>
          <w:sz w:val="32"/>
          <w:szCs w:val="32"/>
          <w:highlight w:val="none"/>
          <w:lang w:eastAsia="zh-Hans"/>
        </w:rPr>
      </w:pPr>
      <w:r>
        <w:rPr>
          <w:rFonts w:hint="eastAsia" w:ascii="Times New Roman" w:hAnsi="Times New Roman" w:eastAsia="黑体" w:cs="Times New Roman"/>
          <w:color w:val="auto"/>
          <w:sz w:val="32"/>
          <w:szCs w:val="32"/>
          <w:highlight w:val="none"/>
          <w:lang w:eastAsia="zh-Hans"/>
        </w:rPr>
        <w:t>五、预算执行进度与绩效指标总体完成率偏差</w:t>
      </w:r>
    </w:p>
    <w:p>
      <w:pPr>
        <w:pageBreakBefore w:val="0"/>
        <w:kinsoku/>
        <w:wordWrap/>
        <w:overflowPunct/>
        <w:topLinePunct w:val="0"/>
        <w:autoSpaceDE/>
        <w:autoSpaceDN/>
        <w:bidi w:val="0"/>
        <w:adjustRightInd/>
        <w:snapToGrid/>
        <w:spacing w:line="560" w:lineRule="exact"/>
        <w:ind w:left="0" w:leftChars="0" w:firstLine="640"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2023年霍尔果斯市</w:t>
      </w:r>
      <w:r>
        <w:rPr>
          <w:rFonts w:hint="default" w:ascii="Times New Roman" w:hAnsi="Times New Roman" w:cs="Times New Roman"/>
          <w:color w:val="auto"/>
          <w:sz w:val="32"/>
          <w:szCs w:val="32"/>
          <w:highlight w:val="none"/>
          <w:lang w:val="en-US" w:eastAsia="zh-CN"/>
        </w:rPr>
        <w:t>土地和房屋征收</w:t>
      </w:r>
      <w:r>
        <w:rPr>
          <w:rFonts w:hint="default" w:ascii="Times New Roman" w:hAnsi="Times New Roman" w:eastAsia="仿宋_GB2312" w:cs="Times New Roman"/>
          <w:color w:val="auto"/>
          <w:sz w:val="32"/>
          <w:szCs w:val="32"/>
          <w:highlight w:val="none"/>
        </w:rPr>
        <w:t>项目</w:t>
      </w:r>
      <w:r>
        <w:rPr>
          <w:rFonts w:hint="default" w:ascii="Times New Roman" w:hAnsi="Times New Roman" w:eastAsia="仿宋_GB2312" w:cs="Times New Roman"/>
          <w:color w:val="auto"/>
          <w:kern w:val="2"/>
          <w:sz w:val="32"/>
          <w:szCs w:val="32"/>
          <w:highlight w:val="none"/>
          <w:lang w:val="en-US" w:eastAsia="zh-CN" w:bidi="ar-SA"/>
        </w:rPr>
        <w:t>年初预算</w:t>
      </w:r>
      <w:r>
        <w:rPr>
          <w:rFonts w:hint="default" w:ascii="Times New Roman" w:hAnsi="Times New Roman" w:cs="Times New Roman"/>
          <w:color w:val="auto"/>
          <w:sz w:val="32"/>
          <w:szCs w:val="32"/>
          <w:highlight w:val="none"/>
          <w:lang w:val="en-US" w:eastAsia="zh-CN"/>
        </w:rPr>
        <w:t>1532.03</w:t>
      </w:r>
      <w:r>
        <w:rPr>
          <w:rFonts w:hint="default" w:ascii="Times New Roman" w:hAnsi="Times New Roman" w:eastAsia="仿宋_GB2312" w:cs="Times New Roman"/>
          <w:color w:val="auto"/>
          <w:kern w:val="2"/>
          <w:sz w:val="32"/>
          <w:szCs w:val="32"/>
          <w:highlight w:val="none"/>
          <w:lang w:val="en-US" w:eastAsia="zh-CN" w:bidi="ar-SA"/>
        </w:rPr>
        <w:t>万元，全年预算</w:t>
      </w:r>
      <w:r>
        <w:rPr>
          <w:rFonts w:hint="default" w:ascii="Times New Roman" w:hAnsi="Times New Roman" w:cs="Times New Roman"/>
          <w:color w:val="auto"/>
          <w:sz w:val="32"/>
          <w:szCs w:val="32"/>
          <w:highlight w:val="none"/>
          <w:lang w:val="en-US" w:eastAsia="zh-CN"/>
        </w:rPr>
        <w:t>1532.03</w:t>
      </w:r>
      <w:r>
        <w:rPr>
          <w:rFonts w:hint="default" w:ascii="Times New Roman" w:hAnsi="Times New Roman" w:eastAsia="仿宋_GB2312" w:cs="Times New Roman"/>
          <w:color w:val="auto"/>
          <w:kern w:val="2"/>
          <w:sz w:val="32"/>
          <w:szCs w:val="32"/>
          <w:highlight w:val="none"/>
          <w:lang w:val="en-US" w:eastAsia="zh-CN" w:bidi="ar-SA"/>
        </w:rPr>
        <w:t>万元，实际支出</w:t>
      </w:r>
      <w:r>
        <w:rPr>
          <w:rFonts w:hint="default" w:ascii="Times New Roman" w:hAnsi="Times New Roman" w:cs="Times New Roman"/>
          <w:color w:val="auto"/>
          <w:sz w:val="32"/>
          <w:szCs w:val="32"/>
          <w:highlight w:val="none"/>
          <w:lang w:val="en-US" w:eastAsia="zh-CN"/>
        </w:rPr>
        <w:t>1532.03</w:t>
      </w:r>
      <w:r>
        <w:rPr>
          <w:rFonts w:hint="default" w:ascii="Times New Roman" w:hAnsi="Times New Roman" w:eastAsia="仿宋_GB2312" w:cs="Times New Roman"/>
          <w:color w:val="auto"/>
          <w:kern w:val="2"/>
          <w:sz w:val="32"/>
          <w:szCs w:val="32"/>
          <w:highlight w:val="none"/>
          <w:lang w:val="en-US" w:eastAsia="zh-CN" w:bidi="ar-SA"/>
        </w:rPr>
        <w:t>万元，预算执</w:t>
      </w:r>
      <w:r>
        <w:rPr>
          <w:rFonts w:hint="default" w:ascii="Times New Roman" w:hAnsi="Times New Roman" w:eastAsia="仿宋_GB2312" w:cs="Times New Roman"/>
          <w:color w:val="auto"/>
          <w:w w:val="90"/>
          <w:kern w:val="2"/>
          <w:sz w:val="32"/>
          <w:szCs w:val="32"/>
          <w:highlight w:val="none"/>
          <w:lang w:val="en-US" w:eastAsia="zh-CN" w:bidi="ar-SA"/>
        </w:rPr>
        <w:t>行率为</w:t>
      </w:r>
      <w:r>
        <w:rPr>
          <w:rFonts w:hint="default" w:ascii="Times New Roman" w:hAnsi="Times New Roman" w:cs="Times New Roman"/>
          <w:color w:val="auto"/>
          <w:w w:val="90"/>
          <w:kern w:val="2"/>
          <w:sz w:val="32"/>
          <w:szCs w:val="32"/>
          <w:highlight w:val="none"/>
          <w:lang w:val="en-US" w:eastAsia="zh-CN" w:bidi="ar-SA"/>
        </w:rPr>
        <w:t>100</w:t>
      </w:r>
      <w:r>
        <w:rPr>
          <w:rFonts w:hint="default" w:ascii="Times New Roman" w:hAnsi="Times New Roman" w:eastAsia="仿宋_GB2312" w:cs="Times New Roman"/>
          <w:color w:val="auto"/>
          <w:w w:val="90"/>
          <w:kern w:val="2"/>
          <w:sz w:val="32"/>
          <w:szCs w:val="32"/>
          <w:highlight w:val="none"/>
          <w:lang w:val="en-US" w:eastAsia="zh-CN" w:bidi="ar-SA"/>
        </w:rPr>
        <w:t>%，项目绩效指标总体完成率为</w:t>
      </w:r>
      <w:r>
        <w:rPr>
          <w:rFonts w:hint="default" w:ascii="Times New Roman" w:hAnsi="Times New Roman" w:cs="Times New Roman"/>
          <w:color w:val="auto"/>
          <w:w w:val="90"/>
          <w:kern w:val="2"/>
          <w:sz w:val="32"/>
          <w:szCs w:val="32"/>
          <w:highlight w:val="none"/>
          <w:lang w:val="en-US" w:eastAsia="zh-CN" w:bidi="ar-SA"/>
        </w:rPr>
        <w:t>100</w:t>
      </w:r>
      <w:r>
        <w:rPr>
          <w:rFonts w:hint="default" w:ascii="Times New Roman" w:hAnsi="Times New Roman" w:eastAsia="仿宋_GB2312" w:cs="Times New Roman"/>
          <w:color w:val="auto"/>
          <w:w w:val="90"/>
          <w:kern w:val="2"/>
          <w:sz w:val="32"/>
          <w:szCs w:val="32"/>
          <w:highlight w:val="none"/>
          <w:lang w:val="en-US" w:eastAsia="zh-CN" w:bidi="ar-SA"/>
        </w:rPr>
        <w:t>%，</w:t>
      </w:r>
      <w:r>
        <w:rPr>
          <w:rFonts w:hint="default" w:ascii="Times New Roman" w:hAnsi="Times New Roman" w:eastAsia="仿宋_GB2312" w:cs="Times New Roman"/>
          <w:color w:val="auto"/>
          <w:w w:val="90"/>
          <w:kern w:val="2"/>
          <w:sz w:val="32"/>
          <w:szCs w:val="32"/>
          <w:highlight w:val="none"/>
          <w:lang w:val="en-US" w:eastAsia="zh-Hans" w:bidi="ar-SA"/>
        </w:rPr>
        <w:t>总体</w:t>
      </w:r>
      <w:r>
        <w:rPr>
          <w:rFonts w:hint="default" w:ascii="Times New Roman" w:hAnsi="Times New Roman" w:eastAsia="仿宋_GB2312" w:cs="Times New Roman"/>
          <w:color w:val="auto"/>
          <w:w w:val="90"/>
          <w:kern w:val="2"/>
          <w:sz w:val="32"/>
          <w:szCs w:val="32"/>
          <w:highlight w:val="none"/>
          <w:lang w:val="en-US" w:eastAsia="zh-CN" w:bidi="ar-SA"/>
        </w:rPr>
        <w:t>偏差率为</w:t>
      </w:r>
      <w:r>
        <w:rPr>
          <w:rFonts w:hint="default" w:ascii="Times New Roman" w:hAnsi="Times New Roman" w:cs="Times New Roman"/>
          <w:color w:val="auto"/>
          <w:w w:val="90"/>
          <w:kern w:val="2"/>
          <w:sz w:val="32"/>
          <w:szCs w:val="32"/>
          <w:highlight w:val="none"/>
          <w:lang w:val="en-US" w:eastAsia="zh-CN" w:bidi="ar-SA"/>
        </w:rPr>
        <w:t>0</w:t>
      </w:r>
      <w:r>
        <w:rPr>
          <w:rFonts w:hint="default" w:ascii="Times New Roman" w:hAnsi="Times New Roman" w:eastAsia="仿宋_GB2312" w:cs="Times New Roman"/>
          <w:color w:val="auto"/>
          <w:w w:val="90"/>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bCs/>
          <w:color w:val="auto"/>
          <w:sz w:val="32"/>
          <w:szCs w:val="32"/>
          <w:highlight w:val="none"/>
          <w:lang w:val="en-US" w:eastAsia="zh-CN"/>
        </w:rPr>
      </w:pPr>
      <w:bookmarkStart w:id="15" w:name="_Toc68703842"/>
      <w:r>
        <w:rPr>
          <w:rFonts w:hint="eastAsia" w:eastAsia="黑体" w:cs="Times New Roman"/>
          <w:bCs/>
          <w:color w:val="auto"/>
          <w:sz w:val="32"/>
          <w:szCs w:val="32"/>
          <w:highlight w:val="none"/>
          <w:lang w:val="en-US" w:eastAsia="zh-CN"/>
        </w:rPr>
        <w:t>六</w:t>
      </w:r>
      <w:r>
        <w:rPr>
          <w:rFonts w:hint="eastAsia" w:ascii="Times New Roman" w:hAnsi="Times New Roman" w:eastAsia="黑体" w:cs="Times New Roman"/>
          <w:bCs/>
          <w:color w:val="auto"/>
          <w:sz w:val="32"/>
          <w:szCs w:val="32"/>
          <w:highlight w:val="none"/>
          <w:lang w:val="en-US" w:eastAsia="zh-CN"/>
        </w:rPr>
        <w:t>、主要经验及做法、存在的问题及原因分析</w:t>
      </w:r>
      <w:bookmarkEnd w:id="15"/>
    </w:p>
    <w:p>
      <w:pPr>
        <w:pageBreakBefore w:val="0"/>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color w:val="auto"/>
          <w:kern w:val="2"/>
          <w:sz w:val="32"/>
          <w:szCs w:val="32"/>
          <w:highlight w:val="none"/>
          <w:lang w:val="en-US" w:eastAsia="zh-CN" w:bidi="ar-SA"/>
        </w:rPr>
      </w:pPr>
      <w:bookmarkStart w:id="16" w:name="_Toc68703843"/>
      <w:r>
        <w:rPr>
          <w:rFonts w:hint="eastAsia" w:ascii="Times New Roman" w:hAnsi="Times New Roman" w:eastAsia="楷体_GB2312" w:cs="Times New Roman"/>
          <w:b/>
          <w:bCs/>
          <w:color w:val="auto"/>
          <w:kern w:val="2"/>
          <w:sz w:val="32"/>
          <w:szCs w:val="32"/>
          <w:highlight w:val="none"/>
          <w:lang w:val="en-US" w:eastAsia="zh-CN" w:bidi="ar-SA"/>
        </w:rPr>
        <w:t>（一）主要经验及做法</w:t>
      </w:r>
      <w:bookmarkEnd w:id="16"/>
    </w:p>
    <w:p>
      <w:pPr>
        <w:pageBreakBefore w:val="0"/>
        <w:kinsoku/>
        <w:wordWrap/>
        <w:overflowPunct/>
        <w:topLinePunct w:val="0"/>
        <w:autoSpaceDE/>
        <w:autoSpaceDN/>
        <w:bidi w:val="0"/>
        <w:adjustRightInd/>
        <w:snapToGrid/>
        <w:spacing w:line="560" w:lineRule="exact"/>
        <w:ind w:left="0" w:leftChars="0" w:firstLine="640" w:firstLineChars="200"/>
        <w:rPr>
          <w:rFonts w:eastAsia="仿宋_GB2312"/>
          <w:color w:val="auto"/>
          <w:sz w:val="32"/>
          <w:szCs w:val="32"/>
          <w:highlight w:val="none"/>
        </w:rPr>
      </w:pPr>
      <w:r>
        <w:rPr>
          <w:rFonts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4"/>
        <w:pageBreakBefore w:val="0"/>
        <w:widowControl w:val="0"/>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17" w:name="_Toc68703844"/>
      <w:r>
        <w:rPr>
          <w:rFonts w:hint="eastAsia" w:ascii="Times New Roman" w:hAnsi="Times New Roman" w:eastAsia="楷体_GB2312" w:cs="Times New Roman"/>
          <w:b/>
          <w:bCs/>
          <w:color w:val="auto"/>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color w:val="auto"/>
          <w:kern w:val="2"/>
          <w:sz w:val="32"/>
          <w:szCs w:val="32"/>
          <w:highlight w:val="none"/>
          <w:lang w:val="en-US" w:eastAsia="zh-CN" w:bidi="ar-SA"/>
        </w:rPr>
        <w:t>　</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bookmarkStart w:id="18" w:name="_Toc68703845"/>
      <w:r>
        <w:rPr>
          <w:rFonts w:hint="eastAsia" w:eastAsia="黑体" w:cs="Times New Roman"/>
          <w:b w:val="0"/>
          <w:bCs/>
          <w:color w:val="auto"/>
          <w:kern w:val="2"/>
          <w:sz w:val="32"/>
          <w:szCs w:val="32"/>
          <w:highlight w:val="none"/>
          <w:lang w:val="en-US" w:eastAsia="zh-CN" w:bidi="ar-SA"/>
        </w:rPr>
        <w:t>七、</w:t>
      </w:r>
      <w:r>
        <w:rPr>
          <w:rFonts w:hint="eastAsia" w:ascii="Times New Roman" w:hAnsi="Times New Roman" w:eastAsia="黑体" w:cs="Times New Roman"/>
          <w:b w:val="0"/>
          <w:bCs/>
          <w:color w:val="auto"/>
          <w:kern w:val="2"/>
          <w:sz w:val="32"/>
          <w:szCs w:val="32"/>
          <w:highlight w:val="none"/>
          <w:lang w:val="en-US" w:eastAsia="zh-CN" w:bidi="ar-SA"/>
        </w:rPr>
        <w:t>有关建议</w:t>
      </w:r>
      <w:bookmarkEnd w:id="18"/>
      <w:r>
        <w:rPr>
          <w:rFonts w:hint="eastAsia" w:ascii="Times New Roman" w:hAnsi="Times New Roman" w:eastAsia="黑体" w:cs="Times New Roman"/>
          <w:b w:val="0"/>
          <w:bCs/>
          <w:color w:val="auto"/>
          <w:kern w:val="2"/>
          <w:sz w:val="32"/>
          <w:szCs w:val="32"/>
          <w:highlight w:val="none"/>
          <w:lang w:val="en-US" w:eastAsia="zh-CN" w:bidi="ar-SA"/>
        </w:rPr>
        <w:t>　</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color w:val="auto"/>
          <w:highlight w:val="none"/>
        </w:rPr>
      </w:pP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before="0" w:after="0" w:line="560" w:lineRule="exact"/>
        <w:ind w:left="0" w:leftChars="0" w:firstLine="643" w:firstLineChars="200"/>
        <w:textAlignment w:val="auto"/>
        <w:rPr>
          <w:rFonts w:ascii="宋体" w:hAnsi="宋体" w:eastAsia="宋体"/>
          <w:color w:val="auto"/>
          <w:sz w:val="32"/>
          <w:szCs w:val="32"/>
          <w:highlight w:val="none"/>
        </w:rPr>
      </w:pPr>
      <w:bookmarkStart w:id="19" w:name="_Toc68703846"/>
      <w:r>
        <w:rPr>
          <w:rFonts w:hint="eastAsia" w:ascii="宋体" w:hAnsi="宋体" w:eastAsia="宋体"/>
          <w:color w:val="auto"/>
          <w:sz w:val="32"/>
          <w:szCs w:val="32"/>
          <w:highlight w:val="none"/>
          <w:lang w:eastAsia="zh-CN"/>
        </w:rPr>
        <w:t>八、</w:t>
      </w:r>
      <w:r>
        <w:rPr>
          <w:rFonts w:hint="eastAsia" w:ascii="宋体" w:hAnsi="宋体" w:eastAsia="宋体"/>
          <w:color w:val="auto"/>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ascii="仿宋_GB2312" w:hAnsi="仿宋_GB2312" w:eastAsia="仿宋_GB2312" w:cs="仿宋_GB2312"/>
          <w:color w:val="auto"/>
          <w:sz w:val="32"/>
          <w:szCs w:val="32"/>
          <w:highlight w:val="none"/>
          <w:lang w:eastAsia="zh-Hans"/>
        </w:rPr>
        <w:t>本项目无其他需说明的问题</w:t>
      </w:r>
      <w:r>
        <w:rPr>
          <w:rFonts w:hint="eastAsia" w:ascii="仿宋_GB2312" w:hAnsi="仿宋_GB2312" w:cs="仿宋_GB2312"/>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left="0" w:leftChars="0" w:firstLine="600" w:firstLineChars="200"/>
        <w:rPr>
          <w:color w:val="auto"/>
          <w:highlight w:val="none"/>
        </w:rPr>
      </w:pPr>
    </w:p>
    <w:p>
      <w:pPr>
        <w:pStyle w:val="13"/>
        <w:pageBreakBefore w:val="0"/>
        <w:kinsoku/>
        <w:wordWrap/>
        <w:overflowPunct/>
        <w:topLinePunct w:val="0"/>
        <w:autoSpaceDE/>
        <w:autoSpaceDN/>
        <w:bidi w:val="0"/>
        <w:adjustRightInd/>
        <w:snapToGrid/>
        <w:spacing w:before="0" w:after="0" w:line="560" w:lineRule="exact"/>
        <w:ind w:left="0" w:leftChars="0" w:firstLine="640" w:firstLineChars="200"/>
        <w:rPr>
          <w:color w:val="auto"/>
          <w:highlight w:val="none"/>
        </w:rPr>
      </w:pPr>
    </w:p>
    <w:p>
      <w:pPr>
        <w:pageBreakBefore w:val="0"/>
        <w:kinsoku/>
        <w:wordWrap/>
        <w:overflowPunct/>
        <w:topLinePunct w:val="0"/>
        <w:autoSpaceDE/>
        <w:autoSpaceDN/>
        <w:bidi w:val="0"/>
        <w:adjustRightInd/>
        <w:snapToGrid/>
        <w:spacing w:line="560" w:lineRule="exact"/>
        <w:ind w:left="0" w:leftChars="0" w:firstLine="600" w:firstLineChars="200"/>
        <w:rPr>
          <w:color w:val="auto"/>
          <w:highlight w:val="none"/>
        </w:rPr>
      </w:pPr>
    </w:p>
    <w:p>
      <w:pPr>
        <w:pageBreakBefore w:val="0"/>
        <w:kinsoku/>
        <w:wordWrap/>
        <w:overflowPunct/>
        <w:topLinePunct w:val="0"/>
        <w:autoSpaceDE/>
        <w:autoSpaceDN/>
        <w:bidi w:val="0"/>
        <w:adjustRightInd/>
        <w:snapToGrid/>
        <w:spacing w:line="560" w:lineRule="exact"/>
        <w:ind w:left="0" w:leftChars="0" w:firstLine="600" w:firstLineChars="200"/>
        <w:rPr>
          <w:color w:val="auto"/>
          <w:highlight w:val="none"/>
        </w:rPr>
      </w:pPr>
    </w:p>
    <w:p>
      <w:pPr>
        <w:pStyle w:val="13"/>
        <w:pageBreakBefore w:val="0"/>
        <w:kinsoku/>
        <w:wordWrap/>
        <w:overflowPunct/>
        <w:topLinePunct w:val="0"/>
        <w:autoSpaceDE/>
        <w:autoSpaceDN/>
        <w:bidi w:val="0"/>
        <w:adjustRightInd/>
        <w:snapToGrid/>
        <w:spacing w:before="0" w:after="0" w:line="560" w:lineRule="exact"/>
        <w:ind w:left="0" w:leftChars="0" w:firstLine="640" w:firstLineChars="200"/>
        <w:jc w:val="both"/>
        <w:rPr>
          <w:color w:val="auto"/>
          <w:highlight w:val="none"/>
        </w:rPr>
      </w:pPr>
    </w:p>
    <w:tbl>
      <w:tblPr>
        <w:tblStyle w:val="15"/>
        <w:tblW w:w="8834" w:type="dxa"/>
        <w:jc w:val="center"/>
        <w:tblInd w:w="0" w:type="dxa"/>
        <w:tblLayout w:type="fixed"/>
        <w:tblCellMar>
          <w:top w:w="0" w:type="dxa"/>
          <w:left w:w="0" w:type="dxa"/>
          <w:bottom w:w="0" w:type="dxa"/>
          <w:right w:w="0" w:type="dxa"/>
        </w:tblCellMar>
      </w:tblPr>
      <w:tblGrid>
        <w:gridCol w:w="695"/>
        <w:gridCol w:w="545"/>
        <w:gridCol w:w="1113"/>
        <w:gridCol w:w="427"/>
        <w:gridCol w:w="747"/>
        <w:gridCol w:w="304"/>
        <w:gridCol w:w="880"/>
        <w:gridCol w:w="1200"/>
        <w:gridCol w:w="306"/>
        <w:gridCol w:w="501"/>
        <w:gridCol w:w="570"/>
        <w:gridCol w:w="301"/>
        <w:gridCol w:w="549"/>
        <w:gridCol w:w="696"/>
      </w:tblGrid>
      <w:tr>
        <w:tblPrEx>
          <w:tblLayout w:type="fixed"/>
          <w:tblCellMar>
            <w:top w:w="0" w:type="dxa"/>
            <w:left w:w="0" w:type="dxa"/>
            <w:bottom w:w="0" w:type="dxa"/>
            <w:right w:w="0" w:type="dxa"/>
          </w:tblCellMar>
        </w:tblPrEx>
        <w:trPr>
          <w:trHeight w:val="531" w:hRule="atLeast"/>
          <w:jc w:val="center"/>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643" w:firstLineChars="200"/>
              <w:jc w:val="center"/>
              <w:textAlignment w:val="center"/>
              <w:rPr>
                <w:rFonts w:eastAsia="方正小标宋简体"/>
                <w:b/>
                <w:color w:val="auto"/>
                <w:sz w:val="32"/>
                <w:szCs w:val="32"/>
                <w:highlight w:val="none"/>
                <w:u w:val="single"/>
              </w:rPr>
            </w:pPr>
            <w:r>
              <w:rPr>
                <w:rFonts w:hint="eastAsia" w:ascii="宋体" w:hAnsi="宋体" w:eastAsia="宋体" w:cs="宋体"/>
                <w:b/>
                <w:i w:val="0"/>
                <w:color w:val="auto"/>
                <w:kern w:val="0"/>
                <w:sz w:val="32"/>
                <w:szCs w:val="32"/>
                <w:highlight w:val="none"/>
                <w:u w:val="none"/>
                <w:lang w:val="en-US" w:eastAsia="zh-CN" w:bidi="ar"/>
              </w:rPr>
              <w:t>项目支出绩效自评表</w:t>
            </w:r>
          </w:p>
        </w:tc>
      </w:tr>
      <w:tr>
        <w:tblPrEx>
          <w:tblLayout w:type="fixed"/>
          <w:tblCellMar>
            <w:top w:w="0" w:type="dxa"/>
            <w:left w:w="0" w:type="dxa"/>
            <w:bottom w:w="0" w:type="dxa"/>
            <w:right w:w="0" w:type="dxa"/>
          </w:tblCellMar>
        </w:tblPrEx>
        <w:trPr>
          <w:trHeight w:val="250" w:hRule="atLeast"/>
          <w:jc w:val="center"/>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(2023年度)</w:t>
            </w:r>
          </w:p>
        </w:tc>
      </w:tr>
      <w:tr>
        <w:tblPrEx>
          <w:tblLayout w:type="fixed"/>
          <w:tblCellMar>
            <w:top w:w="0" w:type="dxa"/>
            <w:left w:w="0" w:type="dxa"/>
            <w:bottom w:w="0" w:type="dxa"/>
            <w:right w:w="0" w:type="dxa"/>
          </w:tblCellMar>
        </w:tblPrEx>
        <w:trPr>
          <w:trHeight w:val="375" w:hRule="atLeast"/>
          <w:jc w:val="center"/>
        </w:trPr>
        <w:tc>
          <w:tcPr>
            <w:tcW w:w="12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项目名称</w:t>
            </w:r>
          </w:p>
        </w:tc>
        <w:tc>
          <w:tcPr>
            <w:tcW w:w="7594"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r>
              <w:rPr>
                <w:rFonts w:hint="eastAsia" w:ascii="Times New Roman" w:hAnsi="Times New Roman" w:eastAsia="宋体" w:cs="Times New Roman"/>
                <w:color w:val="auto"/>
                <w:kern w:val="0"/>
                <w:sz w:val="15"/>
                <w:szCs w:val="15"/>
                <w:highlight w:val="none"/>
                <w:lang w:bidi="ar"/>
              </w:rPr>
              <w:t>2023年霍尔果斯市</w:t>
            </w:r>
            <w:r>
              <w:rPr>
                <w:rFonts w:hint="eastAsia" w:eastAsia="宋体" w:cs="Times New Roman"/>
                <w:color w:val="auto"/>
                <w:kern w:val="0"/>
                <w:sz w:val="15"/>
                <w:szCs w:val="15"/>
                <w:highlight w:val="none"/>
                <w:lang w:val="en-US" w:eastAsia="zh-CN" w:bidi="ar"/>
              </w:rPr>
              <w:t>征收</w:t>
            </w:r>
            <w:r>
              <w:rPr>
                <w:rFonts w:hint="eastAsia" w:ascii="Times New Roman" w:hAnsi="Times New Roman" w:eastAsia="宋体" w:cs="Times New Roman"/>
                <w:color w:val="auto"/>
                <w:kern w:val="0"/>
                <w:sz w:val="15"/>
                <w:szCs w:val="15"/>
                <w:highlight w:val="none"/>
                <w:lang w:bidi="ar"/>
              </w:rPr>
              <w:t>项目</w:t>
            </w:r>
          </w:p>
        </w:tc>
      </w:tr>
      <w:tr>
        <w:tblPrEx>
          <w:tblLayout w:type="fixed"/>
          <w:tblCellMar>
            <w:top w:w="0" w:type="dxa"/>
            <w:left w:w="0" w:type="dxa"/>
            <w:bottom w:w="0" w:type="dxa"/>
            <w:right w:w="0" w:type="dxa"/>
          </w:tblCellMar>
        </w:tblPrEx>
        <w:trPr>
          <w:trHeight w:val="249" w:hRule="atLeast"/>
          <w:jc w:val="center"/>
        </w:trPr>
        <w:tc>
          <w:tcPr>
            <w:tcW w:w="12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主管部门</w:t>
            </w:r>
          </w:p>
        </w:tc>
        <w:tc>
          <w:tcPr>
            <w:tcW w:w="3471"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霍尔果斯市城市管理局</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r>
              <w:rPr>
                <w:rFonts w:hint="eastAsia" w:eastAsia="宋体" w:cs="Times New Roman"/>
                <w:color w:val="auto"/>
                <w:kern w:val="0"/>
                <w:sz w:val="15"/>
                <w:szCs w:val="15"/>
                <w:highlight w:val="none"/>
                <w:lang w:val="en-US" w:eastAsia="zh-CN" w:bidi="ar"/>
              </w:rPr>
              <w:t>霍尔果斯市城市管理局</w:t>
            </w:r>
          </w:p>
        </w:tc>
      </w:tr>
      <w:tr>
        <w:tblPrEx>
          <w:tblLayout w:type="fixed"/>
          <w:tblCellMar>
            <w:top w:w="0" w:type="dxa"/>
            <w:left w:w="0" w:type="dxa"/>
            <w:bottom w:w="0" w:type="dxa"/>
            <w:right w:w="0" w:type="dxa"/>
          </w:tblCellMar>
        </w:tblPrEx>
        <w:trPr>
          <w:trHeight w:val="497" w:hRule="atLeast"/>
          <w:jc w:val="center"/>
        </w:trPr>
        <w:tc>
          <w:tcPr>
            <w:tcW w:w="12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项目资金</w:t>
            </w:r>
            <w:r>
              <w:rPr>
                <w:rFonts w:hint="eastAsia" w:ascii="宋体" w:hAnsi="宋体" w:eastAsia="宋体" w:cs="宋体"/>
                <w:i w:val="0"/>
                <w:color w:val="auto"/>
                <w:kern w:val="0"/>
                <w:sz w:val="15"/>
                <w:szCs w:val="15"/>
                <w:highlight w:val="none"/>
                <w:u w:val="none"/>
                <w:lang w:val="en-US" w:eastAsia="zh-CN" w:bidi="ar"/>
              </w:rPr>
              <w:br w:type="textWrapping"/>
            </w:r>
            <w:r>
              <w:rPr>
                <w:rFonts w:hint="eastAsia" w:ascii="宋体" w:hAnsi="宋体" w:eastAsia="宋体" w:cs="宋体"/>
                <w:i w:val="0"/>
                <w:color w:val="auto"/>
                <w:kern w:val="0"/>
                <w:sz w:val="15"/>
                <w:szCs w:val="15"/>
                <w:highlight w:val="none"/>
                <w:u w:val="none"/>
                <w:lang w:val="en-US" w:eastAsia="zh-CN" w:bidi="ar"/>
              </w:rPr>
              <w:t>（万元）</w:t>
            </w:r>
          </w:p>
        </w:tc>
        <w:tc>
          <w:tcPr>
            <w:tcW w:w="15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年初预算数</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全年预算数</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得分</w:t>
            </w:r>
          </w:p>
        </w:tc>
      </w:tr>
      <w:tr>
        <w:tblPrEx>
          <w:tblLayout w:type="fixed"/>
          <w:tblCellMar>
            <w:top w:w="0" w:type="dxa"/>
            <w:left w:w="0" w:type="dxa"/>
            <w:bottom w:w="0" w:type="dxa"/>
            <w:right w:w="0" w:type="dxa"/>
          </w:tblCellMar>
        </w:tblPrEx>
        <w:trPr>
          <w:trHeight w:val="394" w:hRule="atLeast"/>
          <w:jc w:val="center"/>
        </w:trPr>
        <w:tc>
          <w:tcPr>
            <w:tcW w:w="12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5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年度资金总额</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hint="default" w:ascii="Times New Roman" w:hAnsi="Times New Roman" w:eastAsia="宋体" w:cs="Times New Roman"/>
                <w:color w:val="auto"/>
                <w:kern w:val="0"/>
                <w:sz w:val="15"/>
                <w:szCs w:val="15"/>
                <w:highlight w:val="none"/>
                <w:lang w:val="en-US" w:bidi="ar"/>
              </w:rPr>
            </w:pPr>
            <w:r>
              <w:rPr>
                <w:rFonts w:hint="eastAsia" w:ascii="宋体" w:hAnsi="宋体" w:eastAsia="宋体" w:cs="宋体"/>
                <w:i w:val="0"/>
                <w:color w:val="auto"/>
                <w:kern w:val="0"/>
                <w:sz w:val="15"/>
                <w:szCs w:val="15"/>
                <w:highlight w:val="none"/>
                <w:u w:val="none"/>
                <w:lang w:val="en-US" w:eastAsia="zh-CN" w:bidi="ar"/>
              </w:rPr>
              <w:t>1532.03</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hint="default"/>
                <w:color w:val="auto"/>
                <w:sz w:val="15"/>
                <w:szCs w:val="15"/>
                <w:highlight w:val="none"/>
                <w:lang w:val="en-US"/>
              </w:rPr>
            </w:pPr>
            <w:r>
              <w:rPr>
                <w:rFonts w:hint="eastAsia" w:ascii="宋体" w:hAnsi="宋体" w:eastAsia="宋体" w:cs="宋体"/>
                <w:i w:val="0"/>
                <w:color w:val="auto"/>
                <w:kern w:val="0"/>
                <w:sz w:val="15"/>
                <w:szCs w:val="15"/>
                <w:highlight w:val="none"/>
                <w:u w:val="none"/>
                <w:lang w:val="en-US" w:eastAsia="zh-CN" w:bidi="ar"/>
              </w:rPr>
              <w:t>1532.03</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hint="default" w:ascii="Times New Roman" w:hAnsi="Times New Roman" w:eastAsia="宋体" w:cs="Times New Roman"/>
                <w:color w:val="auto"/>
                <w:kern w:val="0"/>
                <w:sz w:val="15"/>
                <w:szCs w:val="15"/>
                <w:highlight w:val="none"/>
                <w:lang w:val="en-US" w:bidi="ar"/>
              </w:rPr>
            </w:pPr>
            <w:r>
              <w:rPr>
                <w:rFonts w:hint="eastAsia" w:ascii="宋体" w:hAnsi="宋体" w:eastAsia="宋体" w:cs="宋体"/>
                <w:i w:val="0"/>
                <w:color w:val="auto"/>
                <w:kern w:val="0"/>
                <w:sz w:val="15"/>
                <w:szCs w:val="15"/>
                <w:highlight w:val="none"/>
                <w:u w:val="none"/>
                <w:lang w:val="en-US" w:eastAsia="zh-CN" w:bidi="ar"/>
              </w:rPr>
              <w:t>1532.03</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10.00</w:t>
            </w:r>
          </w:p>
        </w:tc>
      </w:tr>
      <w:tr>
        <w:tblPrEx>
          <w:tblLayout w:type="fixed"/>
          <w:tblCellMar>
            <w:top w:w="0" w:type="dxa"/>
            <w:left w:w="0" w:type="dxa"/>
            <w:bottom w:w="0" w:type="dxa"/>
            <w:right w:w="0" w:type="dxa"/>
          </w:tblCellMar>
        </w:tblPrEx>
        <w:trPr>
          <w:trHeight w:val="540" w:hRule="atLeast"/>
          <w:jc w:val="center"/>
        </w:trPr>
        <w:tc>
          <w:tcPr>
            <w:tcW w:w="12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5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其中：当年财政拨款</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1532.03</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hint="default"/>
                <w:color w:val="auto"/>
                <w:sz w:val="15"/>
                <w:szCs w:val="15"/>
                <w:highlight w:val="none"/>
                <w:lang w:val="en-US"/>
              </w:rPr>
            </w:pPr>
            <w:r>
              <w:rPr>
                <w:rFonts w:hint="eastAsia" w:ascii="宋体" w:hAnsi="宋体" w:eastAsia="宋体" w:cs="宋体"/>
                <w:i w:val="0"/>
                <w:color w:val="auto"/>
                <w:kern w:val="0"/>
                <w:sz w:val="15"/>
                <w:szCs w:val="15"/>
                <w:highlight w:val="none"/>
                <w:u w:val="none"/>
                <w:lang w:val="en-US" w:eastAsia="zh-CN" w:bidi="ar"/>
              </w:rPr>
              <w:t>1532.03</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hint="default" w:ascii="Times New Roman" w:hAnsi="Times New Roman" w:eastAsia="宋体" w:cs="Times New Roman"/>
                <w:color w:val="auto"/>
                <w:kern w:val="0"/>
                <w:sz w:val="15"/>
                <w:szCs w:val="15"/>
                <w:highlight w:val="none"/>
                <w:lang w:val="en-US" w:bidi="ar"/>
              </w:rPr>
            </w:pPr>
            <w:r>
              <w:rPr>
                <w:rFonts w:hint="eastAsia" w:ascii="宋体" w:hAnsi="宋体" w:eastAsia="宋体" w:cs="宋体"/>
                <w:i w:val="0"/>
                <w:color w:val="auto"/>
                <w:kern w:val="0"/>
                <w:sz w:val="15"/>
                <w:szCs w:val="15"/>
                <w:highlight w:val="none"/>
                <w:u w:val="none"/>
                <w:lang w:val="en-US" w:eastAsia="zh-CN" w:bidi="ar"/>
              </w:rPr>
              <w:t>1532.03</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w:t>
            </w:r>
          </w:p>
        </w:tc>
      </w:tr>
      <w:tr>
        <w:tblPrEx>
          <w:tblLayout w:type="fixed"/>
          <w:tblCellMar>
            <w:top w:w="0" w:type="dxa"/>
            <w:left w:w="0" w:type="dxa"/>
            <w:bottom w:w="0" w:type="dxa"/>
            <w:right w:w="0" w:type="dxa"/>
          </w:tblCellMar>
        </w:tblPrEx>
        <w:trPr>
          <w:trHeight w:val="276" w:hRule="atLeast"/>
          <w:jc w:val="center"/>
        </w:trPr>
        <w:tc>
          <w:tcPr>
            <w:tcW w:w="12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5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上年结转资金</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0</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0</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w:t>
            </w:r>
          </w:p>
        </w:tc>
      </w:tr>
      <w:tr>
        <w:tblPrEx>
          <w:tblLayout w:type="fixed"/>
          <w:tblCellMar>
            <w:top w:w="0" w:type="dxa"/>
            <w:left w:w="0" w:type="dxa"/>
            <w:bottom w:w="0" w:type="dxa"/>
            <w:right w:w="0" w:type="dxa"/>
          </w:tblCellMar>
        </w:tblPrEx>
        <w:trPr>
          <w:trHeight w:val="276" w:hRule="atLeast"/>
          <w:jc w:val="center"/>
        </w:trPr>
        <w:tc>
          <w:tcPr>
            <w:tcW w:w="12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5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其他资金</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0</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0</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w:t>
            </w:r>
          </w:p>
        </w:tc>
      </w:tr>
      <w:tr>
        <w:tblPrEx>
          <w:tblLayout w:type="fixed"/>
          <w:tblCellMar>
            <w:top w:w="0" w:type="dxa"/>
            <w:left w:w="0" w:type="dxa"/>
            <w:bottom w:w="0" w:type="dxa"/>
            <w:right w:w="0" w:type="dxa"/>
          </w:tblCellMar>
        </w:tblPrEx>
        <w:trPr>
          <w:trHeight w:val="276" w:hRule="atLeast"/>
          <w:jc w:val="center"/>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年度总体目标</w:t>
            </w:r>
          </w:p>
        </w:tc>
        <w:tc>
          <w:tcPr>
            <w:tcW w:w="401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预期目标</w:t>
            </w:r>
          </w:p>
        </w:tc>
        <w:tc>
          <w:tcPr>
            <w:tcW w:w="412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实际完成情况</w:t>
            </w:r>
          </w:p>
        </w:tc>
      </w:tr>
      <w:tr>
        <w:tblPrEx>
          <w:tblLayout w:type="fixed"/>
          <w:tblCellMar>
            <w:top w:w="0" w:type="dxa"/>
            <w:left w:w="0" w:type="dxa"/>
            <w:bottom w:w="0" w:type="dxa"/>
            <w:right w:w="0" w:type="dxa"/>
          </w:tblCellMar>
        </w:tblPrEx>
        <w:trPr>
          <w:trHeight w:val="720" w:hRule="atLeast"/>
          <w:jc w:val="center"/>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4016"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r>
              <w:rPr>
                <w:rFonts w:hint="eastAsia" w:eastAsia="宋体" w:cs="Times New Roman"/>
                <w:color w:val="auto"/>
                <w:kern w:val="0"/>
                <w:sz w:val="15"/>
                <w:szCs w:val="15"/>
                <w:highlight w:val="none"/>
                <w:lang w:val="en-US" w:eastAsia="zh-CN" w:bidi="ar"/>
              </w:rPr>
              <w:t>2023年</w:t>
            </w:r>
            <w:r>
              <w:rPr>
                <w:rFonts w:hint="eastAsia" w:ascii="Times New Roman" w:hAnsi="Times New Roman" w:eastAsia="宋体" w:cs="Times New Roman"/>
                <w:color w:val="auto"/>
                <w:kern w:val="0"/>
                <w:sz w:val="15"/>
                <w:szCs w:val="15"/>
                <w:highlight w:val="none"/>
                <w:lang w:bidi="ar"/>
              </w:rPr>
              <w:t>对被征收户达利克（新疆）酒店有限公司、新疆正方建设集团有限责任公司、郝宪忠、王喆、祝仁兴土地及地上附属物实施征收，征收房屋9821.83平方米，征收土地13088.9平方米，征收补偿款1532.0358万元。通过征收，能有效改善和提升城市面貌和人居环境.</w:t>
            </w:r>
          </w:p>
        </w:tc>
        <w:tc>
          <w:tcPr>
            <w:tcW w:w="412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r>
              <w:rPr>
                <w:rFonts w:hint="eastAsia" w:eastAsia="宋体" w:cs="Times New Roman"/>
                <w:color w:val="auto"/>
                <w:kern w:val="0"/>
                <w:sz w:val="15"/>
                <w:szCs w:val="15"/>
                <w:highlight w:val="none"/>
                <w:lang w:val="en-US" w:eastAsia="zh-CN" w:bidi="ar"/>
              </w:rPr>
              <w:t>2023年</w:t>
            </w:r>
            <w:r>
              <w:rPr>
                <w:rFonts w:hint="eastAsia" w:ascii="Times New Roman" w:hAnsi="Times New Roman" w:eastAsia="宋体" w:cs="Times New Roman"/>
                <w:color w:val="auto"/>
                <w:kern w:val="0"/>
                <w:sz w:val="15"/>
                <w:szCs w:val="15"/>
                <w:highlight w:val="none"/>
                <w:lang w:bidi="ar"/>
              </w:rPr>
              <w:t>征收房屋9821.83平方米，征收土地13088.9平方米，征收补偿款1532.0358万元。</w:t>
            </w:r>
          </w:p>
        </w:tc>
      </w:tr>
      <w:tr>
        <w:tblPrEx>
          <w:tblLayout w:type="fixed"/>
          <w:tblCellMar>
            <w:top w:w="0" w:type="dxa"/>
            <w:left w:w="0" w:type="dxa"/>
            <w:bottom w:w="0" w:type="dxa"/>
            <w:right w:w="0" w:type="dxa"/>
          </w:tblCellMar>
        </w:tblPrEx>
        <w:trPr>
          <w:trHeight w:val="90" w:hRule="atLeast"/>
          <w:jc w:val="center"/>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一级指标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二级指标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三级指标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年度指标值</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实际完成值</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分值</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color w:val="auto"/>
                <w:sz w:val="15"/>
                <w:szCs w:val="15"/>
                <w:highlight w:val="none"/>
              </w:rPr>
            </w:pPr>
            <w:r>
              <w:rPr>
                <w:rFonts w:hint="eastAsia" w:ascii="宋体" w:hAnsi="宋体" w:eastAsia="宋体" w:cs="宋体"/>
                <w:i w:val="0"/>
                <w:color w:val="auto"/>
                <w:kern w:val="0"/>
                <w:sz w:val="15"/>
                <w:szCs w:val="15"/>
                <w:highlight w:val="none"/>
                <w:u w:val="none"/>
                <w:lang w:val="en-US" w:eastAsia="zh-CN" w:bidi="ar"/>
              </w:rPr>
              <w:t>得分</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jc w:val="center"/>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年度绩效指标完成情况</w:t>
            </w:r>
          </w:p>
        </w:tc>
        <w:tc>
          <w:tcPr>
            <w:tcW w:w="54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产出指标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数量指标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支付征收补偿款户数</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=6户</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6户</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r>
        <w:tblPrEx>
          <w:tblLayout w:type="fixed"/>
          <w:tblCellMar>
            <w:top w:w="0" w:type="dxa"/>
            <w:left w:w="0" w:type="dxa"/>
            <w:bottom w:w="0" w:type="dxa"/>
            <w:right w:w="0" w:type="dxa"/>
          </w:tblCellMar>
        </w:tblPrEx>
        <w:trPr>
          <w:trHeight w:val="560" w:hRule="atLeast"/>
          <w:jc w:val="center"/>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color w:val="auto"/>
                <w:kern w:val="0"/>
                <w:sz w:val="15"/>
                <w:szCs w:val="15"/>
                <w:highlight w:val="none"/>
                <w:u w:val="none"/>
                <w:lang w:val="en-US" w:eastAsia="zh-CN" w:bidi="ar"/>
              </w:rPr>
            </w:pPr>
            <w:r>
              <w:rPr>
                <w:rFonts w:hint="eastAsia" w:ascii="宋体" w:hAnsi="宋体" w:eastAsia="宋体" w:cs="宋体"/>
                <w:i w:val="0"/>
                <w:color w:val="auto"/>
                <w:kern w:val="0"/>
                <w:sz w:val="15"/>
                <w:szCs w:val="15"/>
                <w:highlight w:val="none"/>
                <w:u w:val="none"/>
                <w:lang w:val="en-US" w:eastAsia="zh-CN" w:bidi="ar"/>
              </w:rPr>
              <w:t>数量指标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征收房屋面积</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0"/>
                <w:sz w:val="15"/>
                <w:szCs w:val="15"/>
                <w:highlight w:val="none"/>
                <w:lang w:val="en-US" w:eastAsia="zh-CN" w:bidi="ar"/>
              </w:rPr>
            </w:pPr>
            <w:r>
              <w:rPr>
                <w:rFonts w:hint="eastAsia" w:ascii="宋体" w:hAnsi="宋体" w:eastAsia="宋体" w:cs="宋体"/>
                <w:color w:val="auto"/>
                <w:kern w:val="0"/>
                <w:sz w:val="15"/>
                <w:szCs w:val="15"/>
                <w:highlight w:val="none"/>
                <w:lang w:bidi="ar"/>
              </w:rPr>
              <w:t>≧</w:t>
            </w:r>
            <w:r>
              <w:rPr>
                <w:rFonts w:hint="eastAsia" w:eastAsia="宋体" w:cs="Times New Roman"/>
                <w:color w:val="auto"/>
                <w:kern w:val="0"/>
                <w:sz w:val="15"/>
                <w:szCs w:val="15"/>
                <w:highlight w:val="none"/>
                <w:lang w:val="en-US" w:eastAsia="zh-CN" w:bidi="ar"/>
              </w:rPr>
              <w:t>9821.83平方米</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9821.83平方米</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r>
        <w:tblPrEx>
          <w:tblLayout w:type="fixed"/>
          <w:tblCellMar>
            <w:top w:w="0" w:type="dxa"/>
            <w:left w:w="0" w:type="dxa"/>
            <w:bottom w:w="0" w:type="dxa"/>
            <w:right w:w="0" w:type="dxa"/>
          </w:tblCellMar>
        </w:tblPrEx>
        <w:trPr>
          <w:trHeight w:val="560" w:hRule="atLeast"/>
          <w:jc w:val="center"/>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数量指标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征收土地面积</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0"/>
                <w:sz w:val="15"/>
                <w:szCs w:val="15"/>
                <w:highlight w:val="none"/>
                <w:lang w:val="en-US" w:eastAsia="zh-CN" w:bidi="ar"/>
              </w:rPr>
            </w:pPr>
            <w:r>
              <w:rPr>
                <w:rFonts w:hint="eastAsia" w:ascii="宋体" w:hAnsi="宋体" w:eastAsia="宋体" w:cs="宋体"/>
                <w:color w:val="auto"/>
                <w:kern w:val="0"/>
                <w:sz w:val="15"/>
                <w:szCs w:val="15"/>
                <w:highlight w:val="none"/>
                <w:lang w:bidi="ar"/>
              </w:rPr>
              <w:t>≧</w:t>
            </w:r>
            <w:r>
              <w:rPr>
                <w:rFonts w:hint="eastAsia" w:ascii="宋体" w:hAnsi="宋体" w:eastAsia="宋体" w:cs="宋体"/>
                <w:color w:val="auto"/>
                <w:kern w:val="0"/>
                <w:sz w:val="15"/>
                <w:szCs w:val="15"/>
                <w:highlight w:val="none"/>
                <w:lang w:val="en-US" w:eastAsia="zh-CN" w:bidi="ar"/>
              </w:rPr>
              <w:t>13088.9平方米</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r>
              <w:rPr>
                <w:rFonts w:hint="eastAsia" w:ascii="宋体" w:hAnsi="宋体" w:eastAsia="宋体" w:cs="宋体"/>
                <w:color w:val="auto"/>
                <w:kern w:val="0"/>
                <w:sz w:val="15"/>
                <w:szCs w:val="15"/>
                <w:highlight w:val="none"/>
                <w:lang w:val="en-US" w:eastAsia="zh-CN" w:bidi="ar"/>
              </w:rPr>
              <w:t>13088.9平方米</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r>
        <w:tblPrEx>
          <w:tblLayout w:type="fixed"/>
          <w:tblCellMar>
            <w:top w:w="0" w:type="dxa"/>
            <w:left w:w="0" w:type="dxa"/>
            <w:bottom w:w="0" w:type="dxa"/>
            <w:right w:w="0" w:type="dxa"/>
          </w:tblCellMar>
        </w:tblPrEx>
        <w:trPr>
          <w:trHeight w:val="321" w:hRule="atLeast"/>
          <w:jc w:val="center"/>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质量指标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资金支付合规性</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=100%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r>
              <w:rPr>
                <w:rFonts w:hint="eastAsia" w:eastAsia="宋体" w:cs="Times New Roman"/>
                <w:color w:val="auto"/>
                <w:kern w:val="0"/>
                <w:sz w:val="15"/>
                <w:szCs w:val="15"/>
                <w:highlight w:val="none"/>
                <w:lang w:val="en-US" w:eastAsia="zh-CN" w:bidi="ar"/>
              </w:rPr>
              <w:t>100%</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r>
        <w:tblPrEx>
          <w:tblLayout w:type="fixed"/>
          <w:tblCellMar>
            <w:top w:w="0" w:type="dxa"/>
            <w:left w:w="0" w:type="dxa"/>
            <w:bottom w:w="0" w:type="dxa"/>
            <w:right w:w="0" w:type="dxa"/>
          </w:tblCellMar>
        </w:tblPrEx>
        <w:trPr>
          <w:trHeight w:val="321" w:hRule="atLeast"/>
          <w:jc w:val="center"/>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color w:val="auto"/>
                <w:sz w:val="15"/>
                <w:szCs w:val="15"/>
                <w:highlight w:val="none"/>
              </w:rPr>
            </w:pPr>
          </w:p>
        </w:tc>
        <w:tc>
          <w:tcPr>
            <w:tcW w:w="54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color w:val="auto"/>
                <w:sz w:val="15"/>
                <w:szCs w:val="15"/>
                <w:highlight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color w:val="auto"/>
                <w:kern w:val="0"/>
                <w:sz w:val="15"/>
                <w:szCs w:val="15"/>
                <w:highlight w:val="none"/>
                <w:u w:val="none"/>
                <w:lang w:val="en-US" w:eastAsia="zh-CN" w:bidi="ar"/>
              </w:rPr>
            </w:pPr>
            <w:r>
              <w:rPr>
                <w:rFonts w:hint="eastAsia" w:ascii="宋体" w:hAnsi="宋体" w:eastAsia="宋体" w:cs="宋体"/>
                <w:i w:val="0"/>
                <w:color w:val="auto"/>
                <w:kern w:val="0"/>
                <w:sz w:val="15"/>
                <w:szCs w:val="15"/>
                <w:highlight w:val="none"/>
                <w:u w:val="none"/>
                <w:lang w:val="en-US" w:eastAsia="zh-CN" w:bidi="ar"/>
              </w:rPr>
              <w:t>时效指标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color w:val="auto"/>
                <w:kern w:val="0"/>
                <w:sz w:val="15"/>
                <w:szCs w:val="15"/>
                <w:highlight w:val="none"/>
                <w:u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补偿款支付</w:t>
            </w:r>
            <w:r>
              <w:rPr>
                <w:rFonts w:hint="eastAsia" w:ascii="Times New Roman" w:hAnsi="Times New Roman" w:eastAsia="宋体" w:cs="Times New Roman"/>
                <w:color w:val="auto"/>
                <w:kern w:val="0"/>
                <w:sz w:val="15"/>
                <w:szCs w:val="15"/>
                <w:highlight w:val="none"/>
                <w:lang w:bidi="ar"/>
              </w:rPr>
              <w:t>及时率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宋体" w:hAnsi="宋体" w:eastAsia="宋体" w:cs="宋体"/>
                <w:i w:val="0"/>
                <w:color w:val="auto"/>
                <w:kern w:val="0"/>
                <w:sz w:val="15"/>
                <w:szCs w:val="15"/>
                <w:highlight w:val="none"/>
                <w:u w:val="none"/>
                <w:lang w:val="en-US" w:eastAsia="zh-CN" w:bidi="ar"/>
              </w:rPr>
            </w:pPr>
            <w:r>
              <w:rPr>
                <w:rFonts w:hint="eastAsia" w:ascii="宋体" w:hAnsi="宋体" w:eastAsia="宋体" w:cs="宋体"/>
                <w:color w:val="auto"/>
                <w:kern w:val="0"/>
                <w:sz w:val="15"/>
                <w:szCs w:val="15"/>
                <w:highlight w:val="none"/>
                <w:lang w:bidi="ar"/>
              </w:rPr>
              <w:t>≧</w:t>
            </w:r>
            <w:r>
              <w:rPr>
                <w:rFonts w:hint="eastAsia" w:ascii="宋体" w:hAnsi="宋体" w:eastAsia="宋体" w:cs="宋体"/>
                <w:color w:val="auto"/>
                <w:kern w:val="0"/>
                <w:sz w:val="15"/>
                <w:szCs w:val="15"/>
                <w:highlight w:val="none"/>
                <w:lang w:val="en-US" w:eastAsia="zh-CN" w:bidi="ar"/>
              </w:rPr>
              <w:t>95%</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宋体" w:hAnsi="宋体" w:eastAsia="宋体" w:cs="宋体"/>
                <w:i w:val="0"/>
                <w:color w:val="auto"/>
                <w:kern w:val="0"/>
                <w:sz w:val="15"/>
                <w:szCs w:val="15"/>
                <w:highlight w:val="none"/>
                <w:u w:val="none"/>
                <w:lang w:val="en-US" w:eastAsia="zh-CN" w:bidi="ar"/>
              </w:rPr>
            </w:pPr>
            <w:r>
              <w:rPr>
                <w:rFonts w:hint="eastAsia" w:ascii="宋体" w:hAnsi="宋体" w:eastAsia="宋体" w:cs="宋体"/>
                <w:color w:val="auto"/>
                <w:kern w:val="0"/>
                <w:sz w:val="15"/>
                <w:szCs w:val="15"/>
                <w:highlight w:val="none"/>
                <w:lang w:val="en-US" w:eastAsia="zh-CN" w:bidi="ar"/>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宋体" w:hAnsi="宋体" w:eastAsia="宋体" w:cs="宋体"/>
                <w:i w:val="0"/>
                <w:color w:val="auto"/>
                <w:kern w:val="0"/>
                <w:sz w:val="15"/>
                <w:szCs w:val="15"/>
                <w:highlight w:val="none"/>
                <w:u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宋体" w:hAnsi="宋体" w:eastAsia="宋体" w:cs="宋体"/>
                <w:i w:val="0"/>
                <w:color w:val="auto"/>
                <w:kern w:val="0"/>
                <w:sz w:val="15"/>
                <w:szCs w:val="15"/>
                <w:highlight w:val="none"/>
                <w:u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宋体" w:hAnsi="宋体" w:eastAsia="宋体" w:cs="宋体"/>
                <w:i w:val="0"/>
                <w:color w:val="auto"/>
                <w:kern w:val="0"/>
                <w:sz w:val="15"/>
                <w:szCs w:val="15"/>
                <w:highlight w:val="none"/>
                <w:u w:val="none"/>
                <w:lang w:val="en-US" w:eastAsia="zh-CN" w:bidi="ar"/>
              </w:rPr>
            </w:pPr>
          </w:p>
        </w:tc>
      </w:tr>
      <w:tr>
        <w:tblPrEx>
          <w:tblLayout w:type="fixed"/>
          <w:tblCellMar>
            <w:top w:w="0" w:type="dxa"/>
            <w:left w:w="0" w:type="dxa"/>
            <w:bottom w:w="0" w:type="dxa"/>
            <w:right w:w="0" w:type="dxa"/>
          </w:tblCellMar>
        </w:tblPrEx>
        <w:trPr>
          <w:trHeight w:val="620" w:hRule="atLeast"/>
          <w:jc w:val="center"/>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成本指标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经济成本指标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r>
        <w:tblPrEx>
          <w:tblLayout w:type="fixed"/>
          <w:tblCellMar>
            <w:top w:w="0" w:type="dxa"/>
            <w:left w:w="0" w:type="dxa"/>
            <w:bottom w:w="0" w:type="dxa"/>
            <w:right w:w="0" w:type="dxa"/>
          </w:tblCellMar>
        </w:tblPrEx>
        <w:trPr>
          <w:trHeight w:val="620" w:hRule="atLeast"/>
          <w:jc w:val="center"/>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社会成本指标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r>
        <w:tblPrEx>
          <w:tblLayout w:type="fixed"/>
          <w:tblCellMar>
            <w:top w:w="0" w:type="dxa"/>
            <w:left w:w="0" w:type="dxa"/>
            <w:bottom w:w="0" w:type="dxa"/>
            <w:right w:w="0" w:type="dxa"/>
          </w:tblCellMar>
        </w:tblPrEx>
        <w:trPr>
          <w:trHeight w:val="620" w:hRule="atLeast"/>
          <w:jc w:val="center"/>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生态环境成本指标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r>
        <w:tblPrEx>
          <w:tblLayout w:type="fixed"/>
          <w:tblCellMar>
            <w:top w:w="0" w:type="dxa"/>
            <w:left w:w="0" w:type="dxa"/>
            <w:bottom w:w="0" w:type="dxa"/>
            <w:right w:w="0" w:type="dxa"/>
          </w:tblCellMar>
        </w:tblPrEx>
        <w:trPr>
          <w:trHeight w:val="432" w:hRule="atLeast"/>
          <w:jc w:val="center"/>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效益指标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经济效益指标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r>
        <w:tblPrEx>
          <w:tblLayout w:type="fixed"/>
          <w:tblCellMar>
            <w:top w:w="0" w:type="dxa"/>
            <w:left w:w="0" w:type="dxa"/>
            <w:bottom w:w="0" w:type="dxa"/>
            <w:right w:w="0" w:type="dxa"/>
          </w:tblCellMar>
        </w:tblPrEx>
        <w:trPr>
          <w:trHeight w:val="432" w:hRule="atLeast"/>
          <w:jc w:val="center"/>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hint="eastAsia" w:ascii="宋体" w:hAnsi="宋体" w:eastAsia="宋体" w:cs="宋体"/>
                <w:i w:val="0"/>
                <w:color w:val="auto"/>
                <w:kern w:val="0"/>
                <w:sz w:val="15"/>
                <w:szCs w:val="15"/>
                <w:highlight w:val="none"/>
                <w:u w:val="none"/>
                <w:lang w:val="en-US" w:eastAsia="zh-CN" w:bidi="ar"/>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color w:val="auto"/>
                <w:kern w:val="0"/>
                <w:sz w:val="15"/>
                <w:szCs w:val="15"/>
                <w:highlight w:val="none"/>
                <w:u w:val="none"/>
                <w:lang w:val="en-US" w:eastAsia="zh-CN" w:bidi="ar"/>
              </w:rPr>
            </w:pPr>
            <w:r>
              <w:rPr>
                <w:rFonts w:hint="eastAsia" w:ascii="宋体" w:hAnsi="宋体" w:eastAsia="宋体" w:cs="宋体"/>
                <w:i w:val="0"/>
                <w:color w:val="auto"/>
                <w:kern w:val="0"/>
                <w:sz w:val="15"/>
                <w:szCs w:val="15"/>
                <w:highlight w:val="none"/>
                <w:u w:val="none"/>
                <w:lang w:val="en-US" w:eastAsia="zh-CN" w:bidi="ar"/>
              </w:rPr>
              <w:t>社会效益指标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bidi="ar"/>
              </w:rPr>
              <w:t>改善</w:t>
            </w:r>
            <w:r>
              <w:rPr>
                <w:rFonts w:hint="eastAsia" w:eastAsia="宋体" w:cs="Times New Roman"/>
                <w:color w:val="auto"/>
                <w:kern w:val="0"/>
                <w:sz w:val="15"/>
                <w:szCs w:val="15"/>
                <w:highlight w:val="none"/>
                <w:lang w:val="en-US" w:eastAsia="zh-CN" w:bidi="ar"/>
              </w:rPr>
              <w:t>城市面貌和人居环境</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eastAsia="zh-CN" w:bidi="ar"/>
              </w:rPr>
            </w:pPr>
            <w:r>
              <w:rPr>
                <w:rFonts w:hint="eastAsia" w:ascii="Times New Roman" w:hAnsi="Times New Roman" w:eastAsia="宋体" w:cs="Times New Roman"/>
                <w:color w:val="auto"/>
                <w:kern w:val="0"/>
                <w:sz w:val="15"/>
                <w:szCs w:val="15"/>
                <w:highlight w:val="none"/>
                <w:lang w:eastAsia="zh-CN" w:bidi="ar"/>
              </w:rPr>
              <w:t>有效改善</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r>
              <w:rPr>
                <w:rFonts w:hint="eastAsia" w:ascii="Times New Roman" w:hAnsi="Times New Roman" w:eastAsia="宋体" w:cs="Times New Roman"/>
                <w:color w:val="auto"/>
                <w:kern w:val="0"/>
                <w:sz w:val="15"/>
                <w:szCs w:val="15"/>
                <w:highlight w:val="none"/>
                <w:lang w:eastAsia="zh-CN" w:bidi="ar"/>
              </w:rPr>
              <w:t>有效改善</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30</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eastAsia="宋体" w:cs="Times New Roman"/>
                <w:color w:val="auto"/>
                <w:kern w:val="0"/>
                <w:sz w:val="15"/>
                <w:szCs w:val="15"/>
                <w:highlight w:val="none"/>
                <w:lang w:val="en-US" w:eastAsia="zh-CN" w:bidi="ar"/>
              </w:rPr>
              <w:t>30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r>
        <w:tblPrEx>
          <w:tblLayout w:type="fixed"/>
          <w:tblCellMar>
            <w:top w:w="0" w:type="dxa"/>
            <w:left w:w="0" w:type="dxa"/>
            <w:bottom w:w="0" w:type="dxa"/>
            <w:right w:w="0" w:type="dxa"/>
          </w:tblCellMar>
        </w:tblPrEx>
        <w:trPr>
          <w:trHeight w:val="617" w:hRule="atLeast"/>
          <w:jc w:val="center"/>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300" w:firstLineChars="200"/>
              <w:jc w:val="center"/>
              <w:textAlignment w:val="center"/>
              <w:rPr>
                <w:rFonts w:hint="eastAsia" w:ascii="宋体" w:hAnsi="宋体" w:eastAsia="宋体" w:cs="宋体"/>
                <w:i w:val="0"/>
                <w:color w:val="auto"/>
                <w:kern w:val="0"/>
                <w:sz w:val="15"/>
                <w:szCs w:val="15"/>
                <w:highlight w:val="none"/>
                <w:u w:val="none"/>
                <w:lang w:val="en-US" w:eastAsia="zh-CN" w:bidi="ar"/>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color w:val="auto"/>
                <w:kern w:val="0"/>
                <w:sz w:val="15"/>
                <w:szCs w:val="15"/>
                <w:highlight w:val="none"/>
                <w:u w:val="none"/>
                <w:lang w:val="en-US" w:eastAsia="zh-CN" w:bidi="ar"/>
              </w:rPr>
            </w:pPr>
            <w:r>
              <w:rPr>
                <w:rFonts w:hint="eastAsia" w:ascii="宋体" w:hAnsi="宋体" w:eastAsia="宋体" w:cs="宋体"/>
                <w:i w:val="0"/>
                <w:color w:val="auto"/>
                <w:kern w:val="0"/>
                <w:sz w:val="15"/>
                <w:szCs w:val="15"/>
                <w:highlight w:val="none"/>
                <w:u w:val="none"/>
                <w:lang w:val="en-US" w:eastAsia="zh-CN" w:bidi="ar"/>
              </w:rPr>
              <w:t>生态效益指标</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r>
        <w:tblPrEx>
          <w:tblLayout w:type="fixed"/>
          <w:tblCellMar>
            <w:top w:w="0" w:type="dxa"/>
            <w:left w:w="0" w:type="dxa"/>
            <w:bottom w:w="0" w:type="dxa"/>
            <w:right w:w="0" w:type="dxa"/>
          </w:tblCellMar>
        </w:tblPrEx>
        <w:trPr>
          <w:trHeight w:val="1012" w:hRule="atLeast"/>
          <w:jc w:val="center"/>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color w:val="auto"/>
                <w:kern w:val="0"/>
                <w:sz w:val="15"/>
                <w:szCs w:val="15"/>
                <w:highlight w:val="none"/>
                <w:u w:val="none"/>
                <w:lang w:val="en-US" w:eastAsia="zh-CN" w:bidi="ar"/>
              </w:rPr>
            </w:pPr>
            <w:r>
              <w:rPr>
                <w:rFonts w:hint="eastAsia" w:ascii="宋体" w:hAnsi="宋体" w:eastAsia="宋体" w:cs="宋体"/>
                <w:i w:val="0"/>
                <w:color w:val="auto"/>
                <w:kern w:val="0"/>
                <w:sz w:val="15"/>
                <w:szCs w:val="15"/>
                <w:highlight w:val="none"/>
                <w:u w:val="none"/>
                <w:lang w:val="en-US" w:eastAsia="zh-CN" w:bidi="ar"/>
              </w:rPr>
              <w:t>满意度指标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宋体" w:hAnsi="宋体" w:eastAsia="宋体" w:cs="宋体"/>
                <w:i w:val="0"/>
                <w:color w:val="auto"/>
                <w:kern w:val="0"/>
                <w:sz w:val="15"/>
                <w:szCs w:val="15"/>
                <w:highlight w:val="none"/>
                <w:u w:val="none"/>
                <w:lang w:val="en-US" w:eastAsia="zh-CN" w:bidi="ar"/>
              </w:rPr>
            </w:pPr>
            <w:r>
              <w:rPr>
                <w:rFonts w:hint="eastAsia" w:ascii="宋体" w:hAnsi="宋体" w:eastAsia="宋体" w:cs="宋体"/>
                <w:i w:val="0"/>
                <w:color w:val="auto"/>
                <w:kern w:val="0"/>
                <w:sz w:val="15"/>
                <w:szCs w:val="15"/>
                <w:highlight w:val="none"/>
                <w:u w:val="none"/>
                <w:lang w:val="en-US" w:eastAsia="zh-CN" w:bidi="ar"/>
              </w:rPr>
              <w:t>征收对象满意度</w:t>
            </w:r>
          </w:p>
        </w:tc>
        <w:tc>
          <w:tcPr>
            <w:tcW w:w="147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color w:val="auto"/>
                <w:kern w:val="0"/>
                <w:sz w:val="15"/>
                <w:szCs w:val="15"/>
                <w:highlight w:val="none"/>
                <w:lang w:bidi="ar"/>
              </w:rPr>
            </w:pPr>
            <w:r>
              <w:rPr>
                <w:rFonts w:hint="eastAsia" w:ascii="宋体" w:hAnsi="宋体" w:eastAsia="宋体" w:cs="宋体"/>
                <w:i w:val="0"/>
                <w:color w:val="auto"/>
                <w:kern w:val="0"/>
                <w:sz w:val="15"/>
                <w:szCs w:val="15"/>
                <w:highlight w:val="none"/>
                <w:u w:val="none"/>
                <w:lang w:val="en-US" w:eastAsia="zh-CN" w:bidi="ar"/>
              </w:rPr>
              <w:t>征收对象满意度</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r>
              <w:rPr>
                <w:rFonts w:hint="eastAsia" w:ascii="Times New Roman" w:hAnsi="Times New Roman" w:eastAsia="宋体" w:cs="Times New Roman"/>
                <w:color w:val="auto"/>
                <w:kern w:val="0"/>
                <w:sz w:val="15"/>
                <w:szCs w:val="15"/>
                <w:highlight w:val="none"/>
                <w:lang w:bidi="ar"/>
              </w:rPr>
              <w:t>&gt;=95%</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eastAsia" w:ascii="Times New Roman" w:hAnsi="Times New Roman" w:eastAsia="宋体" w:cs="Times New Roman"/>
                <w:color w:val="auto"/>
                <w:kern w:val="0"/>
                <w:sz w:val="15"/>
                <w:szCs w:val="15"/>
                <w:highlight w:val="none"/>
                <w:lang w:bidi="ar"/>
              </w:rPr>
            </w:pPr>
            <w:r>
              <w:rPr>
                <w:rFonts w:hint="eastAsia" w:ascii="Times New Roman" w:hAnsi="Times New Roman" w:eastAsia="宋体" w:cs="Times New Roman"/>
                <w:color w:val="auto"/>
                <w:kern w:val="0"/>
                <w:sz w:val="15"/>
                <w:szCs w:val="15"/>
                <w:highlight w:val="none"/>
                <w:lang w:bidi="ar"/>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hint="default" w:ascii="Times New Roman" w:hAnsi="Times New Roman" w:eastAsia="宋体" w:cs="Times New Roman"/>
                <w:color w:val="auto"/>
                <w:kern w:val="0"/>
                <w:sz w:val="15"/>
                <w:szCs w:val="15"/>
                <w:highlight w:val="none"/>
                <w:lang w:val="en-US" w:eastAsia="zh-CN" w:bidi="ar"/>
              </w:rPr>
            </w:pPr>
            <w:r>
              <w:rPr>
                <w:rFonts w:hint="eastAsia" w:ascii="Times New Roman" w:hAnsi="Times New Roman" w:eastAsia="宋体" w:cs="Times New Roman"/>
                <w:color w:val="auto"/>
                <w:kern w:val="0"/>
                <w:sz w:val="15"/>
                <w:szCs w:val="15"/>
                <w:highlight w:val="none"/>
                <w:lang w:val="en-US" w:eastAsia="zh-CN" w:bidi="ar"/>
              </w:rPr>
              <w:t>10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auto"/>
              <w:ind w:left="0" w:leftChars="0" w:firstLine="300" w:firstLineChars="200"/>
              <w:jc w:val="center"/>
              <w:rPr>
                <w:rFonts w:ascii="Times New Roman" w:hAnsi="Times New Roman" w:eastAsia="宋体" w:cs="Times New Roman"/>
                <w:color w:val="auto"/>
                <w:kern w:val="0"/>
                <w:sz w:val="15"/>
                <w:szCs w:val="15"/>
                <w:highlight w:val="none"/>
                <w:lang w:bidi="ar"/>
              </w:rPr>
            </w:pPr>
          </w:p>
        </w:tc>
      </w:tr>
    </w:tbl>
    <w:p>
      <w:pPr>
        <w:pageBreakBefore w:val="0"/>
        <w:kinsoku/>
        <w:wordWrap/>
        <w:overflowPunct/>
        <w:topLinePunct w:val="0"/>
        <w:autoSpaceDE/>
        <w:autoSpaceDN/>
        <w:bidi w:val="0"/>
        <w:adjustRightInd/>
        <w:snapToGrid/>
        <w:spacing w:line="560" w:lineRule="exact"/>
        <w:ind w:left="0" w:leftChars="0" w:firstLine="640" w:firstLineChars="200"/>
        <w:rPr>
          <w:rFonts w:hint="eastAsia" w:ascii="黑体" w:hAnsi="黑体" w:eastAsia="黑体" w:cs="黑体"/>
          <w:bCs/>
          <w:color w:val="auto"/>
          <w:sz w:val="32"/>
          <w:szCs w:val="32"/>
          <w:highlight w:val="none"/>
        </w:rPr>
        <w:sectPr>
          <w:headerReference r:id="rId3" w:type="default"/>
          <w:pgSz w:w="11906" w:h="16838"/>
          <w:pgMar w:top="2098" w:right="1531" w:bottom="1984" w:left="1531" w:header="737" w:footer="851" w:gutter="0"/>
          <w:pgBorders>
            <w:top w:val="none" w:sz="0" w:space="0"/>
            <w:left w:val="none" w:sz="0" w:space="0"/>
            <w:bottom w:val="none" w:sz="0" w:space="0"/>
            <w:right w:val="none" w:sz="0" w:space="0"/>
          </w:pgBorders>
          <w:cols w:space="720" w:num="1"/>
          <w:docGrid w:type="lines" w:linePitch="408" w:charSpace="0"/>
        </w:sectPr>
      </w:pPr>
    </w:p>
    <w:p>
      <w:pPr>
        <w:pStyle w:val="24"/>
        <w:pageBreakBefore w:val="0"/>
        <w:kinsoku/>
        <w:wordWrap/>
        <w:overflowPunct/>
        <w:topLinePunct w:val="0"/>
        <w:autoSpaceDE/>
        <w:autoSpaceDN/>
        <w:bidi w:val="0"/>
        <w:adjustRightInd/>
        <w:snapToGrid/>
        <w:spacing w:line="560" w:lineRule="exact"/>
        <w:ind w:left="0" w:leftChars="0" w:firstLine="562" w:firstLineChars="200"/>
        <w:jc w:val="center"/>
        <w:rPr>
          <w:color w:val="auto"/>
          <w:sz w:val="28"/>
          <w:szCs w:val="40"/>
          <w:highlight w:val="none"/>
        </w:rPr>
      </w:pPr>
      <w:bookmarkStart w:id="20" w:name="_Toc30064_WPSOffice_Level1"/>
      <w:bookmarkStart w:id="21" w:name="_Toc26499_WPSOffice_Level2"/>
      <w:r>
        <w:rPr>
          <w:rFonts w:hint="eastAsia"/>
          <w:b/>
          <w:bCs/>
          <w:color w:val="auto"/>
          <w:sz w:val="28"/>
          <w:szCs w:val="40"/>
          <w:highlight w:val="none"/>
        </w:rPr>
        <w:t>霍尔果斯市</w:t>
      </w:r>
      <w:r>
        <w:rPr>
          <w:rFonts w:hint="eastAsia"/>
          <w:b/>
          <w:bCs/>
          <w:color w:val="auto"/>
          <w:sz w:val="28"/>
          <w:szCs w:val="40"/>
          <w:highlight w:val="none"/>
          <w:lang w:val="en-US" w:eastAsia="zh-CN"/>
        </w:rPr>
        <w:t>征收</w:t>
      </w:r>
      <w:r>
        <w:rPr>
          <w:rFonts w:hint="eastAsia"/>
          <w:b/>
          <w:bCs/>
          <w:color w:val="auto"/>
          <w:sz w:val="28"/>
          <w:szCs w:val="40"/>
          <w:highlight w:val="none"/>
        </w:rPr>
        <w:t>项目绩效评价指标体系及综合评分表</w:t>
      </w:r>
      <w:bookmarkEnd w:id="20"/>
      <w:bookmarkEnd w:id="21"/>
    </w:p>
    <w:tbl>
      <w:tblPr>
        <w:tblStyle w:val="15"/>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471"/>
        <w:gridCol w:w="5080"/>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一级指标</w:t>
            </w:r>
          </w:p>
        </w:tc>
        <w:tc>
          <w:tcPr>
            <w:tcW w:w="764"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二级指标</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三级指标</w:t>
            </w:r>
          </w:p>
        </w:tc>
        <w:tc>
          <w:tcPr>
            <w:tcW w:w="2471"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指标解释</w:t>
            </w:r>
          </w:p>
        </w:tc>
        <w:tc>
          <w:tcPr>
            <w:tcW w:w="508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指标说明</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权重</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决策　</w:t>
            </w:r>
          </w:p>
        </w:tc>
        <w:tc>
          <w:tcPr>
            <w:tcW w:w="76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项目立项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立项依据</w:t>
            </w: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充分性</w:t>
            </w:r>
          </w:p>
        </w:tc>
        <w:tc>
          <w:tcPr>
            <w:tcW w:w="2471"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508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立项程序</w:t>
            </w: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规范性</w:t>
            </w:r>
          </w:p>
        </w:tc>
        <w:tc>
          <w:tcPr>
            <w:tcW w:w="2471"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508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绩效目标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绩效目标</w:t>
            </w: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合理性</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ind w:left="0" w:leftChars="0" w:firstLine="440" w:firstLineChars="200"/>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115" w:hRule="atLeast"/>
          <w:jc w:val="center"/>
        </w:trPr>
        <w:tc>
          <w:tcPr>
            <w:tcW w:w="832"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绩效指标</w:t>
            </w: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明确性</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082" w:hRule="atLeast"/>
          <w:jc w:val="center"/>
        </w:trPr>
        <w:tc>
          <w:tcPr>
            <w:tcW w:w="832" w:type="dxa"/>
            <w:vMerge w:val="continue"/>
            <w:shd w:val="clear" w:color="auto" w:fill="FFFFFF"/>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资金投入</w:t>
            </w: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预算编制</w:t>
            </w: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科学性</w:t>
            </w:r>
          </w:p>
        </w:tc>
        <w:tc>
          <w:tcPr>
            <w:tcW w:w="2471"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508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资金分配</w:t>
            </w: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合理性</w:t>
            </w:r>
          </w:p>
        </w:tc>
        <w:tc>
          <w:tcPr>
            <w:tcW w:w="2471"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508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过程</w:t>
            </w: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　　</w:t>
            </w:r>
          </w:p>
        </w:tc>
        <w:tc>
          <w:tcPr>
            <w:tcW w:w="76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资金到位率</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资金到位率=（实际到位资金/预算资金）×100%。</w:t>
            </w:r>
          </w:p>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预算执行率</w:t>
            </w:r>
          </w:p>
        </w:tc>
        <w:tc>
          <w:tcPr>
            <w:tcW w:w="2471"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508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资金使用</w:t>
            </w: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合规性</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组织实施</w:t>
            </w:r>
          </w:p>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管理制度</w:t>
            </w: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健全性</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制度执行</w:t>
            </w:r>
          </w:p>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有效性</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产出</w:t>
            </w:r>
          </w:p>
        </w:tc>
        <w:tc>
          <w:tcPr>
            <w:tcW w:w="764"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产出数量</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实际完成率</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产出质量</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质量达标率</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质量达标率=（质量达标产出数/实际产出数）×100%。</w:t>
            </w:r>
          </w:p>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shd w:val="clear" w:color="auto" w:fill="FFFFFF"/>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产出时效</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完成及时性</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产出成本</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成本节约率</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效益　</w:t>
            </w:r>
          </w:p>
        </w:tc>
        <w:tc>
          <w:tcPr>
            <w:tcW w:w="76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项目效益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实施效益</w:t>
            </w:r>
          </w:p>
        </w:tc>
        <w:tc>
          <w:tcPr>
            <w:tcW w:w="2471"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left"/>
              <w:rPr>
                <w:color w:val="auto"/>
                <w:kern w:val="0"/>
                <w:sz w:val="22"/>
                <w:szCs w:val="22"/>
                <w:highlight w:val="none"/>
              </w:rPr>
            </w:pPr>
            <w:r>
              <w:rPr>
                <w:color w:val="auto"/>
                <w:kern w:val="0"/>
                <w:sz w:val="22"/>
                <w:szCs w:val="22"/>
                <w:highlight w:val="none"/>
              </w:rPr>
              <w:t>项目实施所产生的效益。</w:t>
            </w:r>
          </w:p>
        </w:tc>
        <w:tc>
          <w:tcPr>
            <w:tcW w:w="508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7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jc w:val="center"/>
              <w:rPr>
                <w:color w:val="auto"/>
                <w:kern w:val="0"/>
                <w:sz w:val="22"/>
                <w:szCs w:val="22"/>
                <w:highlight w:val="none"/>
              </w:rPr>
            </w:pPr>
            <w:r>
              <w:rPr>
                <w:color w:val="auto"/>
                <w:kern w:val="0"/>
                <w:sz w:val="22"/>
                <w:szCs w:val="22"/>
                <w:highlight w:val="none"/>
              </w:rPr>
              <w:t>满意度</w:t>
            </w:r>
          </w:p>
        </w:tc>
        <w:tc>
          <w:tcPr>
            <w:tcW w:w="2471"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社会公众或服务对象对项目实施效果的满意程度。</w:t>
            </w:r>
          </w:p>
        </w:tc>
        <w:tc>
          <w:tcPr>
            <w:tcW w:w="508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0" w:firstLineChars="200"/>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leftChars="0" w:firstLine="442" w:firstLineChars="200"/>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bl>
    <w:p>
      <w:pPr>
        <w:pageBreakBefore w:val="0"/>
        <w:kinsoku/>
        <w:wordWrap/>
        <w:overflowPunct/>
        <w:topLinePunct w:val="0"/>
        <w:autoSpaceDE/>
        <w:autoSpaceDN/>
        <w:bidi w:val="0"/>
        <w:adjustRightInd/>
        <w:snapToGrid/>
        <w:spacing w:line="560" w:lineRule="exact"/>
        <w:ind w:left="0" w:leftChars="0" w:firstLine="600" w:firstLineChars="200"/>
        <w:rPr>
          <w:color w:val="auto"/>
          <w:highlight w:val="none"/>
        </w:rPr>
      </w:pPr>
      <w:bookmarkStart w:id="22" w:name="_GoBack"/>
      <w:bookmarkEnd w:id="22"/>
    </w:p>
    <w:sectPr>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A8C214C"/>
    <w:rsid w:val="0F2A6BF7"/>
    <w:rsid w:val="109627EE"/>
    <w:rsid w:val="10D9235A"/>
    <w:rsid w:val="15AD17BE"/>
    <w:rsid w:val="17136327"/>
    <w:rsid w:val="181871E2"/>
    <w:rsid w:val="19166846"/>
    <w:rsid w:val="20E92B23"/>
    <w:rsid w:val="22AC2218"/>
    <w:rsid w:val="2729052F"/>
    <w:rsid w:val="28C14634"/>
    <w:rsid w:val="2CFB04B8"/>
    <w:rsid w:val="2EC724D4"/>
    <w:rsid w:val="2EE30257"/>
    <w:rsid w:val="34DA27CE"/>
    <w:rsid w:val="36411DC5"/>
    <w:rsid w:val="36B72533"/>
    <w:rsid w:val="4057649F"/>
    <w:rsid w:val="44E53446"/>
    <w:rsid w:val="450B6AE4"/>
    <w:rsid w:val="46FA4489"/>
    <w:rsid w:val="54873A1A"/>
    <w:rsid w:val="561D407D"/>
    <w:rsid w:val="56796849"/>
    <w:rsid w:val="568F383B"/>
    <w:rsid w:val="5D555EEF"/>
    <w:rsid w:val="5DA95371"/>
    <w:rsid w:val="5EC75BAE"/>
    <w:rsid w:val="5EE355ED"/>
    <w:rsid w:val="686F7714"/>
    <w:rsid w:val="6A862BA8"/>
    <w:rsid w:val="6A9F49E4"/>
    <w:rsid w:val="6C4D160E"/>
    <w:rsid w:val="6DFC1C65"/>
    <w:rsid w:val="75FA041F"/>
    <w:rsid w:val="760F49BD"/>
    <w:rsid w:val="763557E9"/>
    <w:rsid w:val="76E870A0"/>
    <w:rsid w:val="782C1C39"/>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Indent"/>
    <w:basedOn w:val="1"/>
    <w:qFormat/>
    <w:uiPriority w:val="0"/>
    <w:pPr>
      <w:widowControl/>
      <w:spacing w:before="100" w:beforeAutospacing="1" w:after="100" w:afterAutospacing="1"/>
      <w:jc w:val="left"/>
    </w:pPr>
    <w:rPr>
      <w:rFonts w:ascii="宋体" w:hAnsi="宋体" w:eastAsia="宋体"/>
      <w:kern w:val="0"/>
      <w:sz w:val="24"/>
    </w:rPr>
  </w:style>
  <w:style w:type="paragraph" w:styleId="8">
    <w:name w:val="footer"/>
    <w:basedOn w:val="1"/>
    <w:link w:val="23"/>
    <w:semiHidden/>
    <w:unhideWhenUsed/>
    <w:qFormat/>
    <w:uiPriority w:val="99"/>
    <w:pPr>
      <w:tabs>
        <w:tab w:val="center" w:pos="4153"/>
        <w:tab w:val="right" w:pos="8306"/>
      </w:tabs>
      <w:snapToGrid w:val="0"/>
      <w:jc w:val="left"/>
    </w:pPr>
    <w:rPr>
      <w:sz w:val="18"/>
      <w:szCs w:val="18"/>
    </w:rPr>
  </w:style>
  <w:style w:type="paragraph" w:styleId="9">
    <w:name w:val="header"/>
    <w:basedOn w:val="1"/>
    <w:link w:val="2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Normal (Web)"/>
    <w:basedOn w:val="1"/>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Body Text First Indent 2"/>
    <w:basedOn w:val="7"/>
    <w:qFormat/>
    <w:uiPriority w:val="99"/>
    <w:pPr>
      <w:spacing w:after="0"/>
      <w:ind w:firstLine="420" w:firstLineChars="200"/>
    </w:pPr>
    <w:rPr>
      <w:rFonts w:eastAsia="仿宋_GB2312"/>
      <w:sz w:val="32"/>
    </w:rPr>
  </w:style>
  <w:style w:type="character" w:styleId="17">
    <w:name w:val="Strong"/>
    <w:qFormat/>
    <w:uiPriority w:val="0"/>
    <w:rPr>
      <w:b/>
      <w:bCs/>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eastAsia="仿宋_GB2312" w:cs="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sz w:val="32"/>
      <w:szCs w:val="32"/>
    </w:rPr>
  </w:style>
  <w:style w:type="paragraph" w:customStyle="1" w:styleId="21">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2">
    <w:name w:val="页眉 Char"/>
    <w:basedOn w:val="16"/>
    <w:link w:val="9"/>
    <w:semiHidden/>
    <w:qFormat/>
    <w:uiPriority w:val="99"/>
    <w:rPr>
      <w:rFonts w:ascii="Times New Roman" w:hAnsi="Times New Roman" w:eastAsia="仿宋_GB2312" w:cs="Times New Roman"/>
      <w:sz w:val="18"/>
      <w:szCs w:val="18"/>
    </w:rPr>
  </w:style>
  <w:style w:type="character" w:customStyle="1" w:styleId="23">
    <w:name w:val="页脚 Char"/>
    <w:basedOn w:val="16"/>
    <w:link w:val="8"/>
    <w:semiHidden/>
    <w:qFormat/>
    <w:uiPriority w:val="99"/>
    <w:rPr>
      <w:rFonts w:ascii="Times New Roman" w:hAnsi="Times New Roman" w:eastAsia="仿宋_GB2312" w:cs="Times New Roman"/>
      <w:sz w:val="18"/>
      <w:szCs w:val="18"/>
    </w:rPr>
  </w:style>
  <w:style w:type="paragraph" w:customStyle="1" w:styleId="2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5042</Words>
  <Characters>5242</Characters>
  <Lines>37</Lines>
  <Paragraphs>10</Paragraphs>
  <TotalTime>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2024-06-11T02:45:21Z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