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2023年车辆购置税收入补助地方资金预算[第一批]项目</w:t>
      </w:r>
      <w:r>
        <w:rPr>
          <w:rFonts w:eastAsia="方正小标宋_GBK"/>
          <w:kern w:val="0"/>
          <w:sz w:val="48"/>
          <w:szCs w:val="48"/>
        </w:rPr>
        <w:t>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bookmarkStart w:id="22" w:name="_GoBack"/>
      <w:bookmarkEnd w:id="22"/>
    </w:p>
    <w:p>
      <w:pPr>
        <w:spacing w:line="480" w:lineRule="auto"/>
        <w:jc w:val="center"/>
        <w:rPr>
          <w:rFonts w:ascii="仿宋_GB2312" w:hAnsi="仿宋_GB2312" w:cs="仿宋_GB2312"/>
          <w:b/>
          <w:kern w:val="0"/>
          <w:sz w:val="50"/>
          <w:szCs w:val="50"/>
          <w:lang w:bidi="en-US"/>
        </w:rPr>
      </w:pPr>
    </w:p>
    <w:p>
      <w:pPr>
        <w:spacing w:line="560" w:lineRule="exact"/>
        <w:ind w:left="3209" w:leftChars="106" w:hanging="2891" w:hangingChars="9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项目名称：2023年霍尔果斯市第一批农村公路及安全生命防护工程建设项目</w:t>
      </w:r>
    </w:p>
    <w:p>
      <w:pPr>
        <w:spacing w:line="560" w:lineRule="exact"/>
        <w:jc w:val="both"/>
        <w:rPr>
          <w:rFonts w:ascii="宋体" w:hAnsi="宋体" w:eastAsia="宋体" w:cs="宋体"/>
          <w:b/>
          <w:bCs/>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Times New Roman" w:hAnsi="Times New Roman" w:eastAsia="仿宋_GB2312" w:cs="Times New Roman"/>
          <w:b/>
          <w:bCs/>
          <w:sz w:val="32"/>
          <w:szCs w:val="32"/>
          <w:highlight w:val="none"/>
          <w:lang w:val="en-US" w:eastAsia="zh-CN"/>
        </w:rPr>
        <w:t>霍尔果斯市交通运输局</w:t>
      </w:r>
    </w:p>
    <w:p>
      <w:pPr>
        <w:spacing w:line="560" w:lineRule="exact"/>
        <w:jc w:val="both"/>
        <w:rPr>
          <w:rFonts w:ascii="宋体" w:hAnsi="宋体" w:eastAsia="宋体" w:cs="宋体"/>
          <w:b/>
          <w:bCs/>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Times New Roman" w:hAnsi="Times New Roman" w:eastAsia="仿宋_GB2312" w:cs="Times New Roman"/>
          <w:b/>
          <w:bCs/>
          <w:sz w:val="32"/>
          <w:szCs w:val="32"/>
          <w:highlight w:val="none"/>
          <w:lang w:val="en-US" w:eastAsia="zh-CN"/>
        </w:rPr>
        <w:t>霍尔果斯市交通运输局</w:t>
      </w: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谢宝庆</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10</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spacing w:line="560" w:lineRule="exact"/>
        <w:ind w:firstLine="640"/>
        <w:rPr>
          <w:rFonts w:hint="eastAsia" w:ascii="Times New Roman" w:hAnsi="Times New Roman" w:cs="Times New Roman"/>
          <w:bCs/>
          <w:color w:val="000000" w:themeColor="text1"/>
          <w:sz w:val="32"/>
          <w:szCs w:val="32"/>
          <w14:textFill>
            <w14:solidFill>
              <w14:schemeClr w14:val="tx1"/>
            </w14:solidFill>
          </w14:textFill>
        </w:rPr>
      </w:pPr>
      <w:r>
        <w:rPr>
          <w:rFonts w:hint="eastAsia" w:ascii="Times New Roman" w:hAnsi="Times New Roman" w:cs="Times New Roman"/>
          <w:bCs/>
          <w:color w:val="000000" w:themeColor="text1"/>
          <w:sz w:val="32"/>
          <w:szCs w:val="32"/>
          <w14:textFill>
            <w14:solidFill>
              <w14:schemeClr w14:val="tx1"/>
            </w14:solidFill>
          </w14:textFill>
        </w:rPr>
        <w:t>本项目项目名称为2023年车辆购置税收入补助地方资金预算[第一批]</w:t>
      </w:r>
      <w:r>
        <w:rPr>
          <w:rFonts w:hint="eastAsia" w:ascii="Times New Roman" w:hAnsi="Times New Roman" w:cs="Times New Roman"/>
          <w:bCs/>
          <w:color w:val="000000" w:themeColor="text1"/>
          <w:sz w:val="32"/>
          <w:szCs w:val="32"/>
          <w:lang w:val="en-US" w:eastAsia="zh-CN"/>
          <w14:textFill>
            <w14:solidFill>
              <w14:schemeClr w14:val="tx1"/>
            </w14:solidFill>
          </w14:textFill>
        </w:rPr>
        <w:t>-2023年霍尔果斯市第一批农村公路及安全生命防护工程建设项目</w:t>
      </w:r>
      <w:r>
        <w:rPr>
          <w:rFonts w:hint="eastAsia" w:ascii="Times New Roman" w:hAnsi="Times New Roman" w:cs="Times New Roman"/>
          <w:bCs/>
          <w:color w:val="000000" w:themeColor="text1"/>
          <w:sz w:val="32"/>
          <w:szCs w:val="32"/>
          <w14:textFill>
            <w14:solidFill>
              <w14:schemeClr w14:val="tx1"/>
            </w14:solidFill>
          </w14:textFill>
        </w:rPr>
        <w:t>，该项目为202</w:t>
      </w:r>
      <w:r>
        <w:rPr>
          <w:rFonts w:hint="eastAsia" w:ascii="Times New Roman" w:hAnsi="Times New Roman" w:cs="Times New Roman"/>
          <w:bCs/>
          <w:color w:val="000000" w:themeColor="text1"/>
          <w:sz w:val="32"/>
          <w:szCs w:val="32"/>
          <w:lang w:val="en-US" w:eastAsia="zh-CN"/>
          <w14:textFill>
            <w14:solidFill>
              <w14:schemeClr w14:val="tx1"/>
            </w14:solidFill>
          </w14:textFill>
        </w:rPr>
        <w:t>3</w:t>
      </w:r>
      <w:r>
        <w:rPr>
          <w:rFonts w:hint="eastAsia" w:ascii="Times New Roman" w:hAnsi="Times New Roman" w:cs="Times New Roman"/>
          <w:bCs/>
          <w:color w:val="000000" w:themeColor="text1"/>
          <w:sz w:val="32"/>
          <w:szCs w:val="32"/>
          <w14:textFill>
            <w14:solidFill>
              <w14:schemeClr w14:val="tx1"/>
            </w14:solidFill>
          </w14:textFill>
        </w:rPr>
        <w:t>年新建项目，由霍尔果斯市</w:t>
      </w:r>
      <w:r>
        <w:rPr>
          <w:rFonts w:hint="eastAsia" w:ascii="Times New Roman" w:hAnsi="Times New Roman" w:cs="Times New Roman"/>
          <w:bCs/>
          <w:color w:val="000000" w:themeColor="text1"/>
          <w:sz w:val="32"/>
          <w:szCs w:val="32"/>
          <w:lang w:eastAsia="zh-CN"/>
          <w14:textFill>
            <w14:solidFill>
              <w14:schemeClr w14:val="tx1"/>
            </w14:solidFill>
          </w14:textFill>
        </w:rPr>
        <w:t>交通运输局</w:t>
      </w:r>
      <w:r>
        <w:rPr>
          <w:rFonts w:hint="eastAsia" w:ascii="Times New Roman" w:hAnsi="Times New Roman" w:cs="Times New Roman"/>
          <w:bCs/>
          <w:color w:val="000000" w:themeColor="text1"/>
          <w:sz w:val="32"/>
          <w:szCs w:val="32"/>
          <w14:textFill>
            <w14:solidFill>
              <w14:schemeClr w14:val="tx1"/>
            </w14:solidFill>
          </w14:textFill>
        </w:rPr>
        <w:t>负责建设。</w:t>
      </w:r>
    </w:p>
    <w:p>
      <w:pPr>
        <w:spacing w:line="560" w:lineRule="exact"/>
        <w:ind w:firstLine="640"/>
        <w:rPr>
          <w:rFonts w:hint="eastAsia" w:ascii="Times New Roman" w:hAnsi="Times New Roman" w:cs="Times New Roman"/>
          <w:bCs/>
          <w:color w:val="000000" w:themeColor="text1"/>
          <w:sz w:val="32"/>
          <w:szCs w:val="32"/>
          <w14:textFill>
            <w14:solidFill>
              <w14:schemeClr w14:val="tx1"/>
            </w14:solidFill>
          </w14:textFill>
        </w:rPr>
      </w:pPr>
      <w:r>
        <w:rPr>
          <w:rFonts w:hint="eastAsia" w:ascii="Times New Roman" w:hAnsi="Times New Roman" w:cs="Times New Roman"/>
          <w:bCs/>
          <w:color w:val="000000" w:themeColor="text1"/>
          <w:sz w:val="32"/>
          <w:szCs w:val="32"/>
          <w14:textFill>
            <w14:solidFill>
              <w14:schemeClr w14:val="tx1"/>
            </w14:solidFill>
          </w14:textFill>
        </w:rPr>
        <w:t>依据《</w:t>
      </w:r>
      <w:r>
        <w:rPr>
          <w:rFonts w:hint="eastAsia" w:ascii="Times New Roman" w:hAnsi="Times New Roman" w:cs="Times New Roman"/>
          <w:bCs/>
          <w:color w:val="000000" w:themeColor="text1"/>
          <w:sz w:val="32"/>
          <w:szCs w:val="32"/>
          <w:lang w:eastAsia="zh-CN"/>
          <w14:textFill>
            <w14:solidFill>
              <w14:schemeClr w14:val="tx1"/>
            </w14:solidFill>
          </w14:textFill>
        </w:rPr>
        <w:t>关于下达伊犁州</w:t>
      </w:r>
      <w:r>
        <w:rPr>
          <w:rFonts w:hint="eastAsia" w:ascii="Times New Roman" w:hAnsi="Times New Roman" w:cs="Times New Roman"/>
          <w:bCs/>
          <w:color w:val="000000" w:themeColor="text1"/>
          <w:sz w:val="32"/>
          <w:szCs w:val="32"/>
          <w:lang w:val="en-US" w:eastAsia="zh-CN"/>
          <w14:textFill>
            <w14:solidFill>
              <w14:schemeClr w14:val="tx1"/>
            </w14:solidFill>
          </w14:textFill>
        </w:rPr>
        <w:t>2023年农村公路车购税“以奖代补”建设项目计划的通知</w:t>
      </w:r>
      <w:r>
        <w:rPr>
          <w:rFonts w:hint="eastAsia" w:ascii="Times New Roman" w:hAnsi="Times New Roman" w:cs="Times New Roman"/>
          <w:bCs/>
          <w:color w:val="000000" w:themeColor="text1"/>
          <w:sz w:val="32"/>
          <w:szCs w:val="32"/>
          <w14:textFill>
            <w14:solidFill>
              <w14:schemeClr w14:val="tx1"/>
            </w14:solidFill>
          </w14:textFill>
        </w:rPr>
        <w:t>》（</w:t>
      </w:r>
      <w:r>
        <w:rPr>
          <w:rFonts w:hint="eastAsia" w:ascii="Times New Roman" w:hAnsi="Times New Roman" w:cs="Times New Roman"/>
          <w:bCs/>
          <w:color w:val="000000" w:themeColor="text1"/>
          <w:sz w:val="32"/>
          <w:szCs w:val="32"/>
          <w:lang w:eastAsia="zh-CN"/>
          <w14:textFill>
            <w14:solidFill>
              <w14:schemeClr w14:val="tx1"/>
            </w14:solidFill>
          </w14:textFill>
        </w:rPr>
        <w:t>伊州交发</w:t>
      </w:r>
      <w:r>
        <w:rPr>
          <w:rFonts w:hint="eastAsia" w:ascii="Times New Roman" w:hAnsi="Times New Roman" w:cs="Times New Roman"/>
          <w:bCs/>
          <w:color w:val="000000" w:themeColor="text1"/>
          <w:sz w:val="32"/>
          <w:szCs w:val="32"/>
          <w14:textFill>
            <w14:solidFill>
              <w14:schemeClr w14:val="tx1"/>
            </w14:solidFill>
          </w14:textFill>
        </w:rPr>
        <w:t>〔</w:t>
      </w:r>
      <w:r>
        <w:rPr>
          <w:rFonts w:hint="eastAsia" w:ascii="Times New Roman" w:hAnsi="Times New Roman" w:cs="Times New Roman"/>
          <w:bCs/>
          <w:color w:val="000000" w:themeColor="text1"/>
          <w:sz w:val="32"/>
          <w:szCs w:val="32"/>
          <w:lang w:val="en-US" w:eastAsia="zh-CN"/>
          <w14:textFill>
            <w14:solidFill>
              <w14:schemeClr w14:val="tx1"/>
            </w14:solidFill>
          </w14:textFill>
        </w:rPr>
        <w:t>2023</w:t>
      </w:r>
      <w:r>
        <w:rPr>
          <w:rFonts w:hint="eastAsia" w:ascii="Times New Roman" w:hAnsi="Times New Roman" w:cs="Times New Roman"/>
          <w:bCs/>
          <w:color w:val="000000" w:themeColor="text1"/>
          <w:sz w:val="32"/>
          <w:szCs w:val="32"/>
          <w14:textFill>
            <w14:solidFill>
              <w14:schemeClr w14:val="tx1"/>
            </w14:solidFill>
          </w14:textFill>
        </w:rPr>
        <w:t>〕</w:t>
      </w:r>
      <w:r>
        <w:rPr>
          <w:rFonts w:hint="eastAsia" w:ascii="Times New Roman" w:hAnsi="Times New Roman" w:cs="Times New Roman"/>
          <w:bCs/>
          <w:color w:val="000000" w:themeColor="text1"/>
          <w:sz w:val="32"/>
          <w:szCs w:val="32"/>
          <w:lang w:val="en-US" w:eastAsia="zh-CN"/>
          <w14:textFill>
            <w14:solidFill>
              <w14:schemeClr w14:val="tx1"/>
            </w14:solidFill>
          </w14:textFill>
        </w:rPr>
        <w:t>10</w:t>
      </w:r>
      <w:r>
        <w:rPr>
          <w:rFonts w:hint="eastAsia" w:ascii="Times New Roman" w:hAnsi="Times New Roman" w:cs="Times New Roman"/>
          <w:bCs/>
          <w:color w:val="000000" w:themeColor="text1"/>
          <w:sz w:val="32"/>
          <w:szCs w:val="32"/>
          <w14:textFill>
            <w14:solidFill>
              <w14:schemeClr w14:val="tx1"/>
            </w14:solidFill>
          </w14:textFill>
        </w:rPr>
        <w:t>号）文件要求，</w:t>
      </w:r>
      <w:r>
        <w:rPr>
          <w:rFonts w:hint="eastAsia" w:ascii="Times New Roman" w:hAnsi="Times New Roman" w:cs="Times New Roman"/>
          <w:bCs/>
          <w:color w:val="000000" w:themeColor="text1"/>
          <w:sz w:val="32"/>
          <w:szCs w:val="32"/>
          <w:lang w:eastAsia="zh-CN"/>
          <w14:textFill>
            <w14:solidFill>
              <w14:schemeClr w14:val="tx1"/>
            </w14:solidFill>
          </w14:textFill>
        </w:rPr>
        <w:t>抓紧组织项目实施，不得擅自调整项目计划，加快中央投资支付，防范政府债务风险，尽快形成有效投资</w:t>
      </w:r>
      <w:r>
        <w:rPr>
          <w:rFonts w:hint="eastAsia" w:ascii="Times New Roman" w:hAnsi="Times New Roman" w:cs="Times New Roman"/>
          <w:bCs/>
          <w:color w:val="000000" w:themeColor="text1"/>
          <w:sz w:val="32"/>
          <w:szCs w:val="32"/>
          <w14:textFill>
            <w14:solidFill>
              <w14:schemeClr w14:val="tx1"/>
            </w14:solidFill>
          </w14:textFill>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spacing w:line="560" w:lineRule="exact"/>
        <w:ind w:firstLine="640"/>
        <w:rPr>
          <w:rFonts w:hint="eastAsia" w:ascii="Times New Roman" w:hAnsi="Times New Roman" w:cs="Times New Roman"/>
          <w:bCs/>
          <w:color w:val="000000" w:themeColor="text1"/>
          <w:sz w:val="32"/>
          <w:szCs w:val="32"/>
          <w14:textFill>
            <w14:solidFill>
              <w14:schemeClr w14:val="tx1"/>
            </w14:solidFill>
          </w14:textFill>
        </w:rPr>
      </w:pPr>
      <w:r>
        <w:rPr>
          <w:rFonts w:hint="eastAsia" w:ascii="Times New Roman" w:hAnsi="Times New Roman" w:cs="Times New Roman"/>
          <w:bCs/>
          <w:color w:val="000000" w:themeColor="text1"/>
          <w:sz w:val="32"/>
          <w:szCs w:val="32"/>
          <w14:textFill>
            <w14:solidFill>
              <w14:schemeClr w14:val="tx1"/>
            </w14:solidFill>
          </w14:textFill>
        </w:rPr>
        <w:t>主要内容：</w:t>
      </w:r>
      <w:r>
        <w:rPr>
          <w:rFonts w:hint="default" w:ascii="Times New Roman" w:hAnsi="Times New Roman" w:cs="Times New Roman"/>
          <w:bCs/>
          <w:color w:val="000000" w:themeColor="text1"/>
          <w:sz w:val="32"/>
          <w:szCs w:val="32"/>
          <w:lang w:val="en-US" w:eastAsia="zh-CN"/>
          <w14:textFill>
            <w14:solidFill>
              <w14:schemeClr w14:val="tx1"/>
            </w14:solidFill>
          </w14:textFill>
        </w:rPr>
        <w:t>第一合同段为2023年霍尔果斯市第一批农村公路建设项目，共涉及莫乎尔牧场和伊车嘎善乡2个建设地点。项目计划为6.131</w:t>
      </w:r>
      <w:r>
        <w:rPr>
          <w:rFonts w:hint="eastAsia" w:ascii="Times New Roman" w:hAnsi="Times New Roman" w:cs="Times New Roman"/>
          <w:bCs/>
          <w:color w:val="000000" w:themeColor="text1"/>
          <w:sz w:val="32"/>
          <w:szCs w:val="32"/>
          <w:lang w:val="en-US" w:eastAsia="zh-CN"/>
          <w14:textFill>
            <w14:solidFill>
              <w14:schemeClr w14:val="tx1"/>
            </w14:solidFill>
          </w14:textFill>
        </w:rPr>
        <w:t>k</w:t>
      </w:r>
      <w:r>
        <w:rPr>
          <w:rFonts w:hint="default" w:ascii="Times New Roman" w:hAnsi="Times New Roman" w:cs="Times New Roman"/>
          <w:bCs/>
          <w:color w:val="000000" w:themeColor="text1"/>
          <w:sz w:val="32"/>
          <w:szCs w:val="32"/>
          <w:lang w:val="en-US" w:eastAsia="zh-CN"/>
          <w14:textFill>
            <w14:solidFill>
              <w14:schemeClr w14:val="tx1"/>
            </w14:solidFill>
          </w14:textFill>
        </w:rPr>
        <w:t>m，其中1、Y114线G312K4806+005-加尔苏村，计划3.69km；2、Y115G312K4805+130-加尔苏村三组，计划里程2.44km；3、4-1.5米漫水桥一座长度40米。</w:t>
      </w:r>
    </w:p>
    <w:p>
      <w:pPr>
        <w:spacing w:line="560" w:lineRule="exact"/>
        <w:ind w:firstLine="640"/>
        <w:rPr>
          <w:rFonts w:hint="eastAsia" w:ascii="Times New Roman" w:hAnsi="Times New Roman" w:cs="Times New Roman"/>
          <w:bCs/>
          <w:color w:val="000000" w:themeColor="text1"/>
          <w:sz w:val="32"/>
          <w:szCs w:val="32"/>
          <w14:textFill>
            <w14:solidFill>
              <w14:schemeClr w14:val="tx1"/>
            </w14:solidFill>
          </w14:textFill>
        </w:rPr>
      </w:pPr>
      <w:r>
        <w:rPr>
          <w:rFonts w:hint="eastAsia" w:ascii="Times New Roman" w:hAnsi="Times New Roman" w:cs="Times New Roman"/>
          <w:bCs/>
          <w:color w:val="000000" w:themeColor="text1"/>
          <w:sz w:val="32"/>
          <w:szCs w:val="32"/>
          <w14:textFill>
            <w14:solidFill>
              <w14:schemeClr w14:val="tx1"/>
            </w14:solidFill>
          </w14:textFill>
        </w:rPr>
        <w:t>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293.23</w:t>
      </w:r>
      <w:r>
        <w:rPr>
          <w:rFonts w:hint="eastAsia"/>
          <w:color w:val="auto"/>
          <w:sz w:val="32"/>
          <w:szCs w:val="32"/>
        </w:rPr>
        <w:t>万元，全年预算数</w:t>
      </w:r>
      <w:r>
        <w:rPr>
          <w:rFonts w:hint="eastAsia"/>
          <w:color w:val="auto"/>
          <w:sz w:val="32"/>
          <w:szCs w:val="32"/>
          <w:lang w:val="en-US" w:eastAsia="zh-CN"/>
        </w:rPr>
        <w:t>293.23</w:t>
      </w:r>
      <w:r>
        <w:rPr>
          <w:rFonts w:hint="eastAsia"/>
          <w:color w:val="auto"/>
          <w:sz w:val="32"/>
          <w:szCs w:val="32"/>
        </w:rPr>
        <w:t>万元，</w:t>
      </w:r>
      <w:r>
        <w:rPr>
          <w:rFonts w:hint="eastAsia"/>
          <w:color w:val="auto"/>
          <w:sz w:val="32"/>
          <w:szCs w:val="32"/>
        </w:rPr>
        <w:t>实际总投入</w:t>
      </w:r>
      <w:r>
        <w:rPr>
          <w:rFonts w:hint="eastAsia"/>
          <w:color w:val="auto"/>
          <w:sz w:val="32"/>
          <w:szCs w:val="32"/>
          <w:lang w:val="en-US" w:eastAsia="zh-CN"/>
        </w:rPr>
        <w:t>293.23</w:t>
      </w:r>
      <w:r>
        <w:rPr>
          <w:rFonts w:hint="eastAsia"/>
          <w:color w:val="auto"/>
          <w:sz w:val="32"/>
          <w:szCs w:val="32"/>
        </w:rPr>
        <w:t>万元，该项目资金已全部落实到位，资金来源为</w:t>
      </w:r>
      <w:r>
        <w:rPr>
          <w:rFonts w:hint="eastAsia"/>
          <w:color w:val="auto"/>
          <w:sz w:val="32"/>
          <w:szCs w:val="32"/>
          <w:lang w:eastAsia="zh-CN"/>
        </w:rPr>
        <w:t>上级专项资金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w:t>
      </w:r>
      <w:r>
        <w:rPr>
          <w:rFonts w:hint="eastAsia"/>
          <w:color w:val="auto"/>
          <w:sz w:val="32"/>
          <w:szCs w:val="32"/>
        </w:rPr>
        <w:t>该项目年初预算数</w:t>
      </w:r>
      <w:r>
        <w:rPr>
          <w:rFonts w:hint="eastAsia"/>
          <w:color w:val="auto"/>
          <w:sz w:val="32"/>
          <w:szCs w:val="32"/>
          <w:lang w:val="en-US" w:eastAsia="zh-CN"/>
        </w:rPr>
        <w:t>293.23</w:t>
      </w:r>
      <w:r>
        <w:rPr>
          <w:rFonts w:hint="eastAsia"/>
          <w:color w:val="auto"/>
          <w:sz w:val="32"/>
          <w:szCs w:val="32"/>
        </w:rPr>
        <w:t>万元，全年预算数</w:t>
      </w:r>
      <w:r>
        <w:rPr>
          <w:rFonts w:hint="eastAsia"/>
          <w:color w:val="auto"/>
          <w:sz w:val="32"/>
          <w:szCs w:val="32"/>
          <w:lang w:val="en-US" w:eastAsia="zh-CN"/>
        </w:rPr>
        <w:t>293.23</w:t>
      </w:r>
      <w:r>
        <w:rPr>
          <w:rFonts w:hint="eastAsia"/>
          <w:color w:val="auto"/>
          <w:sz w:val="32"/>
          <w:szCs w:val="32"/>
        </w:rPr>
        <w:t>万元，</w:t>
      </w:r>
      <w:r>
        <w:rPr>
          <w:rFonts w:hint="eastAsia"/>
          <w:color w:val="auto"/>
          <w:sz w:val="32"/>
          <w:szCs w:val="32"/>
        </w:rPr>
        <w:t>全年执行数</w:t>
      </w:r>
      <w:r>
        <w:rPr>
          <w:rFonts w:hint="eastAsia"/>
          <w:color w:val="auto"/>
          <w:sz w:val="32"/>
          <w:szCs w:val="32"/>
          <w:lang w:val="en-US" w:eastAsia="zh-CN"/>
        </w:rPr>
        <w:t>293.23</w:t>
      </w:r>
      <w:r>
        <w:rPr>
          <w:rFonts w:hint="eastAsia"/>
          <w:color w:val="auto"/>
          <w:sz w:val="32"/>
          <w:szCs w:val="32"/>
        </w:rPr>
        <w:t>万元，</w:t>
      </w:r>
      <w:r>
        <w:rPr>
          <w:rFonts w:hint="eastAsia"/>
          <w:color w:val="auto"/>
          <w:sz w:val="32"/>
          <w:szCs w:val="32"/>
        </w:rPr>
        <w:t>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293.23</w:t>
      </w:r>
      <w:r>
        <w:rPr>
          <w:rFonts w:hint="eastAsia"/>
          <w:color w:val="auto"/>
          <w:sz w:val="32"/>
          <w:szCs w:val="32"/>
        </w:rPr>
        <w:t>万元。</w:t>
      </w:r>
      <w:bookmarkStart w:id="2" w:name="_Toc68703829"/>
    </w:p>
    <w:p>
      <w:pPr>
        <w:spacing w:line="560" w:lineRule="exact"/>
        <w:rPr>
          <w:color w:val="FF0000"/>
          <w:sz w:val="32"/>
          <w:szCs w:val="32"/>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2023年车辆购置税收入补助地方资金预算[第一批]对霍尔果斯市道路基础设施项目及配套附属项目进行支付。完成提升城市承载力优化人居环境，改善居民出行环境的目标，达到提升居民幸福感、优化营商环境效果。</w:t>
      </w:r>
    </w:p>
    <w:p>
      <w:pPr>
        <w:spacing w:line="560" w:lineRule="exact"/>
        <w:rPr>
          <w:rFonts w:hint="eastAsia"/>
          <w:color w:val="FF0000"/>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仿宋_GB2312" w:cs="Times New Roman"/>
          <w:b w:val="0"/>
          <w:bCs w:val="0"/>
          <w:sz w:val="32"/>
          <w:szCs w:val="32"/>
          <w:lang w:val="en-US" w:eastAsia="zh-CN"/>
        </w:rPr>
        <w:t>为改善霍尔果斯市莫乎尔牧场的居民出行条件，加快新农村建设经济发展，提高居民生产生活水平。项目建设里程约</w:t>
      </w:r>
      <w:r>
        <w:rPr>
          <w:rFonts w:hint="default" w:ascii="Times New Roman" w:hAnsi="Times New Roman" w:eastAsia="方正仿宋简体" w:cs="Times New Roman"/>
          <w:color w:val="000000" w:themeColor="text1"/>
          <w:w w:val="95"/>
          <w:sz w:val="32"/>
          <w:szCs w:val="32"/>
          <w:lang w:val="en-US" w:eastAsia="zh-CN"/>
          <w14:textFill>
            <w14:solidFill>
              <w14:schemeClr w14:val="tx1"/>
            </w14:solidFill>
          </w14:textFill>
        </w:rPr>
        <w:t>6.131</w:t>
      </w:r>
      <w:r>
        <w:rPr>
          <w:rFonts w:hint="eastAsia" w:cs="Times New Roman"/>
          <w:b w:val="0"/>
          <w:bCs w:val="0"/>
          <w:sz w:val="32"/>
          <w:szCs w:val="32"/>
          <w:lang w:val="en-US" w:eastAsia="zh-CN"/>
        </w:rPr>
        <w:t>km</w:t>
      </w:r>
      <w:r>
        <w:rPr>
          <w:rFonts w:hint="eastAsia" w:ascii="Times New Roman" w:hAnsi="Times New Roman" w:eastAsia="仿宋_GB2312" w:cs="Times New Roman"/>
          <w:b w:val="0"/>
          <w:bCs w:val="0"/>
          <w:sz w:val="32"/>
          <w:szCs w:val="32"/>
          <w:lang w:val="en-US" w:eastAsia="zh-CN"/>
        </w:rPr>
        <w:t>，公路等级为</w:t>
      </w:r>
      <w:r>
        <w:rPr>
          <w:rFonts w:hint="eastAsia" w:cs="Times New Roman"/>
          <w:b w:val="0"/>
          <w:bCs w:val="0"/>
          <w:sz w:val="32"/>
          <w:szCs w:val="32"/>
          <w:lang w:val="en-US" w:eastAsia="zh-CN"/>
        </w:rPr>
        <w:t>四</w:t>
      </w:r>
      <w:r>
        <w:rPr>
          <w:rFonts w:hint="eastAsia" w:ascii="Times New Roman" w:hAnsi="Times New Roman" w:eastAsia="仿宋_GB2312" w:cs="Times New Roman"/>
          <w:b w:val="0"/>
          <w:bCs w:val="0"/>
          <w:sz w:val="32"/>
          <w:szCs w:val="32"/>
          <w:lang w:val="en-US" w:eastAsia="zh-CN"/>
        </w:rPr>
        <w:t>级公路，该项目已</w:t>
      </w:r>
      <w:r>
        <w:rPr>
          <w:rFonts w:hint="eastAsia" w:cs="Times New Roman"/>
          <w:b w:val="0"/>
          <w:bCs w:val="0"/>
          <w:sz w:val="32"/>
          <w:szCs w:val="32"/>
          <w:lang w:val="en-US" w:eastAsia="zh-CN"/>
        </w:rPr>
        <w:t>完工</w:t>
      </w:r>
      <w:r>
        <w:rPr>
          <w:rFonts w:hint="eastAsia" w:ascii="Times New Roman" w:hAnsi="Times New Roman" w:eastAsia="仿宋_GB2312" w:cs="Times New Roman"/>
          <w:b w:val="0"/>
          <w:bCs w:val="0"/>
          <w:sz w:val="32"/>
          <w:szCs w:val="32"/>
          <w:lang w:val="en-US" w:eastAsia="zh-CN"/>
        </w:rPr>
        <w:t>，现申请支付</w:t>
      </w:r>
      <w:r>
        <w:rPr>
          <w:rFonts w:hint="eastAsia" w:cs="Times New Roman"/>
          <w:b w:val="0"/>
          <w:bCs w:val="0"/>
          <w:sz w:val="32"/>
          <w:szCs w:val="32"/>
          <w:lang w:val="en-US" w:eastAsia="zh-CN"/>
        </w:rPr>
        <w:t>293.23</w:t>
      </w:r>
      <w:r>
        <w:rPr>
          <w:rFonts w:hint="eastAsia" w:ascii="Times New Roman" w:hAnsi="Times New Roman" w:eastAsia="仿宋_GB2312" w:cs="Times New Roman"/>
          <w:b w:val="0"/>
          <w:bCs w:val="0"/>
          <w:sz w:val="32"/>
          <w:szCs w:val="32"/>
          <w:lang w:val="en-US" w:eastAsia="zh-CN"/>
        </w:rPr>
        <w:t>万元用于支付项目工程款。</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1"/>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2023年霍尔果斯市第一批农村公路及安全生命防护工程建设项目</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keepNext w:val="0"/>
        <w:keepLines w:val="0"/>
        <w:pageBreakBefore w:val="0"/>
        <w:widowControl w:val="0"/>
        <w:numPr>
          <w:numId w:val="0"/>
        </w:numPr>
        <w:kinsoku/>
        <w:wordWrap/>
        <w:overflowPunct/>
        <w:topLinePunct w:val="0"/>
        <w:autoSpaceDE/>
        <w:autoSpaceDN/>
        <w:bidi w:val="0"/>
        <w:adjustRightInd/>
        <w:snapToGrid/>
        <w:spacing w:after="0" w:line="560" w:lineRule="exact"/>
        <w:ind w:right="0" w:rightChars="0"/>
        <w:jc w:val="left"/>
        <w:textAlignment w:val="auto"/>
        <w:outlineLvl w:val="9"/>
        <w:rPr>
          <w:rFonts w:hint="eastAsia" w:ascii="黑体" w:hAnsi="黑体" w:eastAsia="黑体" w:cs="黑体"/>
          <w:color w:val="0000FF"/>
          <w:w w:val="95"/>
          <w:sz w:val="32"/>
          <w:szCs w:val="32"/>
          <w:lang w:val="en-US" w:eastAsia="zh-CN"/>
        </w:rPr>
      </w:pPr>
      <w:r>
        <w:rPr>
          <w:rFonts w:hint="eastAsia"/>
          <w:color w:val="auto"/>
          <w:sz w:val="32"/>
          <w:szCs w:val="32"/>
          <w:lang w:eastAsia="zh-CN"/>
        </w:rPr>
        <w:t>　　</w:t>
      </w: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default" w:ascii="Times New Roman" w:hAnsi="Times New Roman" w:eastAsia="方正仿宋简体" w:cs="Times New Roman"/>
          <w:color w:val="000000" w:themeColor="text1"/>
          <w:w w:val="95"/>
          <w:sz w:val="32"/>
          <w:szCs w:val="32"/>
          <w:lang w:val="en-US" w:eastAsia="zh-CN"/>
          <w14:textFill>
            <w14:solidFill>
              <w14:schemeClr w14:val="tx1"/>
            </w14:solidFill>
          </w14:textFill>
        </w:rPr>
        <w:t>2023年霍尔果斯市第一批农村公路及安全生命防护工程建设项目</w:t>
      </w:r>
    </w:p>
    <w:p>
      <w:pPr>
        <w:pageBreakBefore w:val="0"/>
        <w:widowControl w:val="0"/>
        <w:kinsoku/>
        <w:wordWrap/>
        <w:overflowPunct/>
        <w:topLinePunct w:val="0"/>
        <w:autoSpaceDE/>
        <w:autoSpaceDN/>
        <w:bidi w:val="0"/>
        <w:adjustRightInd/>
        <w:snapToGrid/>
        <w:spacing w:line="560" w:lineRule="exact"/>
        <w:textAlignment w:val="auto"/>
        <w:rPr>
          <w:color w:val="auto"/>
          <w:sz w:val="32"/>
          <w:szCs w:val="32"/>
        </w:rPr>
      </w:pP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7"/>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ascii="仿宋_GB2312" w:cs="Times New Roman"/>
          <w:bCs/>
          <w:color w:val="auto"/>
          <w:sz w:val="32"/>
          <w:szCs w:val="32"/>
          <w:highlight w:val="none"/>
          <w:lang w:val="en-US" w:eastAsia="zh-CN"/>
        </w:rPr>
        <w:t>计划</w:t>
      </w:r>
      <w:r>
        <w:rPr>
          <w:rFonts w:hint="eastAsia" w:ascii="仿宋_GB2312" w:hAnsi="Times New Roman" w:cs="Times New Roman"/>
          <w:bCs/>
          <w:color w:val="auto"/>
          <w:sz w:val="32"/>
          <w:szCs w:val="32"/>
          <w:highlight w:val="none"/>
          <w:lang w:val="en-US" w:eastAsia="zh-CN"/>
        </w:rPr>
        <w:t>标准</w:t>
      </w:r>
      <w:r>
        <w:rPr>
          <w:rFonts w:hint="eastAsia"/>
          <w:bCs/>
          <w:color w:val="000000" w:themeColor="text1"/>
          <w:sz w:val="32"/>
          <w:szCs w:val="32"/>
          <w14:textFill>
            <w14:solidFill>
              <w14:schemeClr w14:val="tx1"/>
            </w14:solidFill>
          </w14:textFill>
        </w:rPr>
        <w:t>。</w:t>
      </w:r>
    </w:p>
    <w:p>
      <w:pPr>
        <w:pStyle w:val="2"/>
        <w:keepNext w:val="0"/>
        <w:keepLines w:val="0"/>
        <w:pageBreakBefore w:val="0"/>
        <w:widowControl/>
        <w:kinsoku/>
        <w:wordWrap/>
        <w:overflowPunct/>
        <w:topLinePunct w:val="0"/>
        <w:autoSpaceDE/>
        <w:autoSpaceDN/>
        <w:bidi w:val="0"/>
        <w:adjustRightInd/>
        <w:snapToGrid/>
        <w:spacing w:before="0" w:line="560" w:lineRule="exact"/>
        <w:jc w:val="left"/>
        <w:textAlignment w:val="auto"/>
        <w:outlineLvl w:val="9"/>
        <w:rPr>
          <w:rFonts w:hint="eastAsia" w:ascii="Times New Roman" w:hAnsi="Times New Roman" w:eastAsia="仿宋_GB2312" w:cs="Times New Roman"/>
          <w:b w:val="0"/>
          <w:bCs/>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b w:val="0"/>
          <w:bCs/>
          <w:color w:val="000000" w:themeColor="text1"/>
          <w:kern w:val="2"/>
          <w:sz w:val="32"/>
          <w:szCs w:val="32"/>
          <w:lang w:val="en-US" w:eastAsia="zh-CN" w:bidi="ar-SA"/>
          <w14:textFill>
            <w14:solidFill>
              <w14:schemeClr w14:val="tx1"/>
            </w14:solidFill>
          </w14:textFill>
        </w:rPr>
        <w:t>　　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100%。项目过程类指标权重为20分，得分为20分，得分率为100%。项目产出类指标权重为40分，得分为40分，得分率为 100%。项目效益类指标权重为20分，得分为20分，得分率为100%。具体打分情况详见：附件1综合评分表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2"/>
                <w:sz w:val="22"/>
                <w:szCs w:val="24"/>
                <w:lang w:val="en-US" w:eastAsia="zh-CN" w:bidi="ar-SA"/>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w:t>
      </w:r>
      <w:r>
        <w:rPr>
          <w:rFonts w:hint="eastAsia"/>
          <w:b w:val="0"/>
          <w:bCs w:val="0"/>
          <w:color w:val="auto"/>
          <w:sz w:val="32"/>
          <w:szCs w:val="32"/>
          <w:lang w:val="en-US" w:eastAsia="zh-CN"/>
        </w:rPr>
        <w:t>决策类指标包括项目立项、绩效目标和资金投入三方面的内容，由6个三级指标构成，权重分值为20分，实际得分20分，得分率为100%。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color w:val="auto"/>
          <w:sz w:val="32"/>
          <w:szCs w:val="32"/>
          <w:highlight w:val="none"/>
          <w:lang w:val="en-US" w:eastAsia="zh-CN"/>
        </w:rPr>
        <w:t>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ascii="仿宋_GB2312" w:hAnsi="仿宋_GB2312" w:cs="仿宋_GB2312"/>
          <w:sz w:val="32"/>
          <w:szCs w:val="32"/>
          <w:highlight w:val="none"/>
          <w:lang w:val="en-US" w:eastAsia="zh-CN"/>
        </w:rPr>
        <w:t>293.23</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293.23</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numPr>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项目产出类指标包括产出数量、</w:t>
      </w:r>
      <w:r>
        <w:rPr>
          <w:rFonts w:hint="eastAsia" w:ascii="仿宋_GB2312" w:hAnsi="仿宋_GB2312" w:eastAsia="仿宋_GB2312" w:cs="仿宋_GB2312"/>
          <w:sz w:val="32"/>
          <w:szCs w:val="32"/>
          <w:highlight w:val="none"/>
          <w:lang w:val="en-US" w:eastAsia="zh-CN"/>
        </w:rPr>
        <w:t>产出质量、产出时效、产出成本四方面的内容，由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w:t>
      </w:r>
      <w:r>
        <w:rPr>
          <w:rFonts w:hint="eastAsia"/>
          <w:color w:val="auto"/>
          <w:sz w:val="32"/>
          <w:szCs w:val="32"/>
          <w:lang w:eastAsia="zh-CN"/>
        </w:rPr>
        <w:t>支付道路基础设施及配套附属项目个数</w:t>
      </w:r>
      <w:r>
        <w:rPr>
          <w:rFonts w:hint="eastAsia"/>
          <w:color w:val="auto"/>
          <w:sz w:val="32"/>
          <w:szCs w:val="32"/>
        </w:rPr>
        <w:t>，指标值：</w:t>
      </w:r>
      <w:r>
        <w:rPr>
          <w:rFonts w:hint="eastAsia" w:ascii="Times New Roman" w:hAnsi="Times New Roman" w:eastAsia="仿宋_GB2312" w:cs="Times New Roman"/>
          <w:b w:val="0"/>
          <w:bCs w:val="0"/>
          <w:color w:val="auto"/>
          <w:kern w:val="2"/>
          <w:sz w:val="30"/>
          <w:szCs w:val="24"/>
          <w:lang w:val="en-US" w:eastAsia="zh-CN" w:bidi="ar-SA"/>
        </w:rPr>
        <w:t>&gt;=</w:t>
      </w:r>
      <w:r>
        <w:rPr>
          <w:rFonts w:hint="eastAsia"/>
          <w:color w:val="auto"/>
          <w:sz w:val="32"/>
          <w:szCs w:val="32"/>
          <w:lang w:eastAsia="zh-CN"/>
        </w:rPr>
        <w:t>2个</w:t>
      </w:r>
      <w:r>
        <w:rPr>
          <w:rFonts w:hint="eastAsia"/>
          <w:color w:val="auto"/>
          <w:sz w:val="32"/>
          <w:szCs w:val="32"/>
        </w:rPr>
        <w:t>，实际完成值</w:t>
      </w:r>
      <w:r>
        <w:rPr>
          <w:rFonts w:hint="eastAsia"/>
          <w:color w:val="auto"/>
          <w:sz w:val="32"/>
          <w:szCs w:val="32"/>
          <w:lang w:eastAsia="zh-CN"/>
        </w:rPr>
        <w:t>：2个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lang w:eastAsia="zh-CN"/>
        </w:rPr>
      </w:pPr>
      <w:r>
        <w:rPr>
          <w:rFonts w:hint="eastAsia"/>
          <w:color w:val="auto"/>
          <w:sz w:val="32"/>
          <w:szCs w:val="32"/>
        </w:rPr>
        <w:t>指标1：</w:t>
      </w:r>
      <w:r>
        <w:rPr>
          <w:rFonts w:hint="eastAsia"/>
          <w:color w:val="auto"/>
          <w:sz w:val="32"/>
          <w:szCs w:val="32"/>
          <w:lang w:eastAsia="zh-CN"/>
        </w:rPr>
        <w:t>资金支付合规性</w:t>
      </w:r>
      <w:r>
        <w:rPr>
          <w:rFonts w:hint="eastAsia"/>
          <w:color w:val="auto"/>
          <w:sz w:val="32"/>
          <w:szCs w:val="32"/>
        </w:rPr>
        <w:t>，指标值：=100%，实际完成值</w:t>
      </w:r>
      <w:r>
        <w:rPr>
          <w:rFonts w:hint="eastAsia"/>
          <w:color w:val="auto"/>
          <w:sz w:val="32"/>
          <w:szCs w:val="32"/>
          <w:lang w:eastAsia="zh-CN"/>
        </w:rPr>
        <w:t>：</w:t>
      </w:r>
      <w:r>
        <w:rPr>
          <w:rFonts w:hint="eastAsia"/>
          <w:color w:val="auto"/>
          <w:sz w:val="32"/>
          <w:szCs w:val="32"/>
        </w:rPr>
        <w:t>100%，指标完成率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宋体"/>
          <w:lang w:eastAsia="zh-CN"/>
        </w:rPr>
      </w:pPr>
      <w:r>
        <w:rPr>
          <w:rFonts w:hint="eastAsia"/>
          <w:color w:val="auto"/>
          <w:sz w:val="32"/>
          <w:szCs w:val="32"/>
        </w:rPr>
        <w:t>指标2：</w:t>
      </w:r>
      <w:r>
        <w:rPr>
          <w:rFonts w:hint="eastAsia"/>
          <w:color w:val="auto"/>
          <w:sz w:val="32"/>
          <w:szCs w:val="32"/>
          <w:lang w:eastAsia="zh-CN"/>
        </w:rPr>
        <w:t>竣工验收合格率</w:t>
      </w:r>
      <w:r>
        <w:rPr>
          <w:rFonts w:hint="eastAsia"/>
          <w:color w:val="auto"/>
          <w:sz w:val="32"/>
          <w:szCs w:val="32"/>
        </w:rPr>
        <w:t>，指标值：=100%，实际完成值</w:t>
      </w:r>
      <w:r>
        <w:rPr>
          <w:rFonts w:hint="eastAsia"/>
          <w:color w:val="auto"/>
          <w:sz w:val="32"/>
          <w:szCs w:val="32"/>
          <w:lang w:eastAsia="zh-CN"/>
        </w:rPr>
        <w:t>：</w:t>
      </w:r>
      <w:r>
        <w:rPr>
          <w:rFonts w:hint="eastAsia"/>
          <w:color w:val="auto"/>
          <w:sz w:val="32"/>
          <w:szCs w:val="32"/>
        </w:rPr>
        <w:t>100%，指标完成率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lang w:eastAsia="zh-CN"/>
        </w:rPr>
      </w:pPr>
      <w:r>
        <w:rPr>
          <w:rFonts w:hint="eastAsia"/>
          <w:color w:val="auto"/>
          <w:sz w:val="32"/>
          <w:szCs w:val="32"/>
        </w:rPr>
        <w:t>指标1：</w:t>
      </w:r>
      <w:r>
        <w:rPr>
          <w:rFonts w:hint="eastAsia"/>
          <w:color w:val="auto"/>
          <w:sz w:val="32"/>
          <w:szCs w:val="32"/>
          <w:lang w:eastAsia="zh-CN"/>
        </w:rPr>
        <w:t>资金支付及时率</w:t>
      </w:r>
      <w:r>
        <w:rPr>
          <w:rFonts w:hint="eastAsia"/>
          <w:color w:val="auto"/>
          <w:sz w:val="32"/>
          <w:szCs w:val="32"/>
        </w:rPr>
        <w:t>，指标值：=100%，实际完成值</w:t>
      </w:r>
      <w:r>
        <w:rPr>
          <w:rFonts w:hint="eastAsia"/>
          <w:color w:val="auto"/>
          <w:sz w:val="32"/>
          <w:szCs w:val="32"/>
          <w:lang w:eastAsia="zh-CN"/>
        </w:rPr>
        <w:t>：</w:t>
      </w:r>
      <w:r>
        <w:rPr>
          <w:rFonts w:hint="eastAsia"/>
          <w:color w:val="auto"/>
          <w:sz w:val="32"/>
          <w:szCs w:val="32"/>
        </w:rPr>
        <w:t>100%，指标完成率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4" w:name="_Toc68703841"/>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color w:val="auto"/>
          <w:sz w:val="32"/>
          <w:szCs w:val="32"/>
        </w:rPr>
        <w:t>指标1：</w:t>
      </w:r>
      <w:r>
        <w:rPr>
          <w:rFonts w:hint="eastAsia"/>
          <w:color w:val="auto"/>
          <w:sz w:val="32"/>
          <w:szCs w:val="32"/>
          <w:lang w:eastAsia="zh-CN"/>
        </w:rPr>
        <w:t>平均支付每个项目成本</w:t>
      </w:r>
      <w:r>
        <w:rPr>
          <w:rFonts w:hint="eastAsia"/>
          <w:color w:val="auto"/>
          <w:sz w:val="32"/>
          <w:szCs w:val="32"/>
        </w:rPr>
        <w:t>，指标值：&lt;=146.50万元/个，实际完成值</w:t>
      </w:r>
      <w:r>
        <w:rPr>
          <w:rFonts w:hint="eastAsia"/>
          <w:color w:val="auto"/>
          <w:sz w:val="32"/>
          <w:szCs w:val="32"/>
          <w:lang w:eastAsia="zh-CN"/>
        </w:rPr>
        <w:t>：</w:t>
      </w:r>
      <w:r>
        <w:rPr>
          <w:rFonts w:hint="eastAsia"/>
          <w:color w:val="auto"/>
          <w:sz w:val="32"/>
          <w:szCs w:val="32"/>
        </w:rPr>
        <w:t>146.50万元/个，指标完成率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w:t>
      </w:r>
      <w:r>
        <w:rPr>
          <w:rFonts w:hint="eastAsia" w:ascii="仿宋_GB2312" w:hAnsi="仿宋_GB2312" w:eastAsia="仿宋_GB2312" w:cs="仿宋_GB2312"/>
          <w:sz w:val="32"/>
          <w:szCs w:val="32"/>
          <w:highlight w:val="none"/>
          <w:lang w:val="en-US" w:eastAsia="zh-CN"/>
        </w:rPr>
        <w:t>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社会效益指标：</w:t>
      </w:r>
      <w:r>
        <w:rPr>
          <w:rFonts w:hint="eastAsia"/>
          <w:color w:val="auto"/>
          <w:sz w:val="32"/>
          <w:szCs w:val="32"/>
        </w:rPr>
        <w:t>指标1：</w:t>
      </w:r>
      <w:r>
        <w:rPr>
          <w:rFonts w:hint="eastAsia" w:ascii="仿宋_GB2312" w:hAnsi="仿宋_GB2312" w:eastAsia="仿宋_GB2312" w:cs="仿宋_GB2312"/>
          <w:sz w:val="32"/>
          <w:szCs w:val="32"/>
          <w:highlight w:val="none"/>
        </w:rPr>
        <w:t>改善居民出行环境</w:t>
      </w:r>
      <w:r>
        <w:rPr>
          <w:rFonts w:hint="eastAsia"/>
          <w:color w:val="auto"/>
          <w:sz w:val="32"/>
          <w:szCs w:val="32"/>
        </w:rPr>
        <w:t>，指标值：有效改善，实际完成值</w:t>
      </w:r>
      <w:r>
        <w:rPr>
          <w:rFonts w:hint="eastAsia"/>
          <w:color w:val="auto"/>
          <w:sz w:val="32"/>
          <w:szCs w:val="32"/>
          <w:lang w:eastAsia="zh-CN"/>
        </w:rPr>
        <w:t>：</w:t>
      </w:r>
      <w:r>
        <w:rPr>
          <w:rFonts w:hint="eastAsia"/>
          <w:color w:val="auto"/>
          <w:sz w:val="32"/>
          <w:szCs w:val="32"/>
        </w:rPr>
        <w:t>有效改善，指标完成率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color w:val="auto"/>
          <w:sz w:val="32"/>
          <w:szCs w:val="32"/>
        </w:rPr>
        <w:t>指标1：</w:t>
      </w:r>
      <w:r>
        <w:rPr>
          <w:rFonts w:hint="eastAsia" w:ascii="仿宋_GB2312" w:hAnsi="仿宋_GB2312" w:eastAsia="仿宋_GB2312" w:cs="仿宋_GB2312"/>
          <w:sz w:val="32"/>
          <w:szCs w:val="32"/>
          <w:highlight w:val="none"/>
        </w:rPr>
        <w:t>企业满意度</w:t>
      </w:r>
      <w:r>
        <w:rPr>
          <w:rFonts w:hint="eastAsia"/>
          <w:color w:val="auto"/>
          <w:sz w:val="32"/>
          <w:szCs w:val="32"/>
        </w:rPr>
        <w:t>，指标值：&gt;=95%，实际完成值</w:t>
      </w:r>
      <w:r>
        <w:rPr>
          <w:rFonts w:hint="eastAsia"/>
          <w:color w:val="auto"/>
          <w:sz w:val="32"/>
          <w:szCs w:val="32"/>
          <w:lang w:eastAsia="zh-CN"/>
        </w:rPr>
        <w:t>：</w:t>
      </w:r>
      <w:r>
        <w:rPr>
          <w:rFonts w:hint="eastAsia"/>
          <w:color w:val="auto"/>
          <w:sz w:val="32"/>
          <w:szCs w:val="32"/>
        </w:rPr>
        <w:t>95%，指标完成率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spacing w:line="56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sz w:val="32"/>
          <w:szCs w:val="32"/>
        </w:rPr>
        <w:t>2023年霍</w:t>
      </w:r>
      <w:r>
        <w:rPr>
          <w:rFonts w:hint="eastAsia" w:ascii="仿宋_GB2312" w:hAnsi="仿宋_GB2312" w:eastAsia="仿宋_GB2312" w:cs="仿宋_GB2312"/>
          <w:color w:val="auto"/>
          <w:sz w:val="32"/>
          <w:szCs w:val="32"/>
          <w:highlight w:val="none"/>
        </w:rPr>
        <w:t>尔果斯市第一批农村公路及安全生命防护工程建设项目</w:t>
      </w:r>
      <w:r>
        <w:rPr>
          <w:rFonts w:hint="eastAsia" w:ascii="仿宋_GB2312" w:hAnsi="仿宋_GB2312" w:eastAsia="仿宋_GB2312" w:cs="仿宋_GB2312"/>
          <w:color w:val="auto"/>
          <w:kern w:val="2"/>
          <w:sz w:val="32"/>
          <w:szCs w:val="32"/>
          <w:highlight w:val="none"/>
          <w:lang w:val="en-US" w:eastAsia="zh-CN" w:bidi="ar-SA"/>
        </w:rPr>
        <w:t>年初预算</w:t>
      </w:r>
      <w:r>
        <w:rPr>
          <w:rFonts w:hint="eastAsia" w:ascii="仿宋_GB2312" w:hAnsi="仿宋_GB2312" w:cs="仿宋_GB2312"/>
          <w:color w:val="auto"/>
          <w:sz w:val="32"/>
          <w:szCs w:val="32"/>
          <w:highlight w:val="none"/>
          <w:lang w:val="en-US" w:eastAsia="zh-CN"/>
        </w:rPr>
        <w:t>293.23</w:t>
      </w:r>
      <w:r>
        <w:rPr>
          <w:rFonts w:hint="eastAsia" w:ascii="仿宋_GB2312" w:hAnsi="仿宋_GB2312" w:eastAsia="仿宋_GB2312" w:cs="仿宋_GB2312"/>
          <w:color w:val="auto"/>
          <w:kern w:val="2"/>
          <w:sz w:val="32"/>
          <w:szCs w:val="32"/>
          <w:highlight w:val="none"/>
          <w:lang w:val="en-US" w:eastAsia="zh-CN" w:bidi="ar-SA"/>
        </w:rPr>
        <w:t>万元，全年预算</w:t>
      </w:r>
      <w:r>
        <w:rPr>
          <w:rFonts w:hint="eastAsia" w:ascii="仿宋_GB2312" w:hAnsi="仿宋_GB2312" w:cs="仿宋_GB2312"/>
          <w:color w:val="auto"/>
          <w:sz w:val="32"/>
          <w:szCs w:val="32"/>
          <w:highlight w:val="none"/>
          <w:lang w:val="en-US" w:eastAsia="zh-CN"/>
        </w:rPr>
        <w:t>293.23</w:t>
      </w:r>
      <w:r>
        <w:rPr>
          <w:rFonts w:hint="eastAsia" w:ascii="仿宋_GB2312" w:hAnsi="仿宋_GB2312" w:eastAsia="仿宋_GB2312" w:cs="仿宋_GB2312"/>
          <w:color w:val="auto"/>
          <w:kern w:val="2"/>
          <w:sz w:val="32"/>
          <w:szCs w:val="32"/>
          <w:highlight w:val="none"/>
          <w:lang w:val="en-US" w:eastAsia="zh-CN" w:bidi="ar-SA"/>
        </w:rPr>
        <w:t>万元，实际支出</w:t>
      </w:r>
      <w:r>
        <w:rPr>
          <w:rFonts w:hint="eastAsia" w:ascii="仿宋_GB2312" w:hAnsi="仿宋_GB2312" w:cs="仿宋_GB2312"/>
          <w:color w:val="auto"/>
          <w:sz w:val="32"/>
          <w:szCs w:val="32"/>
          <w:highlight w:val="none"/>
          <w:lang w:val="en-US" w:eastAsia="zh-CN"/>
        </w:rPr>
        <w:t>293.23</w:t>
      </w:r>
      <w:r>
        <w:rPr>
          <w:rFonts w:hint="eastAsia" w:ascii="仿宋_GB2312" w:hAnsi="仿宋_GB2312" w:eastAsia="仿宋_GB2312" w:cs="仿宋_GB2312"/>
          <w:color w:val="auto"/>
          <w:kern w:val="2"/>
          <w:sz w:val="32"/>
          <w:szCs w:val="32"/>
          <w:highlight w:val="none"/>
          <w:lang w:val="en-US" w:eastAsia="zh-CN" w:bidi="ar-SA"/>
        </w:rPr>
        <w:t>万元，预算执行率为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0</w:t>
      </w:r>
      <w:r>
        <w:rPr>
          <w:rFonts w:hint="eastAsia" w:ascii="仿宋_GB2312" w:hAnsi="仿宋_GB2312" w:eastAsia="仿宋_GB2312" w:cs="仿宋_GB2312"/>
          <w:color w:val="auto"/>
          <w:kern w:val="2"/>
          <w:sz w:val="32"/>
          <w:szCs w:val="32"/>
          <w:highlight w:val="none"/>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bookmarkStart w:id="18" w:name="_Toc68703845"/>
    </w:p>
    <w:p>
      <w:pPr>
        <w:shd w:val="clear"/>
        <w:spacing w:line="600" w:lineRule="exact"/>
        <w:ind w:firstLine="640" w:firstLineChars="200"/>
        <w:outlineLvl w:val="0"/>
        <w:rPr>
          <w:rFonts w:hint="eastAsia" w:ascii="Times New Roman" w:hAnsi="Times New Roman" w:eastAsia="仿宋_GB2312" w:cs="Times New Roman"/>
          <w:b w:val="0"/>
          <w:bCs w:val="0"/>
          <w:color w:val="FF0000"/>
          <w:kern w:val="2"/>
          <w:sz w:val="32"/>
          <w:szCs w:val="32"/>
          <w:lang w:val="en-US" w:eastAsia="zh-CN" w:bidi="ar-SA"/>
        </w:rPr>
      </w:pPr>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2"/>
      </w:pPr>
    </w:p>
    <w:p/>
    <w:p/>
    <w:p>
      <w:pPr>
        <w:pStyle w:val="2"/>
        <w:jc w:val="both"/>
      </w:pPr>
    </w:p>
    <w:tbl>
      <w:tblPr>
        <w:tblStyle w:val="12"/>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2023年霍尔果斯市第一批农村公路及安全生命防护工程建设项目</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293.23 </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293.23</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293.23</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2023年车辆购置税收入补助地方资金预算[第一批]对霍尔果斯市道路基础设施项目及配套附属项目进行支付。完成提升城市承载力优化人居环境，改善居民出行环境的目标，达到提升居民幸福感、优化营商环境效果。</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2023年车辆购置税收入补助地方资金预算[第一批]对霍尔果斯市道路基础设施项目及配套附属项目进行支付。完成提升城市承载力优化人居环境，改善居民出行环境的目标，达到提升居民幸福感、优化营商环境效果。</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支付道路基础设施及配套附属项目个数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&gt;=2个</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2个</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资金支付合规性</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竣工验收合格率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资金支付及时率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平均支付每个项目成本</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&lt;=146.50万元/个</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146.50万元/个</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社会成本指标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生态环境成本指标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改善居民出行环境</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eastAsia="zh-CN" w:bidi="ar"/>
              </w:rPr>
            </w:pPr>
            <w:r>
              <w:rPr>
                <w:rFonts w:hint="eastAsia" w:ascii="Times New Roman" w:hAnsi="Times New Roman" w:eastAsia="宋体" w:cs="Times New Roman"/>
                <w:kern w:val="0"/>
                <w:sz w:val="18"/>
                <w:szCs w:val="18"/>
                <w:lang w:eastAsia="zh-CN" w:bidi="ar"/>
              </w:rPr>
              <w:t>有效改善</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eastAsia="zh-CN" w:bidi="ar"/>
              </w:rPr>
              <w:t>有效改善</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生态效益指标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企业满意度</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企业满意度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p>
    <w:p>
      <w:pPr>
        <w:pStyle w:val="21"/>
        <w:ind w:firstLine="562"/>
        <w:jc w:val="center"/>
        <w:rPr>
          <w:sz w:val="28"/>
          <w:szCs w:val="40"/>
        </w:rPr>
      </w:pPr>
      <w:bookmarkStart w:id="20" w:name="_Toc26499_WPSOffice_Level2"/>
      <w:bookmarkStart w:id="21" w:name="_Toc30064_WPSOffice_Level1"/>
      <w:r>
        <w:rPr>
          <w:rFonts w:hint="eastAsia"/>
          <w:b/>
          <w:bCs/>
          <w:sz w:val="28"/>
          <w:szCs w:val="40"/>
        </w:rPr>
        <w:t>2023年车辆购置税收入补助地方资金预算[第一批]项目绩效评价指标体系及综合评分表</w:t>
      </w:r>
      <w:bookmarkEnd w:id="20"/>
      <w:bookmarkEnd w:id="21"/>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109627EE"/>
    <w:rsid w:val="15AD17BE"/>
    <w:rsid w:val="17136327"/>
    <w:rsid w:val="181871E2"/>
    <w:rsid w:val="19166846"/>
    <w:rsid w:val="20E92B23"/>
    <w:rsid w:val="22AC2218"/>
    <w:rsid w:val="23AC63F7"/>
    <w:rsid w:val="2729052F"/>
    <w:rsid w:val="28C14634"/>
    <w:rsid w:val="2EC724D4"/>
    <w:rsid w:val="2EE30257"/>
    <w:rsid w:val="32E55295"/>
    <w:rsid w:val="34DA27CE"/>
    <w:rsid w:val="36411DC5"/>
    <w:rsid w:val="36B72533"/>
    <w:rsid w:val="39EF712F"/>
    <w:rsid w:val="4057649F"/>
    <w:rsid w:val="4315575D"/>
    <w:rsid w:val="450B6AE4"/>
    <w:rsid w:val="46FA4489"/>
    <w:rsid w:val="54261171"/>
    <w:rsid w:val="54873A1A"/>
    <w:rsid w:val="56796849"/>
    <w:rsid w:val="568F383B"/>
    <w:rsid w:val="5D555EEF"/>
    <w:rsid w:val="5DA95371"/>
    <w:rsid w:val="5EE355ED"/>
    <w:rsid w:val="686F7714"/>
    <w:rsid w:val="6A862BA8"/>
    <w:rsid w:val="6DFC1C65"/>
    <w:rsid w:val="75404A5A"/>
    <w:rsid w:val="75E360B7"/>
    <w:rsid w:val="75FA041F"/>
    <w:rsid w:val="760F49BD"/>
    <w:rsid w:val="761414E3"/>
    <w:rsid w:val="76E870A0"/>
    <w:rsid w:val="7AE40DD7"/>
    <w:rsid w:val="7C2510DF"/>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0"/>
    <w:semiHidden/>
    <w:unhideWhenUsed/>
    <w:qFormat/>
    <w:uiPriority w:val="99"/>
    <w:pPr>
      <w:tabs>
        <w:tab w:val="center" w:pos="4153"/>
        <w:tab w:val="right" w:pos="8306"/>
      </w:tabs>
      <w:snapToGrid w:val="0"/>
      <w:jc w:val="left"/>
    </w:pPr>
    <w:rPr>
      <w:sz w:val="18"/>
      <w:szCs w:val="18"/>
    </w:rPr>
  </w:style>
  <w:style w:type="paragraph" w:styleId="9">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9"/>
    <w:semiHidden/>
    <w:qFormat/>
    <w:uiPriority w:val="99"/>
    <w:rPr>
      <w:rFonts w:ascii="Times New Roman" w:hAnsi="Times New Roman" w:eastAsia="仿宋_GB2312" w:cs="Times New Roman"/>
      <w:sz w:val="18"/>
      <w:szCs w:val="18"/>
    </w:rPr>
  </w:style>
  <w:style w:type="character" w:customStyle="1" w:styleId="20">
    <w:name w:val="页脚 Char"/>
    <w:basedOn w:val="13"/>
    <w:link w:val="8"/>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5042</Words>
  <Characters>5242</Characters>
  <Lines>37</Lines>
  <Paragraphs>10</Paragraphs>
  <TotalTime>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2024-06-07T11:39:09Z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