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ascii="宋体" w:hAnsi="宋体" w:eastAsia="宋体" w:cs="宋体"/>
          <w:sz w:val="24"/>
          <w:szCs w:val="24"/>
        </w:rPr>
        <w:br w:type="textWrapping"/>
      </w:r>
      <w:r>
        <w:rPr>
          <w:rFonts w:hint="eastAsia" w:eastAsia="方正小标宋_GBK"/>
          <w:kern w:val="0"/>
          <w:sz w:val="48"/>
          <w:szCs w:val="48"/>
        </w:rPr>
        <w:t>2023年中央对地方成品油税费对各地农村公路日常养护项目</w:t>
      </w:r>
      <w:r>
        <w:rPr>
          <w:rFonts w:eastAsia="方正小标宋_GBK"/>
          <w:kern w:val="0"/>
          <w:sz w:val="48"/>
          <w:szCs w:val="48"/>
        </w:rPr>
        <w:t>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left="3209" w:leftChars="106" w:hanging="2891" w:hangingChars="9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项目名称：2023年霍尔果斯市第一批农村公路及安全生命防护工程建设项目</w:t>
      </w:r>
    </w:p>
    <w:p>
      <w:pPr>
        <w:spacing w:line="560" w:lineRule="exact"/>
        <w:ind w:left="3209" w:leftChars="106" w:hanging="2891" w:hangingChars="900"/>
        <w:jc w:val="both"/>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val="en-US" w:eastAsia="zh-CN"/>
        </w:rPr>
        <w:t>霍尔果斯市交通运输局</w:t>
      </w:r>
    </w:p>
    <w:p>
      <w:pPr>
        <w:spacing w:line="560" w:lineRule="exact"/>
        <w:ind w:left="3209" w:leftChars="106" w:hanging="2891" w:hangingChars="9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霍尔果斯市交通运输局</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谢宝庆</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10</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本项目项目名称为2023年中央对地方成品油税费对各地农村公路日常养护支出</w:t>
      </w:r>
      <w:r>
        <w:rPr>
          <w:rFonts w:hint="eastAsia" w:cs="Times New Roman"/>
          <w:b w:val="0"/>
          <w:bCs w:val="0"/>
          <w:kern w:val="28"/>
          <w:sz w:val="32"/>
          <w:szCs w:val="32"/>
          <w:lang w:val="en-US" w:eastAsia="zh-CN" w:bidi="ar-SA"/>
        </w:rPr>
        <w:t>-</w:t>
      </w:r>
      <w:r>
        <w:rPr>
          <w:rFonts w:hint="eastAsia" w:ascii="Times New Roman" w:hAnsi="Times New Roman" w:eastAsia="仿宋_GB2312" w:cs="Times New Roman"/>
          <w:b w:val="0"/>
          <w:bCs w:val="0"/>
          <w:kern w:val="28"/>
          <w:sz w:val="32"/>
          <w:szCs w:val="32"/>
          <w:lang w:val="en-US" w:eastAsia="zh-CN" w:bidi="ar-SA"/>
        </w:rPr>
        <w:t>2023年霍尔果斯市第一批农村公路及安全生命防护工程建设项目，该项目为2023年新建项目，由霍尔果斯市交通运输局负责建设。</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依据《关于提前下达2023年成品油税费改革转移支付资金用于农村公路养护支出预算的通知》（伊州财建〔2022〕203号）文件要求，抓紧组织项目实施，不得擅自调整项目计划，加快中央投资支付，防范政府债务风险，尽快形成有效投资。</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bookmarkStart w:id="22" w:name="_GoBack"/>
      <w:bookmarkEnd w:id="2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仿宋_GB2312"/>
          <w:sz w:val="32"/>
          <w:szCs w:val="32"/>
        </w:rPr>
        <w:t>主要内容：</w:t>
      </w:r>
      <w:r>
        <w:rPr>
          <w:rFonts w:hint="default" w:ascii="Times New Roman" w:hAnsi="Times New Roman" w:eastAsia="仿宋_GB2312" w:cs="Times New Roman"/>
          <w:b w:val="0"/>
          <w:bCs w:val="0"/>
          <w:kern w:val="28"/>
          <w:sz w:val="32"/>
          <w:szCs w:val="32"/>
          <w:lang w:val="en-US" w:eastAsia="zh-CN" w:bidi="ar-SA"/>
        </w:rPr>
        <w:t>第一合同段为2023年霍尔果斯市第一批农村公路建设项目，共涉及莫乎尔牧场和伊车嘎善乡2个建设地点。项目计划为6.131</w:t>
      </w:r>
      <w:r>
        <w:rPr>
          <w:rFonts w:hint="eastAsia" w:ascii="Times New Roman" w:hAnsi="Times New Roman" w:eastAsia="仿宋_GB2312" w:cs="Times New Roman"/>
          <w:b w:val="0"/>
          <w:bCs w:val="0"/>
          <w:kern w:val="28"/>
          <w:sz w:val="32"/>
          <w:szCs w:val="32"/>
          <w:lang w:val="en-US" w:eastAsia="zh-CN" w:bidi="ar-SA"/>
        </w:rPr>
        <w:t>k</w:t>
      </w:r>
      <w:r>
        <w:rPr>
          <w:rFonts w:hint="default" w:ascii="Times New Roman" w:hAnsi="Times New Roman" w:eastAsia="仿宋_GB2312" w:cs="Times New Roman"/>
          <w:b w:val="0"/>
          <w:bCs w:val="0"/>
          <w:kern w:val="28"/>
          <w:sz w:val="32"/>
          <w:szCs w:val="32"/>
          <w:lang w:val="en-US" w:eastAsia="zh-CN" w:bidi="ar-SA"/>
        </w:rPr>
        <w:t>m，其中1、Y114线G312K4806+005-加尔苏村，计划3.69km；2、Y115G312K4805+130-加尔苏村三组，计划里程2.44km；3、4-1.5米漫水桥一座长度40米。</w:t>
      </w:r>
    </w:p>
    <w:p>
      <w:pPr>
        <w:spacing w:line="560" w:lineRule="exact"/>
        <w:ind w:firstLine="640" w:firstLineChars="200"/>
        <w:rPr>
          <w:color w:val="auto"/>
          <w:highlight w:val="none"/>
        </w:rPr>
      </w:pPr>
      <w:r>
        <w:rPr>
          <w:rFonts w:hint="eastAsia" w:ascii="仿宋_GB2312"/>
          <w:color w:val="auto"/>
          <w:sz w:val="32"/>
          <w:szCs w:val="32"/>
          <w:highlight w:val="none"/>
        </w:rPr>
        <w:t>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color w:val="auto"/>
          <w:sz w:val="32"/>
          <w:szCs w:val="32"/>
          <w:highlight w:val="none"/>
          <w:lang w:eastAsia="zh-CN"/>
        </w:rPr>
      </w:pPr>
      <w:r>
        <w:rPr>
          <w:rFonts w:hint="eastAsia" w:ascii="Times New Roman" w:hAnsi="Times New Roman" w:cs="Times New Roman"/>
          <w:b w:val="0"/>
          <w:bCs w:val="0"/>
          <w:color w:val="auto"/>
          <w:sz w:val="32"/>
          <w:szCs w:val="32"/>
          <w:highlight w:val="none"/>
          <w:lang w:eastAsia="zh-CN"/>
        </w:rPr>
        <w:t>　3</w:t>
      </w:r>
      <w:r>
        <w:rPr>
          <w:rFonts w:hint="eastAsia" w:ascii="Times New Roman" w:hAnsi="Times New Roman" w:cs="Times New Roman"/>
          <w:b w:val="0"/>
          <w:bCs w:val="0"/>
          <w:color w:val="auto"/>
          <w:sz w:val="32"/>
          <w:szCs w:val="32"/>
          <w:highlight w:val="none"/>
          <w:lang w:val="en-US" w:eastAsia="zh-CN"/>
        </w:rPr>
        <w:t>.</w:t>
      </w:r>
      <w:r>
        <w:rPr>
          <w:rFonts w:hint="eastAsia" w:ascii="Times New Roman" w:hAnsi="Times New Roman" w:cs="Times New Roman"/>
          <w:b w:val="0"/>
          <w:bCs w:val="0"/>
          <w:color w:val="auto"/>
          <w:sz w:val="32"/>
          <w:szCs w:val="32"/>
          <w:highlight w:val="none"/>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rPr>
        <w:t>资金投入情况：该项目年初预算数</w:t>
      </w:r>
      <w:r>
        <w:rPr>
          <w:rFonts w:hint="eastAsia"/>
          <w:color w:val="auto"/>
          <w:sz w:val="32"/>
          <w:szCs w:val="32"/>
          <w:highlight w:val="none"/>
          <w:lang w:val="en-US" w:eastAsia="zh-CN"/>
        </w:rPr>
        <w:t>38</w:t>
      </w:r>
      <w:r>
        <w:rPr>
          <w:rFonts w:hint="eastAsia"/>
          <w:color w:val="auto"/>
          <w:sz w:val="32"/>
          <w:szCs w:val="32"/>
          <w:highlight w:val="none"/>
        </w:rPr>
        <w:t>万元，全年预算数</w:t>
      </w:r>
      <w:r>
        <w:rPr>
          <w:rFonts w:hint="eastAsia"/>
          <w:color w:val="auto"/>
          <w:sz w:val="32"/>
          <w:szCs w:val="32"/>
          <w:highlight w:val="none"/>
          <w:lang w:val="en-US" w:eastAsia="zh-CN"/>
        </w:rPr>
        <w:t>38</w:t>
      </w:r>
      <w:r>
        <w:rPr>
          <w:rFonts w:hint="eastAsia"/>
          <w:color w:val="auto"/>
          <w:sz w:val="32"/>
          <w:szCs w:val="32"/>
          <w:highlight w:val="none"/>
        </w:rPr>
        <w:t>万元，实际总投入</w:t>
      </w:r>
      <w:r>
        <w:rPr>
          <w:rFonts w:hint="eastAsia"/>
          <w:color w:val="auto"/>
          <w:sz w:val="32"/>
          <w:szCs w:val="32"/>
          <w:highlight w:val="none"/>
          <w:lang w:val="en-US" w:eastAsia="zh-CN"/>
        </w:rPr>
        <w:t>38</w:t>
      </w:r>
      <w:r>
        <w:rPr>
          <w:rFonts w:hint="eastAsia"/>
          <w:color w:val="auto"/>
          <w:sz w:val="32"/>
          <w:szCs w:val="32"/>
          <w:highlight w:val="none"/>
        </w:rPr>
        <w:t>万元，该项目资金已全部落实到位，资金来源为</w:t>
      </w:r>
      <w:r>
        <w:rPr>
          <w:rFonts w:hint="eastAsia"/>
          <w:color w:val="auto"/>
          <w:sz w:val="32"/>
          <w:szCs w:val="32"/>
          <w:highlight w:val="none"/>
          <w:lang w:eastAsia="zh-CN"/>
        </w:rPr>
        <w:t>上级专项资金</w:t>
      </w:r>
      <w:r>
        <w:rPr>
          <w:rFonts w:hint="eastAsia"/>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资金使用情况：该项目年初预算数</w:t>
      </w:r>
      <w:r>
        <w:rPr>
          <w:rFonts w:hint="eastAsia"/>
          <w:color w:val="auto"/>
          <w:sz w:val="32"/>
          <w:szCs w:val="32"/>
          <w:highlight w:val="none"/>
          <w:lang w:val="en-US" w:eastAsia="zh-CN"/>
        </w:rPr>
        <w:t>38</w:t>
      </w:r>
      <w:r>
        <w:rPr>
          <w:rFonts w:hint="eastAsia"/>
          <w:color w:val="auto"/>
          <w:sz w:val="32"/>
          <w:szCs w:val="32"/>
          <w:highlight w:val="none"/>
        </w:rPr>
        <w:t>万元，全年预算数</w:t>
      </w:r>
      <w:r>
        <w:rPr>
          <w:rFonts w:hint="eastAsia"/>
          <w:color w:val="auto"/>
          <w:sz w:val="32"/>
          <w:szCs w:val="32"/>
          <w:highlight w:val="none"/>
          <w:lang w:val="en-US" w:eastAsia="zh-CN"/>
        </w:rPr>
        <w:t>38</w:t>
      </w:r>
      <w:r>
        <w:rPr>
          <w:rFonts w:hint="eastAsia"/>
          <w:color w:val="auto"/>
          <w:sz w:val="32"/>
          <w:szCs w:val="32"/>
          <w:highlight w:val="none"/>
        </w:rPr>
        <w:t>万元，全年执行数</w:t>
      </w:r>
      <w:r>
        <w:rPr>
          <w:rFonts w:hint="eastAsia"/>
          <w:color w:val="auto"/>
          <w:sz w:val="32"/>
          <w:szCs w:val="32"/>
          <w:highlight w:val="none"/>
          <w:lang w:val="en-US" w:eastAsia="zh-CN"/>
        </w:rPr>
        <w:t>38</w:t>
      </w:r>
      <w:r>
        <w:rPr>
          <w:rFonts w:hint="eastAsia"/>
          <w:color w:val="auto"/>
          <w:sz w:val="32"/>
          <w:szCs w:val="32"/>
          <w:highlight w:val="none"/>
        </w:rPr>
        <w:t>万元，预算执行率为</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主要</w:t>
      </w:r>
      <w:r>
        <w:rPr>
          <w:rFonts w:hint="eastAsia"/>
          <w:color w:val="auto"/>
          <w:sz w:val="32"/>
          <w:szCs w:val="32"/>
          <w:highlight w:val="none"/>
        </w:rPr>
        <w:t>用于：</w:t>
      </w:r>
      <w:r>
        <w:rPr>
          <w:rFonts w:hint="eastAsia"/>
          <w:color w:val="auto"/>
          <w:sz w:val="32"/>
          <w:szCs w:val="32"/>
          <w:highlight w:val="none"/>
          <w:lang w:val="en-US" w:eastAsia="zh-CN"/>
        </w:rPr>
        <w:t>38</w:t>
      </w:r>
      <w:r>
        <w:rPr>
          <w:rFonts w:hint="eastAsia"/>
          <w:color w:val="auto"/>
          <w:sz w:val="32"/>
          <w:szCs w:val="32"/>
          <w:highlight w:val="none"/>
        </w:rPr>
        <w:t>万元。</w:t>
      </w:r>
      <w:bookmarkStart w:id="2" w:name="_Toc68703829"/>
    </w:p>
    <w:p>
      <w:pPr>
        <w:spacing w:line="560" w:lineRule="exact"/>
        <w:rPr>
          <w:color w:val="auto"/>
          <w:sz w:val="32"/>
          <w:szCs w:val="32"/>
          <w:highlight w:val="none"/>
        </w:rPr>
      </w:pPr>
      <w:r>
        <w:rPr>
          <w:rFonts w:hint="eastAsia" w:ascii="Times New Roman" w:hAnsi="Times New Roman" w:eastAsia="楷体_GB2312" w:cs="Times New Roman"/>
          <w:b/>
          <w:bCs/>
          <w:color w:val="auto"/>
          <w:sz w:val="32"/>
          <w:szCs w:val="32"/>
          <w:highlight w:val="none"/>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color w:val="auto"/>
          <w:sz w:val="32"/>
          <w:szCs w:val="32"/>
          <w:highlight w:val="none"/>
        </w:rPr>
      </w:pP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1.总体目标：2023年车辆购置税收入补助地方资金预算[第一批]对霍尔果斯市道路基础设施项目及配套附属项目进行支付。完成提升城市承载力优化人居环境，改善居民出行环境的目标，达到提升居民幸福感、优化营商环境效果。</w:t>
      </w:r>
    </w:p>
    <w:p>
      <w:pPr>
        <w:spacing w:line="560" w:lineRule="exact"/>
        <w:rPr>
          <w:rFonts w:hint="eastAsia"/>
          <w:color w:val="auto"/>
          <w:sz w:val="32"/>
          <w:szCs w:val="32"/>
          <w:highlight w:val="none"/>
        </w:rPr>
      </w:pPr>
      <w:r>
        <w:rPr>
          <w:rFonts w:hint="eastAsia"/>
          <w:b w:val="0"/>
          <w:bCs w:val="0"/>
          <w:color w:val="auto"/>
          <w:sz w:val="32"/>
          <w:szCs w:val="32"/>
          <w:highlight w:val="none"/>
          <w:lang w:eastAsia="zh-CN"/>
        </w:rPr>
        <w:t>　　</w:t>
      </w:r>
      <w:r>
        <w:rPr>
          <w:rFonts w:hint="eastAsia" w:ascii="Times New Roman" w:hAnsi="Times New Roman" w:eastAsia="仿宋_GB2312" w:cs="Times New Roman"/>
          <w:b w:val="0"/>
          <w:bCs w:val="0"/>
          <w:color w:val="auto"/>
          <w:sz w:val="32"/>
          <w:szCs w:val="32"/>
          <w:highlight w:val="none"/>
          <w:lang w:val="en-US" w:eastAsia="zh-CN"/>
        </w:rPr>
        <w:t>2.阶段性目标：</w:t>
      </w:r>
      <w:bookmarkStart w:id="3" w:name="_Toc68703830"/>
      <w:r>
        <w:rPr>
          <w:rFonts w:hint="eastAsia" w:ascii="Times New Roman" w:hAnsi="Times New Roman" w:eastAsia="仿宋_GB2312" w:cs="Times New Roman"/>
          <w:b w:val="0"/>
          <w:bCs w:val="0"/>
          <w:color w:val="auto"/>
          <w:sz w:val="32"/>
          <w:szCs w:val="32"/>
          <w:highlight w:val="none"/>
          <w:lang w:val="en-US" w:eastAsia="zh-CN"/>
        </w:rPr>
        <w:t>为改善霍尔果斯市莫乎尔牧场的居民出行条件，加快新农村建设经济发展，提高居民生产生活水平。项目建设里程约</w:t>
      </w:r>
      <w:r>
        <w:rPr>
          <w:rFonts w:hint="default" w:ascii="Times New Roman" w:hAnsi="Times New Roman" w:eastAsia="方正仿宋简体" w:cs="Times New Roman"/>
          <w:color w:val="auto"/>
          <w:w w:val="95"/>
          <w:sz w:val="32"/>
          <w:szCs w:val="32"/>
          <w:highlight w:val="none"/>
          <w:lang w:val="en-US" w:eastAsia="zh-CN"/>
        </w:rPr>
        <w:t>6.131</w:t>
      </w:r>
      <w:r>
        <w:rPr>
          <w:rFonts w:hint="eastAsia" w:cs="Times New Roman"/>
          <w:b w:val="0"/>
          <w:bCs w:val="0"/>
          <w:color w:val="auto"/>
          <w:sz w:val="32"/>
          <w:szCs w:val="32"/>
          <w:highlight w:val="none"/>
          <w:lang w:val="en-US" w:eastAsia="zh-CN"/>
        </w:rPr>
        <w:t>km</w:t>
      </w:r>
      <w:r>
        <w:rPr>
          <w:rFonts w:hint="eastAsia" w:ascii="Times New Roman" w:hAnsi="Times New Roman" w:eastAsia="仿宋_GB2312" w:cs="Times New Roman"/>
          <w:b w:val="0"/>
          <w:bCs w:val="0"/>
          <w:color w:val="auto"/>
          <w:sz w:val="32"/>
          <w:szCs w:val="32"/>
          <w:highlight w:val="none"/>
          <w:lang w:val="en-US" w:eastAsia="zh-CN"/>
        </w:rPr>
        <w:t>，公路等级为</w:t>
      </w:r>
      <w:r>
        <w:rPr>
          <w:rFonts w:hint="eastAsia" w:cs="Times New Roman"/>
          <w:b w:val="0"/>
          <w:bCs w:val="0"/>
          <w:color w:val="auto"/>
          <w:sz w:val="32"/>
          <w:szCs w:val="32"/>
          <w:highlight w:val="none"/>
          <w:lang w:val="en-US" w:eastAsia="zh-CN"/>
        </w:rPr>
        <w:t>四</w:t>
      </w:r>
      <w:r>
        <w:rPr>
          <w:rFonts w:hint="eastAsia" w:ascii="Times New Roman" w:hAnsi="Times New Roman" w:eastAsia="仿宋_GB2312" w:cs="Times New Roman"/>
          <w:b w:val="0"/>
          <w:bCs w:val="0"/>
          <w:color w:val="auto"/>
          <w:sz w:val="32"/>
          <w:szCs w:val="32"/>
          <w:highlight w:val="none"/>
          <w:lang w:val="en-US" w:eastAsia="zh-CN"/>
        </w:rPr>
        <w:t>级公路，该项目已</w:t>
      </w:r>
      <w:r>
        <w:rPr>
          <w:rFonts w:hint="eastAsia" w:cs="Times New Roman"/>
          <w:b w:val="0"/>
          <w:bCs w:val="0"/>
          <w:color w:val="auto"/>
          <w:sz w:val="32"/>
          <w:szCs w:val="32"/>
          <w:highlight w:val="none"/>
          <w:lang w:val="en-US" w:eastAsia="zh-CN"/>
        </w:rPr>
        <w:t>完工</w:t>
      </w:r>
      <w:r>
        <w:rPr>
          <w:rFonts w:hint="eastAsia" w:ascii="Times New Roman" w:hAnsi="Times New Roman" w:eastAsia="仿宋_GB2312" w:cs="Times New Roman"/>
          <w:b w:val="0"/>
          <w:bCs w:val="0"/>
          <w:color w:val="auto"/>
          <w:sz w:val="32"/>
          <w:szCs w:val="32"/>
          <w:highlight w:val="none"/>
          <w:lang w:val="en-US" w:eastAsia="zh-CN"/>
        </w:rPr>
        <w:t>，现申请支付</w:t>
      </w:r>
      <w:r>
        <w:rPr>
          <w:rFonts w:hint="eastAsia" w:cs="Times New Roman"/>
          <w:b w:val="0"/>
          <w:bCs w:val="0"/>
          <w:color w:val="auto"/>
          <w:sz w:val="32"/>
          <w:szCs w:val="32"/>
          <w:highlight w:val="none"/>
          <w:lang w:val="en-US" w:eastAsia="zh-CN"/>
        </w:rPr>
        <w:t>38</w:t>
      </w:r>
      <w:r>
        <w:rPr>
          <w:rFonts w:hint="eastAsia" w:ascii="Times New Roman" w:hAnsi="Times New Roman" w:eastAsia="仿宋_GB2312" w:cs="Times New Roman"/>
          <w:b w:val="0"/>
          <w:bCs w:val="0"/>
          <w:color w:val="auto"/>
          <w:sz w:val="32"/>
          <w:szCs w:val="32"/>
          <w:highlight w:val="none"/>
          <w:lang w:val="en-US" w:eastAsia="zh-CN"/>
        </w:rPr>
        <w:t>万元用于支付项目工程款。</w:t>
      </w:r>
    </w:p>
    <w:p>
      <w:pPr>
        <w:spacing w:line="560" w:lineRule="exact"/>
        <w:rPr>
          <w:rFonts w:hint="eastAsia" w:ascii="Times New Roman" w:hAnsi="Times New Roman" w:eastAsia="黑体" w:cs="Times New Roman"/>
          <w:bCs/>
          <w:color w:val="auto"/>
          <w:sz w:val="32"/>
          <w:szCs w:val="32"/>
          <w:highlight w:val="none"/>
          <w:lang w:val="en-US" w:eastAsia="zh-CN"/>
        </w:rPr>
      </w:pPr>
      <w:r>
        <w:rPr>
          <w:rFonts w:hint="eastAsia" w:ascii="Times New Roman" w:hAnsi="Times New Roman" w:eastAsia="黑体" w:cs="Times New Roman"/>
          <w:bCs/>
          <w:color w:val="auto"/>
          <w:sz w:val="32"/>
          <w:szCs w:val="32"/>
          <w:highlight w:val="none"/>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color w:val="auto"/>
          <w:sz w:val="32"/>
          <w:szCs w:val="32"/>
          <w:highlight w:val="none"/>
          <w:lang w:eastAsia="zh-CN"/>
        </w:rPr>
      </w:pPr>
      <w:bookmarkStart w:id="4" w:name="_Toc68703831"/>
      <w:r>
        <w:rPr>
          <w:rFonts w:hint="eastAsia" w:ascii="Times New Roman" w:hAnsi="Times New Roman" w:eastAsia="楷体_GB2312" w:cs="Times New Roman"/>
          <w:b/>
          <w:bCs/>
          <w:color w:val="auto"/>
          <w:sz w:val="32"/>
          <w:szCs w:val="32"/>
          <w:highlight w:val="none"/>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1.绩效评价目的</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（2）项目绩效管理财政支出运行提供及时、有效的信息。</w:t>
      </w:r>
    </w:p>
    <w:p>
      <w:pPr>
        <w:pStyle w:val="21"/>
        <w:spacing w:line="560" w:lineRule="exact"/>
        <w:ind w:firstLine="640" w:firstLineChars="200"/>
        <w:rPr>
          <w:rFonts w:eastAsia="方正仿宋_GBK" w:cs="方正仿宋_GBK"/>
          <w:color w:val="auto"/>
          <w:sz w:val="32"/>
          <w:szCs w:val="32"/>
          <w:highlight w:val="none"/>
        </w:rPr>
      </w:pPr>
      <w:r>
        <w:rPr>
          <w:rFonts w:eastAsia="仿宋_GB2312"/>
          <w:color w:val="auto"/>
          <w:sz w:val="32"/>
          <w:szCs w:val="32"/>
          <w:highlight w:val="none"/>
        </w:rPr>
        <w:t>综合来看，通过开展有效的财政支出绩效评价管理，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cs="Times New Roman"/>
          <w:b/>
          <w:bCs/>
          <w:color w:val="auto"/>
          <w:sz w:val="30"/>
          <w:szCs w:val="30"/>
          <w:highlight w:val="none"/>
          <w:lang w:val="en-US" w:eastAsia="zh-CN"/>
        </w:rPr>
        <w:t>　</w:t>
      </w:r>
      <w:r>
        <w:rPr>
          <w:rFonts w:hint="eastAsia" w:ascii="Times New Roman" w:hAnsi="Times New Roman" w:eastAsia="仿宋_GB2312" w:cs="Times New Roman"/>
          <w:b w:val="0"/>
          <w:bCs w:val="0"/>
          <w:color w:val="auto"/>
          <w:sz w:val="32"/>
          <w:szCs w:val="32"/>
          <w:highlight w:val="none"/>
          <w:lang w:val="en-US" w:eastAsia="zh-CN"/>
        </w:rPr>
        <w:t>2.绩效评价对象：</w:t>
      </w:r>
    </w:p>
    <w:p>
      <w:pPr>
        <w:spacing w:line="56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2023年霍尔果斯市第一批农村公路及安全生命防护工程建设项目</w:t>
      </w:r>
    </w:p>
    <w:p>
      <w:pPr>
        <w:spacing w:line="560" w:lineRule="exact"/>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b w:val="0"/>
          <w:bCs w:val="0"/>
          <w:color w:val="auto"/>
          <w:sz w:val="32"/>
          <w:szCs w:val="32"/>
          <w:highlight w:val="none"/>
          <w:lang w:val="en-US" w:eastAsia="zh-CN"/>
        </w:rPr>
        <w:t>　3.绩效评价范围：</w:t>
      </w:r>
    </w:p>
    <w:p>
      <w:pPr>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right="0" w:rightChars="0"/>
        <w:jc w:val="left"/>
        <w:textAlignment w:val="auto"/>
        <w:outlineLvl w:val="9"/>
        <w:rPr>
          <w:rFonts w:hint="eastAsia" w:ascii="黑体" w:hAnsi="黑体" w:eastAsia="黑体" w:cs="黑体"/>
          <w:color w:val="auto"/>
          <w:w w:val="95"/>
          <w:sz w:val="32"/>
          <w:szCs w:val="32"/>
          <w:highlight w:val="none"/>
          <w:lang w:val="en-US" w:eastAsia="zh-CN"/>
        </w:rPr>
      </w:pPr>
      <w:r>
        <w:rPr>
          <w:rFonts w:hint="eastAsia"/>
          <w:color w:val="auto"/>
          <w:sz w:val="32"/>
          <w:szCs w:val="32"/>
          <w:highlight w:val="none"/>
          <w:lang w:eastAsia="zh-CN"/>
        </w:rPr>
        <w:t>　　</w:t>
      </w:r>
      <w:r>
        <w:rPr>
          <w:rFonts w:hint="eastAsia"/>
          <w:color w:val="auto"/>
          <w:sz w:val="32"/>
          <w:szCs w:val="32"/>
          <w:highlight w:val="none"/>
        </w:rPr>
        <w:t>本次评价从项目决策（包括绩效目标、决策过程）、项目管理（包括项目资金、项目实施）、项目产出（包括项目产出数量、产出质量、产出时效和产出成本）项目效益四个维度进行</w:t>
      </w:r>
      <w:r>
        <w:rPr>
          <w:rFonts w:hint="default" w:ascii="Times New Roman" w:hAnsi="Times New Roman" w:eastAsia="方正仿宋简体" w:cs="Times New Roman"/>
          <w:color w:val="auto"/>
          <w:w w:val="95"/>
          <w:sz w:val="32"/>
          <w:szCs w:val="32"/>
          <w:highlight w:val="none"/>
          <w:lang w:val="en-US" w:eastAsia="zh-CN"/>
        </w:rPr>
        <w:t>2023年霍尔果斯市第一批农村公路及安全生命防护工程建设项目</w:t>
      </w:r>
    </w:p>
    <w:p>
      <w:pPr>
        <w:pageBreakBefore w:val="0"/>
        <w:widowControl w:val="0"/>
        <w:kinsoku/>
        <w:wordWrap/>
        <w:overflowPunct/>
        <w:topLinePunct w:val="0"/>
        <w:autoSpaceDE/>
        <w:autoSpaceDN/>
        <w:bidi w:val="0"/>
        <w:adjustRightInd/>
        <w:snapToGrid/>
        <w:spacing w:line="560" w:lineRule="exact"/>
        <w:textAlignment w:val="auto"/>
        <w:rPr>
          <w:color w:val="auto"/>
          <w:sz w:val="32"/>
          <w:szCs w:val="32"/>
          <w:highlight w:val="none"/>
        </w:rPr>
      </w:pPr>
      <w:r>
        <w:rPr>
          <w:rFonts w:hint="eastAsia"/>
          <w:color w:val="auto"/>
          <w:sz w:val="32"/>
          <w:szCs w:val="32"/>
          <w:highlight w:val="none"/>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5" w:name="_Toc68703832"/>
      <w:r>
        <w:rPr>
          <w:rFonts w:hint="eastAsia" w:ascii="Times New Roman" w:hAnsi="Times New Roman" w:eastAsia="楷体_GB2312" w:cs="Times New Roman"/>
          <w:b/>
          <w:bCs/>
          <w:color w:val="auto"/>
          <w:kern w:val="2"/>
          <w:sz w:val="32"/>
          <w:szCs w:val="32"/>
          <w:highlight w:val="none"/>
          <w:lang w:val="en-US" w:eastAsia="zh-CN" w:bidi="ar-SA"/>
        </w:rPr>
        <w:t>（二）绩效评价原则、评价指标体系</w:t>
      </w:r>
      <w:r>
        <w:rPr>
          <w:rFonts w:eastAsia="楷体_GB2312"/>
          <w:b/>
          <w:bCs/>
          <w:color w:val="auto"/>
          <w:sz w:val="32"/>
          <w:szCs w:val="32"/>
          <w:highlight w:val="none"/>
        </w:rPr>
        <w:t>（详情见表1）</w:t>
      </w:r>
      <w:r>
        <w:rPr>
          <w:rFonts w:hint="eastAsia" w:ascii="Times New Roman" w:hAnsi="Times New Roman" w:eastAsia="楷体_GB2312" w:cs="Times New Roman"/>
          <w:b/>
          <w:bCs/>
          <w:color w:val="auto"/>
          <w:kern w:val="2"/>
          <w:sz w:val="32"/>
          <w:szCs w:val="32"/>
          <w:highlight w:val="none"/>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sz w:val="32"/>
          <w:szCs w:val="32"/>
          <w:highlight w:val="none"/>
        </w:rPr>
      </w:pPr>
      <w:r>
        <w:rPr>
          <w:rFonts w:hint="eastAsia"/>
          <w:color w:val="auto"/>
          <w:sz w:val="32"/>
          <w:szCs w:val="32"/>
          <w:highlight w:val="none"/>
          <w:lang w:eastAsia="zh-CN"/>
        </w:rPr>
        <w:t>　　</w:t>
      </w: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绩效评价原则</w:t>
      </w:r>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color w:val="auto"/>
          <w:highlight w:val="none"/>
        </w:rPr>
      </w:pPr>
      <w:r>
        <w:rPr>
          <w:rFonts w:ascii="Times New Roman" w:hAnsi="Times New Roman" w:eastAsia="仿宋_GB2312"/>
          <w:b w:val="0"/>
          <w:bCs w:val="0"/>
          <w:color w:val="auto"/>
          <w:highlight w:val="none"/>
        </w:rPr>
        <w:t>（4）公开透明。绩效评价结果应依法依规公开，并自觉接受社会监督。</w:t>
      </w:r>
    </w:p>
    <w:p>
      <w:pPr>
        <w:spacing w:line="360" w:lineRule="auto"/>
        <w:ind w:firstLine="600" w:firstLineChars="200"/>
        <w:jc w:val="left"/>
        <w:rPr>
          <w:rFonts w:hint="eastAsia"/>
          <w:color w:val="auto"/>
          <w:sz w:val="32"/>
          <w:szCs w:val="32"/>
          <w:highlight w:val="none"/>
        </w:rPr>
      </w:pPr>
      <w:r>
        <w:rPr>
          <w:rFonts w:hint="eastAsia"/>
          <w:color w:val="auto"/>
          <w:highlight w:val="none"/>
        </w:rPr>
        <w:t>2、</w:t>
      </w:r>
      <w:r>
        <w:rPr>
          <w:rFonts w:hint="eastAsia"/>
          <w:color w:val="auto"/>
          <w:sz w:val="32"/>
          <w:szCs w:val="32"/>
          <w:highlight w:val="none"/>
        </w:rPr>
        <w:t>评价指标体系</w:t>
      </w:r>
    </w:p>
    <w:p>
      <w:pPr>
        <w:spacing w:line="560" w:lineRule="exact"/>
        <w:ind w:firstLine="708" w:firstLineChars="200"/>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（1）确定评价指标</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（2）确定权重</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auto"/>
          <w:spacing w:val="17"/>
          <w:kern w:val="2"/>
          <w:highlight w:val="none"/>
        </w:rPr>
      </w:pPr>
      <w:r>
        <w:rPr>
          <w:rFonts w:ascii="Times New Roman" w:hAnsi="Times New Roman" w:eastAsia="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color w:val="auto"/>
          <w:highlight w:val="none"/>
        </w:rPr>
      </w:pPr>
      <w:r>
        <w:rPr>
          <w:rFonts w:ascii="Times New Roman" w:hAnsi="Times New Roman" w:eastAsia="仿宋_GB2312"/>
          <w:b w:val="0"/>
          <w:bCs w:val="0"/>
          <w:color w:val="auto"/>
          <w:spacing w:val="17"/>
          <w:highlight w:val="none"/>
        </w:rPr>
        <w:t>具体评价指标体系详情见附件1</w:t>
      </w:r>
    </w:p>
    <w:p>
      <w:pPr>
        <w:pStyle w:val="7"/>
        <w:rPr>
          <w:rFonts w:hint="eastAsia"/>
          <w:color w:val="auto"/>
          <w:sz w:val="32"/>
          <w:szCs w:val="32"/>
          <w:highlight w:val="none"/>
        </w:rPr>
      </w:pPr>
      <w:r>
        <w:rPr>
          <w:rFonts w:hint="eastAsia"/>
          <w:color w:val="auto"/>
          <w:sz w:val="32"/>
          <w:szCs w:val="32"/>
          <w:highlight w:val="none"/>
        </w:rPr>
        <w:t>3、评价方法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（1）比较法</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通过对绩效目标与实施效果、历史与当期情况，综合分析绩效目标实现程度。对</w:t>
      </w:r>
      <w:r>
        <w:rPr>
          <w:rFonts w:eastAsia="仿宋_GB2312"/>
          <w:color w:val="auto"/>
          <w:sz w:val="32"/>
          <w:szCs w:val="32"/>
          <w:highlight w:val="none"/>
        </w:rPr>
        <w:t>项目</w:t>
      </w:r>
      <w:r>
        <w:rPr>
          <w:rFonts w:eastAsia="仿宋_GB2312"/>
          <w:color w:val="auto"/>
          <w:spacing w:val="17"/>
          <w:sz w:val="32"/>
          <w:szCs w:val="32"/>
          <w:highlight w:val="none"/>
        </w:rPr>
        <w:t>最终验收情况与年度绩效目标对比、预算资金执行情况等相关因素进行比较。</w:t>
      </w:r>
    </w:p>
    <w:p>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（2）因素分析法</w:t>
      </w:r>
    </w:p>
    <w:p>
      <w:pPr>
        <w:spacing w:line="560" w:lineRule="exact"/>
        <w:ind w:firstLine="708" w:firstLineChars="200"/>
        <w:rPr>
          <w:rFonts w:hint="eastAsia" w:eastAsia="仿宋_GB2312"/>
          <w:bCs/>
          <w:color w:val="auto"/>
          <w:sz w:val="32"/>
          <w:szCs w:val="32"/>
          <w:highlight w:val="none"/>
          <w:lang w:eastAsia="zh-CN"/>
        </w:rPr>
      </w:pPr>
      <w:r>
        <w:rPr>
          <w:rFonts w:eastAsia="仿宋_GB2312"/>
          <w:color w:val="auto"/>
          <w:spacing w:val="17"/>
          <w:sz w:val="32"/>
          <w:szCs w:val="32"/>
          <w:highlight w:val="none"/>
        </w:rPr>
        <w:t>通过综合分析影响绩效目标实现、实施效果的内外因素，评价绩效目标实现程度。通过对</w:t>
      </w:r>
      <w:r>
        <w:rPr>
          <w:rFonts w:eastAsia="仿宋_GB2312"/>
          <w:color w:val="auto"/>
          <w:sz w:val="32"/>
          <w:szCs w:val="32"/>
          <w:highlight w:val="none"/>
        </w:rPr>
        <w:t>项目</w:t>
      </w:r>
      <w:r>
        <w:rPr>
          <w:rFonts w:eastAsia="仿宋_GB2312"/>
          <w:color w:val="auto"/>
          <w:spacing w:val="17"/>
          <w:sz w:val="32"/>
          <w:szCs w:val="32"/>
          <w:highlight w:val="none"/>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rPr>
      </w:pPr>
      <w:r>
        <w:rPr>
          <w:rFonts w:hint="eastAsia"/>
          <w:color w:val="auto"/>
          <w:highlight w:val="none"/>
          <w:lang w:eastAsia="zh-CN"/>
        </w:rPr>
        <w:t>　　</w:t>
      </w:r>
      <w:r>
        <w:rPr>
          <w:rFonts w:hint="eastAsia"/>
          <w:color w:val="auto"/>
          <w:sz w:val="32"/>
          <w:szCs w:val="32"/>
          <w:highlight w:val="none"/>
        </w:rPr>
        <w:t>4</w:t>
      </w:r>
      <w:r>
        <w:rPr>
          <w:rFonts w:hint="eastAsia"/>
          <w:color w:val="auto"/>
          <w:sz w:val="32"/>
          <w:szCs w:val="32"/>
          <w:highlight w:val="none"/>
          <w:lang w:val="en-US" w:eastAsia="zh-CN"/>
        </w:rPr>
        <w:t>.</w:t>
      </w:r>
      <w:r>
        <w:rPr>
          <w:rFonts w:hint="eastAsia"/>
          <w:color w:val="auto"/>
          <w:sz w:val="32"/>
          <w:szCs w:val="32"/>
          <w:highlight w:val="none"/>
        </w:rPr>
        <w:t>评价标准</w:t>
      </w:r>
    </w:p>
    <w:p>
      <w:pPr>
        <w:spacing w:line="560" w:lineRule="exact"/>
        <w:ind w:firstLine="640"/>
        <w:rPr>
          <w:rFonts w:hint="eastAsia"/>
          <w:bCs/>
          <w:color w:val="auto"/>
          <w:sz w:val="32"/>
          <w:szCs w:val="32"/>
          <w:highlight w:val="none"/>
        </w:rPr>
      </w:pPr>
      <w:r>
        <w:rPr>
          <w:rFonts w:hint="eastAsia"/>
          <w:bCs/>
          <w:color w:val="auto"/>
          <w:sz w:val="32"/>
          <w:szCs w:val="32"/>
          <w:highlight w:val="none"/>
        </w:rPr>
        <w:t>绩效评价标准通常包括计划标准、行业标准、历史标准等，用于对绩效指标完成情况进行比较、分析、评价。本次评价主要采用了</w:t>
      </w:r>
      <w:r>
        <w:rPr>
          <w:rFonts w:hint="eastAsia" w:ascii="仿宋_GB2312" w:cs="Times New Roman"/>
          <w:bCs/>
          <w:color w:val="auto"/>
          <w:sz w:val="32"/>
          <w:szCs w:val="32"/>
          <w:highlight w:val="none"/>
          <w:lang w:val="en-US" w:eastAsia="zh-CN"/>
        </w:rPr>
        <w:t>计划</w:t>
      </w:r>
      <w:r>
        <w:rPr>
          <w:rFonts w:hint="eastAsia" w:ascii="仿宋_GB2312" w:hAnsi="Times New Roman" w:cs="Times New Roman"/>
          <w:bCs/>
          <w:color w:val="auto"/>
          <w:sz w:val="32"/>
          <w:szCs w:val="32"/>
          <w:highlight w:val="none"/>
          <w:lang w:val="en-US" w:eastAsia="zh-CN"/>
        </w:rPr>
        <w:t>标准</w:t>
      </w:r>
      <w:r>
        <w:rPr>
          <w:rFonts w:hint="eastAsia"/>
          <w:bCs/>
          <w:color w:val="auto"/>
          <w:sz w:val="32"/>
          <w:szCs w:val="32"/>
          <w:highlight w:val="none"/>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6" w:name="_Toc68703833"/>
      <w:r>
        <w:rPr>
          <w:rFonts w:hint="eastAsia" w:ascii="Times New Roman" w:hAnsi="Times New Roman" w:eastAsia="楷体_GB2312" w:cs="Times New Roman"/>
          <w:b/>
          <w:bCs/>
          <w:color w:val="auto"/>
          <w:kern w:val="2"/>
          <w:sz w:val="32"/>
          <w:szCs w:val="32"/>
          <w:highlight w:val="none"/>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1</w:t>
      </w:r>
      <w:r>
        <w:rPr>
          <w:rFonts w:hint="eastAsia"/>
          <w:color w:val="auto"/>
          <w:sz w:val="32"/>
          <w:szCs w:val="32"/>
          <w:highlight w:val="none"/>
          <w:lang w:val="en-US" w:eastAsia="zh-CN"/>
        </w:rPr>
        <w:t>.</w:t>
      </w:r>
      <w:r>
        <w:rPr>
          <w:rFonts w:hint="eastAsia"/>
          <w:color w:val="auto"/>
          <w:sz w:val="32"/>
          <w:szCs w:val="32"/>
          <w:highlight w:val="none"/>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2</w:t>
      </w:r>
      <w:r>
        <w:rPr>
          <w:rFonts w:hint="eastAsia"/>
          <w:color w:val="auto"/>
          <w:sz w:val="32"/>
          <w:szCs w:val="32"/>
          <w:highlight w:val="none"/>
          <w:lang w:val="en-US" w:eastAsia="zh-CN"/>
        </w:rPr>
        <w:t>.</w:t>
      </w:r>
      <w:r>
        <w:rPr>
          <w:rFonts w:hint="eastAsia"/>
          <w:color w:val="auto"/>
          <w:sz w:val="32"/>
          <w:szCs w:val="32"/>
          <w:highlight w:val="none"/>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color w:val="auto"/>
          <w:sz w:val="32"/>
          <w:szCs w:val="32"/>
          <w:highlight w:val="none"/>
        </w:rPr>
      </w:pPr>
      <w:r>
        <w:rPr>
          <w:rFonts w:hint="eastAsia" w:eastAsia="仿宋_GB2312"/>
          <w:bCs/>
          <w:color w:val="auto"/>
          <w:sz w:val="32"/>
          <w:szCs w:val="32"/>
          <w:highlight w:val="none"/>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color w:val="auto"/>
          <w:sz w:val="32"/>
          <w:szCs w:val="32"/>
          <w:highlight w:val="none"/>
        </w:rPr>
      </w:pPr>
      <w:r>
        <w:rPr>
          <w:rFonts w:hint="eastAsia"/>
          <w:color w:val="auto"/>
          <w:sz w:val="32"/>
          <w:szCs w:val="32"/>
          <w:highlight w:val="none"/>
        </w:rPr>
        <w:t>3</w:t>
      </w:r>
      <w:r>
        <w:rPr>
          <w:rFonts w:hint="eastAsia"/>
          <w:color w:val="auto"/>
          <w:sz w:val="32"/>
          <w:szCs w:val="32"/>
          <w:highlight w:val="none"/>
          <w:lang w:val="en-US" w:eastAsia="zh-CN"/>
        </w:rPr>
        <w:t>.</w:t>
      </w:r>
      <w:r>
        <w:rPr>
          <w:rFonts w:hint="eastAsia"/>
          <w:color w:val="auto"/>
          <w:sz w:val="32"/>
          <w:szCs w:val="32"/>
          <w:highlight w:val="none"/>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color w:val="auto"/>
          <w:sz w:val="32"/>
          <w:szCs w:val="32"/>
          <w:highlight w:val="none"/>
        </w:rPr>
      </w:pPr>
      <w:bookmarkStart w:id="7" w:name="_Toc68703834"/>
      <w:r>
        <w:rPr>
          <w:rFonts w:hint="eastAsia" w:eastAsia="仿宋_GB2312"/>
          <w:bCs/>
          <w:color w:val="auto"/>
          <w:sz w:val="32"/>
          <w:szCs w:val="32"/>
          <w:highlight w:val="none"/>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val="en-US" w:eastAsia="zh-CN"/>
        </w:rPr>
        <w:t>三、</w:t>
      </w:r>
      <w:r>
        <w:rPr>
          <w:rFonts w:hint="eastAsia" w:ascii="Times New Roman" w:hAnsi="Times New Roman" w:eastAsia="黑体" w:cs="Times New Roman"/>
          <w:bCs/>
          <w:color w:val="auto"/>
          <w:sz w:val="32"/>
          <w:szCs w:val="32"/>
          <w:highlight w:val="none"/>
          <w:lang w:val="en-US" w:eastAsia="zh-CN"/>
        </w:rPr>
        <w:t>综合评价情况及评价结论</w:t>
      </w:r>
      <w:bookmarkEnd w:id="7"/>
      <w:r>
        <w:rPr>
          <w:rFonts w:eastAsia="黑体"/>
          <w:color w:val="auto"/>
          <w:sz w:val="32"/>
          <w:szCs w:val="32"/>
          <w:highlight w:val="none"/>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8" w:name="_Toc68703835"/>
      <w:r>
        <w:rPr>
          <w:rFonts w:hint="eastAsia" w:ascii="Times New Roman" w:hAnsi="Times New Roman" w:eastAsia="楷体_GB2312" w:cs="Times New Roman"/>
          <w:b/>
          <w:bCs/>
          <w:color w:val="auto"/>
          <w:kern w:val="2"/>
          <w:sz w:val="32"/>
          <w:szCs w:val="32"/>
          <w:highlight w:val="none"/>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ascii="Times New Roman" w:hAnsi="Times New Roman" w:eastAsia="仿宋_GB2312" w:cs="Times New Roman"/>
          <w:b w:val="0"/>
          <w:bCs w:val="0"/>
          <w:color w:val="auto"/>
          <w:kern w:val="28"/>
          <w:sz w:val="32"/>
          <w:szCs w:val="32"/>
          <w:highlight w:val="none"/>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bookmarkStart w:id="9" w:name="_Toc68703836"/>
      <w:r>
        <w:rPr>
          <w:rFonts w:hint="eastAsia" w:ascii="Times New Roman" w:hAnsi="Times New Roman" w:eastAsia="楷体_GB2312" w:cs="Times New Roman"/>
          <w:b/>
          <w:bCs/>
          <w:color w:val="auto"/>
          <w:kern w:val="2"/>
          <w:sz w:val="32"/>
          <w:szCs w:val="32"/>
          <w:highlight w:val="none"/>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color w:val="auto"/>
          <w:highlight w:val="none"/>
        </w:rPr>
      </w:pPr>
      <w:r>
        <w:rPr>
          <w:rFonts w:hint="eastAsia" w:ascii="Times New Roman" w:hAnsi="Times New Roman" w:eastAsia="仿宋_GB2312"/>
          <w:b w:val="0"/>
          <w:bCs w:val="0"/>
          <w:color w:val="auto"/>
          <w:highlight w:val="none"/>
          <w:lang w:eastAsia="zh-CN"/>
        </w:rPr>
        <w:t>　　</w:t>
      </w:r>
      <w:r>
        <w:rPr>
          <w:rFonts w:hint="eastAsia" w:ascii="Times New Roman" w:hAnsi="Times New Roman" w:eastAsia="仿宋_GB2312"/>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hint="eastAsia" w:ascii="Times New Roman" w:hAnsi="Times New Roman" w:eastAsia="仿宋_GB2312"/>
          <w:b w:val="0"/>
          <w:bCs w:val="0"/>
          <w:color w:val="auto"/>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color w:val="auto"/>
          <w:kern w:val="28"/>
          <w:sz w:val="32"/>
          <w:szCs w:val="32"/>
          <w:highlight w:val="none"/>
          <w:lang w:val="en-US" w:eastAsia="zh-CN" w:bidi="ar-SA"/>
        </w:rPr>
      </w:pPr>
      <w:r>
        <w:rPr>
          <w:rFonts w:hint="eastAsia"/>
          <w:color w:val="auto"/>
          <w:sz w:val="30"/>
          <w:szCs w:val="30"/>
          <w:highlight w:val="none"/>
          <w:lang w:eastAsia="zh-CN"/>
        </w:rPr>
        <w:t>　　　　　　　　</w:t>
      </w:r>
      <w:r>
        <w:rPr>
          <w:rFonts w:hint="eastAsia" w:ascii="Times New Roman" w:hAnsi="Times New Roman" w:eastAsia="仿宋_GB2312" w:cs="Times New Roman"/>
          <w:b w:val="0"/>
          <w:bCs w:val="0"/>
          <w:color w:val="auto"/>
          <w:kern w:val="28"/>
          <w:sz w:val="32"/>
          <w:szCs w:val="32"/>
          <w:highlight w:val="none"/>
          <w:lang w:val="en-US" w:eastAsia="zh-CN" w:bidi="ar-SA"/>
        </w:rPr>
        <w:t>表1综合评分表</w:t>
      </w:r>
    </w:p>
    <w:tbl>
      <w:tblPr>
        <w:tblStyle w:val="12"/>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auto"/>
                <w:sz w:val="22"/>
                <w:highlight w:val="none"/>
              </w:rPr>
            </w:pPr>
            <w:r>
              <w:rPr>
                <w:rFonts w:hint="eastAsia"/>
                <w:b/>
                <w:bCs/>
                <w:color w:val="auto"/>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auto"/>
                <w:sz w:val="22"/>
                <w:highlight w:val="none"/>
              </w:rPr>
            </w:pPr>
            <w:r>
              <w:rPr>
                <w:rFonts w:hint="eastAsia" w:eastAsia="宋体"/>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auto"/>
                <w:sz w:val="22"/>
                <w:highlight w:val="none"/>
                <w:lang w:val="en-US" w:eastAsia="zh-CN"/>
              </w:rPr>
            </w:pPr>
            <w:r>
              <w:rPr>
                <w:rFonts w:hint="eastAsia"/>
                <w:color w:val="auto"/>
                <w:sz w:val="2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auto"/>
                <w:kern w:val="2"/>
                <w:sz w:val="22"/>
                <w:szCs w:val="24"/>
                <w:highlight w:val="none"/>
                <w:lang w:val="en-US" w:eastAsia="zh-CN" w:bidi="ar-SA"/>
              </w:rPr>
            </w:pPr>
            <w:r>
              <w:rPr>
                <w:rFonts w:hint="eastAsia"/>
                <w:color w:val="auto"/>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22"/>
                <w:highlight w:val="none"/>
                <w:lang w:val="en-US" w:eastAsia="zh-CN"/>
              </w:rPr>
            </w:pPr>
            <w:r>
              <w:rPr>
                <w:rFonts w:hint="eastAsia"/>
                <w:b/>
                <w:bCs/>
                <w:color w:val="auto"/>
                <w:sz w:val="2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auto"/>
                <w:kern w:val="2"/>
                <w:sz w:val="22"/>
                <w:szCs w:val="24"/>
                <w:highlight w:val="none"/>
                <w:lang w:val="en-US" w:eastAsia="zh-CN" w:bidi="ar-SA"/>
              </w:rPr>
            </w:pPr>
            <w:r>
              <w:rPr>
                <w:rFonts w:hint="eastAsia"/>
                <w:b/>
                <w:bCs/>
                <w:color w:val="auto"/>
                <w:sz w:val="22"/>
                <w:highlight w:val="none"/>
                <w:lang w:val="en-US" w:eastAsia="zh-CN"/>
              </w:rPr>
              <w:t>100</w:t>
            </w:r>
          </w:p>
        </w:tc>
      </w:tr>
    </w:tbl>
    <w:p>
      <w:pPr>
        <w:spacing w:line="560" w:lineRule="exact"/>
        <w:rPr>
          <w:rFonts w:hint="eastAsia" w:ascii="Times New Roman" w:hAnsi="Times New Roman" w:eastAsia="黑体" w:cs="Times New Roman"/>
          <w:bCs/>
          <w:color w:val="auto"/>
          <w:sz w:val="32"/>
          <w:szCs w:val="32"/>
          <w:highlight w:val="none"/>
          <w:lang w:val="en-US" w:eastAsia="zh-CN"/>
        </w:rPr>
      </w:pPr>
      <w:bookmarkStart w:id="10" w:name="_Toc68703837"/>
      <w:r>
        <w:rPr>
          <w:rFonts w:hint="eastAsia" w:ascii="Times New Roman" w:hAnsi="Times New Roman" w:eastAsia="黑体" w:cs="Times New Roman"/>
          <w:bCs/>
          <w:color w:val="auto"/>
          <w:sz w:val="32"/>
          <w:szCs w:val="32"/>
          <w:highlight w:val="none"/>
          <w:lang w:val="en-US" w:eastAsia="zh-CN"/>
        </w:rPr>
        <w:t>四、绩效评价指标分析</w:t>
      </w:r>
      <w:bookmarkEnd w:id="10"/>
    </w:p>
    <w:p>
      <w:pPr>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1" w:name="_Toc68703838"/>
      <w:r>
        <w:rPr>
          <w:rFonts w:hint="eastAsia" w:ascii="Times New Roman" w:hAnsi="Times New Roman" w:eastAsia="楷体_GB2312" w:cs="Times New Roman"/>
          <w:b/>
          <w:bCs/>
          <w:color w:val="auto"/>
          <w:kern w:val="2"/>
          <w:sz w:val="32"/>
          <w:szCs w:val="32"/>
          <w:highlight w:val="none"/>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highlight w:val="none"/>
          <w:lang w:val="en-US" w:eastAsia="zh-CN"/>
        </w:rPr>
      </w:pPr>
      <w:r>
        <w:rPr>
          <w:rFonts w:hint="eastAsia"/>
          <w:b w:val="0"/>
          <w:bCs w:val="0"/>
          <w:color w:val="auto"/>
          <w:sz w:val="32"/>
          <w:szCs w:val="32"/>
          <w:highlight w:val="none"/>
          <w:lang w:val="en-US" w:eastAsia="zh-CN"/>
        </w:rPr>
        <w:t>　　项目决策类指标包括项目立项、绩效目标和资金投入三方面的内容，由6个三级指标构成，权重分值为20分，实际得分20分，得分率为100%。</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val="en-US" w:eastAsia="zh-CN"/>
        </w:rPr>
        <w:t>项目立项</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shd w:val="clear"/>
        <w:spacing w:line="600" w:lineRule="exact"/>
        <w:ind w:firstLine="640" w:firstLineChars="200"/>
        <w:outlineLvl w:val="0"/>
        <w:rPr>
          <w:color w:val="auto"/>
          <w:sz w:val="32"/>
          <w:szCs w:val="32"/>
          <w:highlight w:val="none"/>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color w:val="auto"/>
          <w:sz w:val="32"/>
          <w:szCs w:val="32"/>
          <w:highlight w:val="none"/>
        </w:rPr>
      </w:pPr>
      <w:r>
        <w:rPr>
          <w:rFonts w:hint="eastAsia"/>
          <w:b w:val="0"/>
          <w:bCs w:val="0"/>
          <w:color w:val="auto"/>
          <w:sz w:val="32"/>
          <w:szCs w:val="32"/>
          <w:highlight w:val="none"/>
        </w:rPr>
        <w:t>2</w:t>
      </w:r>
      <w:r>
        <w:rPr>
          <w:rFonts w:hint="eastAsia"/>
          <w:b w:val="0"/>
          <w:bCs w:val="0"/>
          <w:color w:val="auto"/>
          <w:sz w:val="32"/>
          <w:szCs w:val="32"/>
          <w:highlight w:val="none"/>
          <w:lang w:val="en-US" w:eastAsia="zh-CN"/>
        </w:rPr>
        <w:t>.</w:t>
      </w:r>
      <w:r>
        <w:rPr>
          <w:rFonts w:hint="eastAsia"/>
          <w:b w:val="0"/>
          <w:bCs w:val="0"/>
          <w:color w:val="auto"/>
          <w:sz w:val="32"/>
          <w:szCs w:val="32"/>
          <w:highlight w:val="none"/>
        </w:rPr>
        <w:t>立项程序规范性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保障了程序的规范性。</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bookmarkStart w:id="12" w:name="_Hlk68699917"/>
      <w:r>
        <w:rPr>
          <w:rFonts w:hint="eastAsia" w:ascii="仿宋_GB2312" w:hAnsi="仿宋_GB2312" w:eastAsia="仿宋_GB2312" w:cs="仿宋_GB2312"/>
          <w:color w:val="auto"/>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val="en-US" w:eastAsia="zh-CN"/>
        </w:rPr>
        <w:t>资金投入</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color w:val="auto"/>
          <w:highlight w:val="none"/>
        </w:rPr>
      </w:pPr>
      <w:r>
        <w:rPr>
          <w:rFonts w:hint="eastAsia" w:ascii="楷体" w:hAnsi="楷体" w:eastAsia="楷体" w:cs="楷体"/>
          <w:color w:val="auto"/>
          <w:highlight w:val="none"/>
          <w:lang w:eastAsia="zh-CN"/>
        </w:rPr>
        <w:t>（二）</w:t>
      </w:r>
      <w:r>
        <w:rPr>
          <w:rFonts w:hint="eastAsia" w:ascii="楷体" w:hAnsi="楷体" w:eastAsia="楷体" w:cs="楷体"/>
          <w:color w:val="auto"/>
          <w:highlight w:val="none"/>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项目过程类指标包括资金管理和组织实施两方面的内容，由5个三级指标构成，权重分值为20分，实际得分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w:t>
      </w:r>
      <w:r>
        <w:rPr>
          <w:rFonts w:hint="eastAsia" w:ascii="仿宋_GB2312" w:hAnsi="仿宋_GB2312" w:cs="仿宋_GB2312"/>
          <w:color w:val="auto"/>
          <w:sz w:val="32"/>
          <w:szCs w:val="32"/>
          <w:highlight w:val="none"/>
          <w:lang w:val="en-US" w:eastAsia="zh-CN"/>
        </w:rPr>
        <w:t>38</w:t>
      </w:r>
      <w:r>
        <w:rPr>
          <w:rFonts w:hint="eastAsia" w:ascii="仿宋_GB2312" w:hAnsi="仿宋_GB2312" w:eastAsia="仿宋_GB2312" w:cs="仿宋_GB2312"/>
          <w:color w:val="auto"/>
          <w:sz w:val="32"/>
          <w:szCs w:val="32"/>
          <w:highlight w:val="none"/>
          <w:lang w:val="en-US" w:eastAsia="zh-CN"/>
        </w:rPr>
        <w:t>万元，财政资金及时足额到位，到位率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w:t>
      </w:r>
      <w:r>
        <w:rPr>
          <w:rFonts w:hint="eastAsia" w:ascii="仿宋_GB2312" w:hAnsi="仿宋_GB2312" w:cs="仿宋_GB2312"/>
          <w:color w:val="auto"/>
          <w:sz w:val="32"/>
          <w:szCs w:val="32"/>
          <w:highlight w:val="none"/>
          <w:lang w:val="en-US" w:eastAsia="zh-CN"/>
        </w:rPr>
        <w:t>38</w:t>
      </w:r>
      <w:r>
        <w:rPr>
          <w:rFonts w:hint="eastAsia" w:ascii="仿宋_GB2312" w:hAnsi="仿宋_GB2312" w:eastAsia="仿宋_GB2312" w:cs="仿宋_GB2312"/>
          <w:color w:val="auto"/>
          <w:sz w:val="32"/>
          <w:szCs w:val="32"/>
          <w:highlight w:val="none"/>
          <w:lang w:val="en-US" w:eastAsia="zh-CN"/>
        </w:rPr>
        <w:t>万元，预算执行率为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7"/>
        <w:numPr>
          <w:ilvl w:val="0"/>
          <w:numId w:val="3"/>
        </w:numPr>
        <w:rPr>
          <w:rFonts w:hint="eastAsia" w:ascii="Times New Roman" w:hAnsi="Times New Roman" w:eastAsia="楷体_GB2312" w:cs="Times New Roman"/>
          <w:b/>
          <w:bCs/>
          <w:color w:val="auto"/>
          <w:kern w:val="2"/>
          <w:sz w:val="32"/>
          <w:szCs w:val="32"/>
          <w:highlight w:val="none"/>
          <w:lang w:val="en-US" w:eastAsia="zh-CN" w:bidi="ar-SA"/>
        </w:rPr>
      </w:pPr>
      <w:bookmarkStart w:id="13" w:name="_Toc68703840"/>
      <w:r>
        <w:rPr>
          <w:rFonts w:hint="eastAsia" w:ascii="Times New Roman" w:hAnsi="Times New Roman" w:eastAsia="楷体_GB2312" w:cs="Times New Roman"/>
          <w:b/>
          <w:bCs/>
          <w:color w:val="auto"/>
          <w:kern w:val="2"/>
          <w:sz w:val="32"/>
          <w:szCs w:val="32"/>
          <w:highlight w:val="none"/>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指标1：</w:t>
      </w:r>
      <w:r>
        <w:rPr>
          <w:rFonts w:hint="eastAsia"/>
          <w:color w:val="auto"/>
          <w:sz w:val="32"/>
          <w:szCs w:val="32"/>
          <w:highlight w:val="none"/>
          <w:lang w:eastAsia="zh-CN"/>
        </w:rPr>
        <w:t>养护县道里程(公里)</w:t>
      </w:r>
      <w:r>
        <w:rPr>
          <w:rFonts w:hint="eastAsia"/>
          <w:color w:val="auto"/>
          <w:sz w:val="32"/>
          <w:szCs w:val="32"/>
          <w:highlight w:val="none"/>
        </w:rPr>
        <w:t>，指标值：</w:t>
      </w:r>
      <w:r>
        <w:rPr>
          <w:rFonts w:hint="eastAsia" w:ascii="Times New Roman" w:hAnsi="Times New Roman" w:eastAsia="仿宋_GB2312" w:cs="Times New Roman"/>
          <w:b w:val="0"/>
          <w:bCs w:val="0"/>
          <w:color w:val="auto"/>
          <w:kern w:val="2"/>
          <w:sz w:val="30"/>
          <w:szCs w:val="24"/>
          <w:highlight w:val="none"/>
          <w:lang w:val="en-US" w:eastAsia="zh-CN" w:bidi="ar-SA"/>
        </w:rPr>
        <w:t>&gt;=8.40km</w:t>
      </w:r>
      <w:r>
        <w:rPr>
          <w:rFonts w:hint="eastAsia"/>
          <w:color w:val="auto"/>
          <w:sz w:val="32"/>
          <w:szCs w:val="32"/>
          <w:highlight w:val="none"/>
        </w:rPr>
        <w:t>，实际完成值</w:t>
      </w:r>
      <w:r>
        <w:rPr>
          <w:rFonts w:hint="eastAsia"/>
          <w:color w:val="auto"/>
          <w:sz w:val="32"/>
          <w:szCs w:val="32"/>
          <w:highlight w:val="none"/>
          <w:lang w:eastAsia="zh-CN"/>
        </w:rPr>
        <w:t>：</w:t>
      </w:r>
      <w:r>
        <w:rPr>
          <w:rFonts w:hint="eastAsia" w:ascii="Times New Roman" w:hAnsi="Times New Roman" w:eastAsia="仿宋_GB2312" w:cs="Times New Roman"/>
          <w:b w:val="0"/>
          <w:bCs w:val="0"/>
          <w:color w:val="auto"/>
          <w:kern w:val="2"/>
          <w:sz w:val="30"/>
          <w:szCs w:val="24"/>
          <w:highlight w:val="none"/>
          <w:lang w:val="en-US" w:eastAsia="zh-CN" w:bidi="ar-SA"/>
        </w:rPr>
        <w:t>8.40km</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2</w:t>
      </w:r>
      <w:r>
        <w:rPr>
          <w:rFonts w:hint="eastAsia"/>
          <w:color w:val="auto"/>
          <w:sz w:val="32"/>
          <w:szCs w:val="32"/>
          <w:highlight w:val="none"/>
        </w:rPr>
        <w:t>：</w:t>
      </w:r>
      <w:r>
        <w:rPr>
          <w:rFonts w:hint="eastAsia"/>
          <w:color w:val="auto"/>
          <w:sz w:val="32"/>
          <w:szCs w:val="32"/>
          <w:highlight w:val="none"/>
          <w:lang w:eastAsia="zh-CN"/>
        </w:rPr>
        <w:t>养护乡道里程(公里)</w:t>
      </w:r>
      <w:r>
        <w:rPr>
          <w:rFonts w:hint="eastAsia"/>
          <w:color w:val="auto"/>
          <w:sz w:val="32"/>
          <w:szCs w:val="32"/>
          <w:highlight w:val="none"/>
        </w:rPr>
        <w:t>，指标值：</w:t>
      </w:r>
      <w:r>
        <w:rPr>
          <w:rFonts w:hint="eastAsia" w:ascii="Times New Roman" w:hAnsi="Times New Roman" w:eastAsia="仿宋_GB2312" w:cs="Times New Roman"/>
          <w:b w:val="0"/>
          <w:bCs w:val="0"/>
          <w:color w:val="auto"/>
          <w:kern w:val="2"/>
          <w:sz w:val="30"/>
          <w:szCs w:val="24"/>
          <w:highlight w:val="none"/>
          <w:lang w:val="en-US" w:eastAsia="zh-CN" w:bidi="ar-SA"/>
        </w:rPr>
        <w:t>&gt;=161.56km</w:t>
      </w:r>
      <w:r>
        <w:rPr>
          <w:rFonts w:hint="eastAsia"/>
          <w:color w:val="auto"/>
          <w:sz w:val="32"/>
          <w:szCs w:val="32"/>
          <w:highlight w:val="none"/>
        </w:rPr>
        <w:t>，实际完成值</w:t>
      </w:r>
      <w:r>
        <w:rPr>
          <w:rFonts w:hint="eastAsia"/>
          <w:color w:val="auto"/>
          <w:sz w:val="32"/>
          <w:szCs w:val="32"/>
          <w:highlight w:val="none"/>
          <w:lang w:eastAsia="zh-CN"/>
        </w:rPr>
        <w:t>：</w:t>
      </w:r>
      <w:r>
        <w:rPr>
          <w:rFonts w:hint="eastAsia" w:ascii="Times New Roman" w:hAnsi="Times New Roman" w:eastAsia="仿宋_GB2312" w:cs="Times New Roman"/>
          <w:b w:val="0"/>
          <w:bCs w:val="0"/>
          <w:color w:val="auto"/>
          <w:kern w:val="2"/>
          <w:sz w:val="30"/>
          <w:szCs w:val="24"/>
          <w:highlight w:val="none"/>
          <w:lang w:val="en-US" w:eastAsia="zh-CN" w:bidi="ar-SA"/>
        </w:rPr>
        <w:t>161.56km</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3</w:t>
      </w:r>
      <w:r>
        <w:rPr>
          <w:rFonts w:hint="eastAsia"/>
          <w:color w:val="auto"/>
          <w:sz w:val="32"/>
          <w:szCs w:val="32"/>
          <w:highlight w:val="none"/>
        </w:rPr>
        <w:t>：</w:t>
      </w:r>
      <w:r>
        <w:rPr>
          <w:rFonts w:hint="eastAsia"/>
          <w:color w:val="auto"/>
          <w:sz w:val="32"/>
          <w:szCs w:val="32"/>
          <w:highlight w:val="none"/>
          <w:lang w:eastAsia="zh-CN"/>
        </w:rPr>
        <w:t>养护专用公路(公里)</w:t>
      </w:r>
      <w:r>
        <w:rPr>
          <w:rFonts w:hint="eastAsia"/>
          <w:color w:val="auto"/>
          <w:sz w:val="32"/>
          <w:szCs w:val="32"/>
          <w:highlight w:val="none"/>
        </w:rPr>
        <w:t>，指标值：</w:t>
      </w:r>
      <w:r>
        <w:rPr>
          <w:rFonts w:hint="eastAsia" w:ascii="Times New Roman" w:hAnsi="Times New Roman" w:eastAsia="仿宋_GB2312" w:cs="Times New Roman"/>
          <w:b w:val="0"/>
          <w:bCs w:val="0"/>
          <w:color w:val="auto"/>
          <w:kern w:val="2"/>
          <w:sz w:val="30"/>
          <w:szCs w:val="24"/>
          <w:highlight w:val="none"/>
          <w:lang w:val="en-US" w:eastAsia="zh-CN" w:bidi="ar-SA"/>
        </w:rPr>
        <w:t>&gt;=13.69km</w:t>
      </w:r>
      <w:r>
        <w:rPr>
          <w:rFonts w:hint="eastAsia"/>
          <w:color w:val="auto"/>
          <w:sz w:val="32"/>
          <w:szCs w:val="32"/>
          <w:highlight w:val="none"/>
        </w:rPr>
        <w:t>，实际完成值</w:t>
      </w:r>
      <w:r>
        <w:rPr>
          <w:rFonts w:hint="eastAsia"/>
          <w:color w:val="auto"/>
          <w:sz w:val="32"/>
          <w:szCs w:val="32"/>
          <w:highlight w:val="none"/>
          <w:lang w:eastAsia="zh-CN"/>
        </w:rPr>
        <w:t>：</w:t>
      </w:r>
      <w:r>
        <w:rPr>
          <w:rFonts w:hint="eastAsia" w:ascii="Times New Roman" w:hAnsi="Times New Roman" w:eastAsia="仿宋_GB2312" w:cs="Times New Roman"/>
          <w:b w:val="0"/>
          <w:bCs w:val="0"/>
          <w:color w:val="auto"/>
          <w:kern w:val="2"/>
          <w:sz w:val="30"/>
          <w:szCs w:val="24"/>
          <w:highlight w:val="none"/>
          <w:lang w:val="en-US" w:eastAsia="zh-CN" w:bidi="ar-SA"/>
        </w:rPr>
        <w:t>13.69km</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指标</w:t>
      </w:r>
      <w:r>
        <w:rPr>
          <w:rFonts w:hint="eastAsia"/>
          <w:color w:val="auto"/>
          <w:sz w:val="32"/>
          <w:szCs w:val="32"/>
          <w:highlight w:val="none"/>
          <w:lang w:val="en-US" w:eastAsia="zh-CN"/>
        </w:rPr>
        <w:t>4</w:t>
      </w:r>
      <w:r>
        <w:rPr>
          <w:rFonts w:hint="eastAsia"/>
          <w:color w:val="auto"/>
          <w:sz w:val="32"/>
          <w:szCs w:val="32"/>
          <w:highlight w:val="none"/>
        </w:rPr>
        <w:t>：</w:t>
      </w:r>
      <w:r>
        <w:rPr>
          <w:rFonts w:hint="eastAsia"/>
          <w:color w:val="auto"/>
          <w:sz w:val="32"/>
          <w:szCs w:val="32"/>
          <w:highlight w:val="none"/>
          <w:lang w:eastAsia="zh-CN"/>
        </w:rPr>
        <w:t>养护村道里程(公里)</w:t>
      </w:r>
      <w:r>
        <w:rPr>
          <w:rFonts w:hint="eastAsia"/>
          <w:color w:val="auto"/>
          <w:sz w:val="32"/>
          <w:szCs w:val="32"/>
          <w:highlight w:val="none"/>
        </w:rPr>
        <w:t>，指标值：</w:t>
      </w:r>
      <w:r>
        <w:rPr>
          <w:rFonts w:hint="eastAsia" w:ascii="Times New Roman" w:hAnsi="Times New Roman" w:eastAsia="仿宋_GB2312" w:cs="Times New Roman"/>
          <w:b w:val="0"/>
          <w:bCs w:val="0"/>
          <w:color w:val="auto"/>
          <w:kern w:val="2"/>
          <w:sz w:val="30"/>
          <w:szCs w:val="24"/>
          <w:highlight w:val="none"/>
          <w:lang w:val="en-US" w:eastAsia="zh-CN" w:bidi="ar-SA"/>
        </w:rPr>
        <w:t>&gt;=285.81km</w:t>
      </w:r>
      <w:r>
        <w:rPr>
          <w:rFonts w:hint="eastAsia"/>
          <w:color w:val="auto"/>
          <w:sz w:val="32"/>
          <w:szCs w:val="32"/>
          <w:highlight w:val="none"/>
        </w:rPr>
        <w:t>，实际完成值</w:t>
      </w:r>
      <w:r>
        <w:rPr>
          <w:rFonts w:hint="eastAsia"/>
          <w:color w:val="auto"/>
          <w:sz w:val="32"/>
          <w:szCs w:val="32"/>
          <w:highlight w:val="none"/>
          <w:lang w:eastAsia="zh-CN"/>
        </w:rPr>
        <w:t>：</w:t>
      </w:r>
      <w:r>
        <w:rPr>
          <w:rFonts w:hint="eastAsia" w:ascii="Times New Roman" w:hAnsi="Times New Roman" w:eastAsia="仿宋_GB2312" w:cs="Times New Roman"/>
          <w:b w:val="0"/>
          <w:bCs w:val="0"/>
          <w:color w:val="auto"/>
          <w:kern w:val="2"/>
          <w:sz w:val="30"/>
          <w:szCs w:val="24"/>
          <w:highlight w:val="none"/>
          <w:lang w:val="en-US" w:eastAsia="zh-CN" w:bidi="ar-SA"/>
        </w:rPr>
        <w:t>285.81km</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shd w:val="clear"/>
        <w:spacing w:line="600" w:lineRule="exact"/>
        <w:ind w:firstLine="640" w:firstLineChars="200"/>
        <w:outlineLvl w:val="0"/>
        <w:rPr>
          <w:rFonts w:hint="eastAsia" w:eastAsia="宋体"/>
          <w:color w:val="auto"/>
          <w:highlight w:val="none"/>
          <w:lang w:eastAsia="zh-CN"/>
        </w:rPr>
      </w:pPr>
      <w:r>
        <w:rPr>
          <w:rFonts w:hint="eastAsia"/>
          <w:color w:val="auto"/>
          <w:sz w:val="32"/>
          <w:szCs w:val="32"/>
          <w:highlight w:val="none"/>
        </w:rPr>
        <w:t>指标1：</w:t>
      </w:r>
      <w:r>
        <w:rPr>
          <w:rFonts w:hint="eastAsia"/>
          <w:color w:val="auto"/>
          <w:sz w:val="32"/>
          <w:szCs w:val="32"/>
          <w:highlight w:val="none"/>
          <w:lang w:eastAsia="zh-CN"/>
        </w:rPr>
        <w:t>工程合格率</w:t>
      </w:r>
      <w:r>
        <w:rPr>
          <w:rFonts w:hint="eastAsia"/>
          <w:color w:val="auto"/>
          <w:sz w:val="32"/>
          <w:szCs w:val="32"/>
          <w:highlight w:val="none"/>
        </w:rPr>
        <w:t>，指标值：=100%，实际完成值</w:t>
      </w:r>
      <w:r>
        <w:rPr>
          <w:rFonts w:hint="eastAsia"/>
          <w:color w:val="auto"/>
          <w:sz w:val="32"/>
          <w:szCs w:val="32"/>
          <w:highlight w:val="none"/>
          <w:lang w:eastAsia="zh-CN"/>
        </w:rPr>
        <w:t>：</w:t>
      </w:r>
      <w:r>
        <w:rPr>
          <w:rFonts w:hint="eastAsia"/>
          <w:color w:val="auto"/>
          <w:sz w:val="32"/>
          <w:szCs w:val="32"/>
          <w:highlight w:val="none"/>
        </w:rPr>
        <w:t>100%，指标完成率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color w:val="auto"/>
          <w:sz w:val="32"/>
          <w:szCs w:val="32"/>
          <w:highlight w:val="none"/>
        </w:rPr>
        <w:t>指标1：</w:t>
      </w:r>
      <w:r>
        <w:rPr>
          <w:rFonts w:hint="eastAsia"/>
          <w:color w:val="auto"/>
          <w:sz w:val="32"/>
          <w:szCs w:val="32"/>
          <w:highlight w:val="none"/>
          <w:lang w:eastAsia="zh-CN"/>
        </w:rPr>
        <w:t>按期完成投资率</w:t>
      </w:r>
      <w:r>
        <w:rPr>
          <w:rFonts w:hint="eastAsia"/>
          <w:color w:val="auto"/>
          <w:sz w:val="32"/>
          <w:szCs w:val="32"/>
          <w:highlight w:val="none"/>
        </w:rPr>
        <w:t>，指标值：=100%，实际完成值</w:t>
      </w:r>
      <w:r>
        <w:rPr>
          <w:rFonts w:hint="eastAsia"/>
          <w:color w:val="auto"/>
          <w:sz w:val="32"/>
          <w:szCs w:val="32"/>
          <w:highlight w:val="none"/>
          <w:lang w:eastAsia="zh-CN"/>
        </w:rPr>
        <w:t>：</w:t>
      </w:r>
      <w:r>
        <w:rPr>
          <w:rFonts w:hint="eastAsia"/>
          <w:color w:val="auto"/>
          <w:sz w:val="32"/>
          <w:szCs w:val="32"/>
          <w:highlight w:val="none"/>
        </w:rPr>
        <w:t>100%，指标完成率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bookmarkStart w:id="14" w:name="_Toc68703841"/>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ascii="Times New Roman" w:hAnsi="Times New Roman" w:eastAsia="楷体_GB2312" w:cs="Times New Roman"/>
          <w:b/>
          <w:bCs/>
          <w:color w:val="auto"/>
          <w:kern w:val="2"/>
          <w:sz w:val="32"/>
          <w:szCs w:val="32"/>
          <w:highlight w:val="none"/>
          <w:lang w:val="en-US" w:eastAsia="zh-CN" w:bidi="ar-SA"/>
        </w:rPr>
        <w:t>（四）项目效益情况</w:t>
      </w:r>
      <w:bookmarkEnd w:id="14"/>
    </w:p>
    <w:p>
      <w:pPr>
        <w:shd w:val="clear"/>
        <w:spacing w:line="600" w:lineRule="exact"/>
        <w:ind w:firstLine="640" w:firstLineChars="200"/>
        <w:outlineLvl w:val="0"/>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个三级指标构成，权重分为20分，实际得分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%。具体效益指标及满意度指标完成情况如下：</w:t>
      </w:r>
    </w:p>
    <w:p>
      <w:pPr>
        <w:pageBreakBefore w:val="0"/>
        <w:widowControl w:val="0"/>
        <w:numPr>
          <w:ilvl w:val="0"/>
          <w:numId w:val="4"/>
        </w:numPr>
        <w:shd w:val="clear"/>
        <w:kinsoku/>
        <w:wordWrap/>
        <w:overflowPunct/>
        <w:topLinePunct w:val="0"/>
        <w:autoSpaceDE/>
        <w:autoSpaceDN/>
        <w:bidi w:val="0"/>
        <w:adjustRightInd/>
        <w:snapToGrid/>
        <w:spacing w:line="600" w:lineRule="exact"/>
        <w:ind w:firstLine="640" w:firstLineChars="200"/>
        <w:textAlignment w:val="auto"/>
        <w:outlineLvl w:val="0"/>
        <w:rPr>
          <w:rFonts w:hint="eastAsia"/>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实施效益</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①经济效益指标：指标1：对经济发展促进作用，指标值：明显提升，实际完成值：明显提升，指标完成率100%。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fldChar w:fldCharType="begin"/>
      </w:r>
      <w:r>
        <w:rPr>
          <w:rFonts w:hint="eastAsia"/>
          <w:color w:val="auto"/>
          <w:sz w:val="32"/>
          <w:szCs w:val="32"/>
          <w:highlight w:val="none"/>
          <w:lang w:val="en-US" w:eastAsia="zh-CN"/>
        </w:rPr>
        <w:instrText xml:space="preserve"> = 2 \* GB3 </w:instrText>
      </w:r>
      <w:r>
        <w:rPr>
          <w:rFonts w:hint="eastAsia"/>
          <w:color w:val="auto"/>
          <w:sz w:val="32"/>
          <w:szCs w:val="32"/>
          <w:highlight w:val="none"/>
          <w:lang w:val="en-US" w:eastAsia="zh-CN"/>
        </w:rPr>
        <w:fldChar w:fldCharType="separate"/>
      </w:r>
      <w:r>
        <w:rPr>
          <w:rFonts w:hint="eastAsia"/>
          <w:color w:val="auto"/>
          <w:sz w:val="32"/>
          <w:szCs w:val="32"/>
          <w:highlight w:val="none"/>
          <w:lang w:val="en-US" w:eastAsia="zh-CN"/>
        </w:rPr>
        <w:t>②</w:t>
      </w:r>
      <w:r>
        <w:rPr>
          <w:rFonts w:hint="eastAsia"/>
          <w:color w:val="auto"/>
          <w:sz w:val="32"/>
          <w:szCs w:val="32"/>
          <w:highlight w:val="none"/>
          <w:lang w:val="en-US" w:eastAsia="zh-CN"/>
        </w:rPr>
        <w:fldChar w:fldCharType="end"/>
      </w:r>
      <w:r>
        <w:rPr>
          <w:rFonts w:hint="eastAsia"/>
          <w:color w:val="auto"/>
          <w:sz w:val="32"/>
          <w:szCs w:val="32"/>
          <w:highlight w:val="none"/>
          <w:lang w:val="en-US" w:eastAsia="zh-CN"/>
        </w:rPr>
        <w:t>社会效益指标：指标1：项目适应未来一定时期交通需求，指标值：明显，实际完成值：明显，指标完成率100%。</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fldChar w:fldCharType="begin"/>
      </w:r>
      <w:r>
        <w:rPr>
          <w:rFonts w:hint="eastAsia"/>
          <w:color w:val="auto"/>
          <w:sz w:val="32"/>
          <w:szCs w:val="32"/>
          <w:highlight w:val="none"/>
          <w:lang w:val="en-US" w:eastAsia="zh-CN"/>
        </w:rPr>
        <w:instrText xml:space="preserve"> = 3 \* GB3 </w:instrText>
      </w:r>
      <w:r>
        <w:rPr>
          <w:rFonts w:hint="eastAsia"/>
          <w:color w:val="auto"/>
          <w:sz w:val="32"/>
          <w:szCs w:val="32"/>
          <w:highlight w:val="none"/>
          <w:lang w:val="en-US" w:eastAsia="zh-CN"/>
        </w:rPr>
        <w:fldChar w:fldCharType="separate"/>
      </w:r>
      <w:r>
        <w:rPr>
          <w:rFonts w:hint="eastAsia"/>
          <w:color w:val="auto"/>
          <w:sz w:val="32"/>
          <w:szCs w:val="32"/>
          <w:highlight w:val="none"/>
          <w:lang w:val="en-US" w:eastAsia="zh-CN"/>
        </w:rPr>
        <w:t>③</w:t>
      </w:r>
      <w:r>
        <w:rPr>
          <w:rFonts w:hint="eastAsia"/>
          <w:color w:val="auto"/>
          <w:sz w:val="32"/>
          <w:szCs w:val="32"/>
          <w:highlight w:val="none"/>
          <w:lang w:val="en-US" w:eastAsia="zh-CN"/>
        </w:rPr>
        <w:fldChar w:fldCharType="end"/>
      </w:r>
      <w:r>
        <w:rPr>
          <w:rFonts w:hint="eastAsia"/>
          <w:color w:val="auto"/>
          <w:sz w:val="32"/>
          <w:szCs w:val="32"/>
          <w:highlight w:val="none"/>
          <w:lang w:val="en-US" w:eastAsia="zh-CN"/>
        </w:rPr>
        <w:t>生态效益指标：指标1：交通建设符合环评审批要求，指标值：=100%，实际完成值：100%，指标完成率100%。</w:t>
      </w:r>
    </w:p>
    <w:p>
      <w:pPr>
        <w:pageBreakBefore w:val="0"/>
        <w:widowControl w:val="0"/>
        <w:numPr>
          <w:ilvl w:val="0"/>
          <w:numId w:val="4"/>
        </w:numPr>
        <w:shd w:val="clear"/>
        <w:kinsoku/>
        <w:wordWrap/>
        <w:overflowPunct/>
        <w:topLinePunct w:val="0"/>
        <w:autoSpaceDE/>
        <w:autoSpaceDN/>
        <w:bidi w:val="0"/>
        <w:adjustRightInd/>
        <w:snapToGrid/>
        <w:spacing w:line="60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w:t>
      </w:r>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w:t>
      </w:r>
      <w:r>
        <w:rPr>
          <w:rFonts w:hint="eastAsia"/>
          <w:color w:val="auto"/>
          <w:sz w:val="32"/>
          <w:szCs w:val="32"/>
          <w:highlight w:val="none"/>
        </w:rPr>
        <w:t>指标1：</w:t>
      </w:r>
      <w:r>
        <w:rPr>
          <w:rFonts w:hint="eastAsia" w:ascii="仿宋_GB2312" w:hAnsi="仿宋_GB2312" w:eastAsia="仿宋_GB2312" w:cs="仿宋_GB2312"/>
          <w:color w:val="auto"/>
          <w:sz w:val="32"/>
          <w:szCs w:val="32"/>
          <w:highlight w:val="none"/>
        </w:rPr>
        <w:t>改善通行服务水平群众满意度</w:t>
      </w:r>
      <w:r>
        <w:rPr>
          <w:rFonts w:hint="eastAsia"/>
          <w:color w:val="auto"/>
          <w:sz w:val="32"/>
          <w:szCs w:val="32"/>
          <w:highlight w:val="none"/>
        </w:rPr>
        <w:t>，指标值：&gt;=95%，实际完成值</w:t>
      </w:r>
      <w:r>
        <w:rPr>
          <w:rFonts w:hint="eastAsia"/>
          <w:color w:val="auto"/>
          <w:sz w:val="32"/>
          <w:szCs w:val="32"/>
          <w:highlight w:val="none"/>
          <w:lang w:eastAsia="zh-CN"/>
        </w:rPr>
        <w:t>：</w:t>
      </w:r>
      <w:r>
        <w:rPr>
          <w:rFonts w:hint="eastAsia"/>
          <w:color w:val="auto"/>
          <w:sz w:val="32"/>
          <w:szCs w:val="32"/>
          <w:highlight w:val="none"/>
        </w:rPr>
        <w:t>95%，指标完成率</w:t>
      </w:r>
      <w:r>
        <w:rPr>
          <w:rFonts w:hint="eastAsia"/>
          <w:color w:val="auto"/>
          <w:sz w:val="32"/>
          <w:szCs w:val="32"/>
          <w:highlight w:val="none"/>
          <w:lang w:val="en-US" w:eastAsia="zh-CN"/>
        </w:rPr>
        <w:t>100</w:t>
      </w:r>
      <w:r>
        <w:rPr>
          <w:rFonts w:hint="eastAsia"/>
          <w:color w:val="auto"/>
          <w:sz w:val="32"/>
          <w:szCs w:val="32"/>
          <w:highlight w:val="none"/>
        </w:rPr>
        <w:t>%</w:t>
      </w:r>
      <w:r>
        <w:rPr>
          <w:rFonts w:hint="eastAsia"/>
          <w:color w:val="auto"/>
          <w:sz w:val="32"/>
          <w:szCs w:val="32"/>
          <w:highlight w:val="none"/>
          <w:lang w:eastAsia="zh-CN"/>
        </w:rPr>
        <w:t>。</w:t>
      </w:r>
    </w:p>
    <w:p>
      <w:pPr>
        <w:spacing w:line="560" w:lineRule="exact"/>
        <w:rPr>
          <w:rFonts w:hint="eastAsia" w:ascii="Times New Roman" w:hAnsi="Times New Roman" w:eastAsia="黑体" w:cs="Times New Roman"/>
          <w:color w:val="auto"/>
          <w:sz w:val="32"/>
          <w:szCs w:val="32"/>
          <w:highlight w:val="none"/>
          <w:lang w:eastAsia="zh-Hans"/>
        </w:rPr>
      </w:pPr>
      <w:r>
        <w:rPr>
          <w:rFonts w:hint="eastAsia" w:ascii="Times New Roman" w:hAnsi="Times New Roman" w:eastAsia="黑体" w:cs="Times New Roman"/>
          <w:color w:val="auto"/>
          <w:sz w:val="32"/>
          <w:szCs w:val="32"/>
          <w:highlight w:val="none"/>
          <w:lang w:eastAsia="zh-Hans"/>
        </w:rPr>
        <w:t>五、预算执行进度与绩效指标总体完成率偏差</w:t>
      </w:r>
    </w:p>
    <w:p>
      <w:pPr>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2023年霍尔果斯市第一批农村公路及安全生命防护工程建设项目</w:t>
      </w:r>
      <w:r>
        <w:rPr>
          <w:rFonts w:hint="eastAsia" w:ascii="仿宋_GB2312" w:hAnsi="仿宋_GB2312" w:eastAsia="仿宋_GB2312" w:cs="仿宋_GB2312"/>
          <w:color w:val="auto"/>
          <w:kern w:val="2"/>
          <w:sz w:val="32"/>
          <w:szCs w:val="32"/>
          <w:highlight w:val="none"/>
          <w:lang w:val="en-US" w:eastAsia="zh-CN" w:bidi="ar-SA"/>
        </w:rPr>
        <w:t>年初预算</w:t>
      </w:r>
      <w:r>
        <w:rPr>
          <w:rFonts w:hint="eastAsia" w:ascii="仿宋_GB2312" w:hAnsi="仿宋_GB2312" w:cs="仿宋_GB2312"/>
          <w:color w:val="auto"/>
          <w:sz w:val="32"/>
          <w:szCs w:val="32"/>
          <w:highlight w:val="none"/>
          <w:lang w:val="en-US" w:eastAsia="zh-CN"/>
        </w:rPr>
        <w:t>38</w:t>
      </w:r>
      <w:r>
        <w:rPr>
          <w:rFonts w:hint="eastAsia" w:ascii="仿宋_GB2312" w:hAnsi="仿宋_GB2312" w:eastAsia="仿宋_GB2312" w:cs="仿宋_GB2312"/>
          <w:color w:val="auto"/>
          <w:kern w:val="2"/>
          <w:sz w:val="32"/>
          <w:szCs w:val="32"/>
          <w:highlight w:val="none"/>
          <w:lang w:val="en-US" w:eastAsia="zh-CN" w:bidi="ar-SA"/>
        </w:rPr>
        <w:t>万元，全年预算</w:t>
      </w:r>
      <w:r>
        <w:rPr>
          <w:rFonts w:hint="eastAsia" w:ascii="仿宋_GB2312" w:hAnsi="仿宋_GB2312" w:cs="仿宋_GB2312"/>
          <w:color w:val="auto"/>
          <w:sz w:val="32"/>
          <w:szCs w:val="32"/>
          <w:highlight w:val="none"/>
          <w:lang w:val="en-US" w:eastAsia="zh-CN"/>
        </w:rPr>
        <w:t>38</w:t>
      </w:r>
      <w:r>
        <w:rPr>
          <w:rFonts w:hint="eastAsia" w:ascii="仿宋_GB2312" w:hAnsi="仿宋_GB2312" w:eastAsia="仿宋_GB2312" w:cs="仿宋_GB2312"/>
          <w:color w:val="auto"/>
          <w:kern w:val="2"/>
          <w:sz w:val="32"/>
          <w:szCs w:val="32"/>
          <w:highlight w:val="none"/>
          <w:lang w:val="en-US" w:eastAsia="zh-CN" w:bidi="ar-SA"/>
        </w:rPr>
        <w:t>万元，实际支出</w:t>
      </w:r>
      <w:r>
        <w:rPr>
          <w:rFonts w:hint="eastAsia" w:ascii="仿宋_GB2312" w:hAnsi="仿宋_GB2312" w:cs="仿宋_GB2312"/>
          <w:color w:val="auto"/>
          <w:sz w:val="32"/>
          <w:szCs w:val="32"/>
          <w:highlight w:val="none"/>
          <w:lang w:val="en-US" w:eastAsia="zh-CN"/>
        </w:rPr>
        <w:t>38</w:t>
      </w:r>
      <w:r>
        <w:rPr>
          <w:rFonts w:hint="eastAsia" w:ascii="仿宋_GB2312" w:hAnsi="仿宋_GB2312" w:eastAsia="仿宋_GB2312" w:cs="仿宋_GB2312"/>
          <w:color w:val="auto"/>
          <w:kern w:val="2"/>
          <w:sz w:val="32"/>
          <w:szCs w:val="32"/>
          <w:highlight w:val="none"/>
          <w:lang w:val="en-US" w:eastAsia="zh-CN" w:bidi="ar-SA"/>
        </w:rPr>
        <w:t>万元，预算执行率为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%，项目绩效指标总体完成率为</w:t>
      </w:r>
      <w:r>
        <w:rPr>
          <w:rFonts w:hint="eastAsia" w:ascii="仿宋_GB2312" w:hAnsi="仿宋_GB2312" w:cs="仿宋_GB2312"/>
          <w:color w:val="auto"/>
          <w:kern w:val="2"/>
          <w:sz w:val="32"/>
          <w:szCs w:val="32"/>
          <w:highlight w:val="none"/>
          <w:lang w:val="en-US" w:eastAsia="zh-CN" w:bidi="ar-SA"/>
        </w:rPr>
        <w:t>100</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hAnsi="仿宋_GB2312" w:eastAsia="仿宋_GB2312" w:cs="仿宋_GB2312"/>
          <w:color w:val="auto"/>
          <w:kern w:val="2"/>
          <w:sz w:val="32"/>
          <w:szCs w:val="32"/>
          <w:highlight w:val="none"/>
          <w:lang w:val="en-US" w:eastAsia="zh-Hans" w:bidi="ar-SA"/>
        </w:rPr>
        <w:t>总体</w:t>
      </w:r>
      <w:r>
        <w:rPr>
          <w:rFonts w:hint="eastAsia" w:ascii="仿宋_GB2312" w:hAnsi="仿宋_GB2312" w:eastAsia="仿宋_GB2312" w:cs="仿宋_GB2312"/>
          <w:color w:val="auto"/>
          <w:kern w:val="2"/>
          <w:sz w:val="32"/>
          <w:szCs w:val="32"/>
          <w:highlight w:val="none"/>
          <w:lang w:val="en-US" w:eastAsia="zh-CN" w:bidi="ar-SA"/>
        </w:rPr>
        <w:t>偏差率为</w:t>
      </w:r>
      <w:r>
        <w:rPr>
          <w:rFonts w:hint="eastAsia" w:ascii="仿宋_GB2312" w:hAnsi="仿宋_GB2312" w:cs="仿宋_GB2312"/>
          <w:color w:val="auto"/>
          <w:kern w:val="2"/>
          <w:sz w:val="32"/>
          <w:szCs w:val="32"/>
          <w:highlight w:val="none"/>
          <w:lang w:val="en-US" w:eastAsia="zh-CN" w:bidi="ar-SA"/>
        </w:rPr>
        <w:t>0</w:t>
      </w:r>
      <w:r>
        <w:rPr>
          <w:rFonts w:hint="eastAsia" w:ascii="仿宋_GB2312" w:hAnsi="仿宋_GB2312" w:eastAsia="仿宋_GB2312" w:cs="仿宋_GB2312"/>
          <w:color w:val="auto"/>
          <w:kern w:val="2"/>
          <w:sz w:val="32"/>
          <w:szCs w:val="32"/>
          <w:highlight w:val="none"/>
          <w:lang w:val="en-US" w:eastAsia="zh-CN" w:bidi="ar-SA"/>
        </w:rPr>
        <w:t>%。</w:t>
      </w:r>
    </w:p>
    <w:p>
      <w:pPr>
        <w:spacing w:line="560" w:lineRule="exact"/>
        <w:rPr>
          <w:rFonts w:hint="eastAsia" w:ascii="Times New Roman" w:hAnsi="Times New Roman" w:eastAsia="黑体" w:cs="Times New Roman"/>
          <w:bCs/>
          <w:color w:val="auto"/>
          <w:sz w:val="32"/>
          <w:szCs w:val="32"/>
          <w:highlight w:val="none"/>
          <w:lang w:val="en-US" w:eastAsia="zh-CN"/>
        </w:rPr>
      </w:pPr>
      <w:bookmarkStart w:id="15" w:name="_Toc68703842"/>
      <w:r>
        <w:rPr>
          <w:rFonts w:hint="eastAsia" w:eastAsia="黑体" w:cs="Times New Roman"/>
          <w:bCs/>
          <w:color w:val="auto"/>
          <w:sz w:val="32"/>
          <w:szCs w:val="32"/>
          <w:highlight w:val="none"/>
          <w:lang w:val="en-US" w:eastAsia="zh-CN"/>
        </w:rPr>
        <w:t>六</w:t>
      </w:r>
      <w:r>
        <w:rPr>
          <w:rFonts w:hint="eastAsia" w:ascii="Times New Roman" w:hAnsi="Times New Roman" w:eastAsia="黑体" w:cs="Times New Roman"/>
          <w:bCs/>
          <w:color w:val="auto"/>
          <w:sz w:val="32"/>
          <w:szCs w:val="32"/>
          <w:highlight w:val="none"/>
          <w:lang w:val="en-US" w:eastAsia="zh-CN"/>
        </w:rPr>
        <w:t>、主要经验及做法、存在的问题及原因分析</w:t>
      </w:r>
      <w:bookmarkEnd w:id="15"/>
    </w:p>
    <w:p>
      <w:pPr>
        <w:spacing w:line="560" w:lineRule="exact"/>
        <w:rPr>
          <w:rFonts w:hint="eastAsia" w:ascii="Times New Roman" w:hAnsi="Times New Roman" w:eastAsia="楷体_GB2312" w:cs="Times New Roman"/>
          <w:b/>
          <w:bCs/>
          <w:color w:val="auto"/>
          <w:kern w:val="2"/>
          <w:sz w:val="32"/>
          <w:szCs w:val="32"/>
          <w:highlight w:val="none"/>
          <w:lang w:val="en-US" w:eastAsia="zh-CN" w:bidi="ar-SA"/>
        </w:rPr>
      </w:pPr>
      <w:bookmarkStart w:id="16" w:name="_Toc68703843"/>
      <w:r>
        <w:rPr>
          <w:rFonts w:hint="eastAsia" w:ascii="Times New Roman" w:hAnsi="Times New Roman" w:eastAsia="楷体_GB2312" w:cs="Times New Roman"/>
          <w:b/>
          <w:bCs/>
          <w:color w:val="auto"/>
          <w:kern w:val="2"/>
          <w:sz w:val="32"/>
          <w:szCs w:val="32"/>
          <w:highlight w:val="none"/>
          <w:lang w:val="en-US" w:eastAsia="zh-CN" w:bidi="ar-SA"/>
        </w:rPr>
        <w:t>（一）主要经验及做法</w:t>
      </w:r>
      <w:bookmarkEnd w:id="16"/>
    </w:p>
    <w:p>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rPr>
          <w:color w:val="auto"/>
          <w:highlight w:val="none"/>
        </w:rPr>
      </w:pPr>
      <w:r>
        <w:rPr>
          <w:rFonts w:ascii="Times New Roman" w:hAnsi="Times New Roman" w:eastAsia="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color w:val="auto"/>
          <w:kern w:val="2"/>
          <w:sz w:val="32"/>
          <w:szCs w:val="32"/>
          <w:highlight w:val="none"/>
          <w:lang w:val="en-US" w:eastAsia="zh-CN" w:bidi="ar-SA"/>
        </w:rPr>
      </w:pPr>
      <w:bookmarkStart w:id="17" w:name="_Toc68703844"/>
      <w:r>
        <w:rPr>
          <w:rFonts w:hint="eastAsia" w:ascii="Times New Roman" w:hAnsi="Times New Roman" w:eastAsia="楷体_GB2312" w:cs="Times New Roman"/>
          <w:b/>
          <w:bCs/>
          <w:color w:val="auto"/>
          <w:kern w:val="2"/>
          <w:sz w:val="32"/>
          <w:szCs w:val="32"/>
          <w:highlight w:val="none"/>
          <w:lang w:val="en-US" w:eastAsia="zh-CN" w:bidi="ar-SA"/>
        </w:rPr>
        <w:t>（二）存在的问题及原因分析</w:t>
      </w:r>
      <w:bookmarkEnd w:id="17"/>
      <w:r>
        <w:rPr>
          <w:rFonts w:hint="eastAsia" w:ascii="Times New Roman" w:hAnsi="Times New Roman" w:eastAsia="楷体_GB2312" w:cs="Times New Roman"/>
          <w:b/>
          <w:bCs/>
          <w:color w:val="auto"/>
          <w:kern w:val="2"/>
          <w:sz w:val="32"/>
          <w:szCs w:val="32"/>
          <w:highlight w:val="none"/>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2.因轮岗、调动等因素使我单位绩效工作人员流动频繁，造成了工作衔接不到位的情况。</w:t>
      </w:r>
    </w:p>
    <w:p>
      <w:pPr>
        <w:keepNext/>
        <w:keepLines/>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auto"/>
          <w:kern w:val="2"/>
          <w:sz w:val="32"/>
          <w:szCs w:val="32"/>
          <w:highlight w:val="none"/>
          <w:lang w:val="en-US" w:eastAsia="zh-CN" w:bidi="ar-SA"/>
        </w:rPr>
      </w:pPr>
      <w:bookmarkStart w:id="18" w:name="_Toc68703845"/>
      <w:r>
        <w:rPr>
          <w:rFonts w:hint="eastAsia" w:eastAsia="黑体" w:cs="Times New Roman"/>
          <w:b w:val="0"/>
          <w:bCs/>
          <w:color w:val="auto"/>
          <w:kern w:val="2"/>
          <w:sz w:val="32"/>
          <w:szCs w:val="32"/>
          <w:highlight w:val="none"/>
          <w:lang w:val="en-US" w:eastAsia="zh-CN" w:bidi="ar-SA"/>
        </w:rPr>
        <w:t>七</w:t>
      </w:r>
      <w:r>
        <w:rPr>
          <w:rFonts w:hint="eastAsia" w:ascii="Times New Roman" w:hAnsi="Times New Roman" w:eastAsia="黑体" w:cs="Times New Roman"/>
          <w:b w:val="0"/>
          <w:bCs/>
          <w:color w:val="auto"/>
          <w:kern w:val="2"/>
          <w:sz w:val="32"/>
          <w:szCs w:val="32"/>
          <w:highlight w:val="none"/>
          <w:lang w:val="en-US" w:eastAsia="zh-CN" w:bidi="ar-SA"/>
        </w:rPr>
        <w:t>、有关建议</w:t>
      </w:r>
      <w:bookmarkEnd w:id="18"/>
      <w:r>
        <w:rPr>
          <w:rFonts w:hint="eastAsia" w:ascii="Times New Roman" w:hAnsi="Times New Roman" w:eastAsia="黑体" w:cs="Times New Roman"/>
          <w:b w:val="0"/>
          <w:bCs/>
          <w:color w:val="auto"/>
          <w:kern w:val="2"/>
          <w:sz w:val="32"/>
          <w:szCs w:val="32"/>
          <w:highlight w:val="none"/>
          <w:lang w:val="en-US" w:eastAsia="zh-CN" w:bidi="ar-SA"/>
        </w:rPr>
        <w:t>　</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color w:val="auto"/>
          <w:sz w:val="22"/>
          <w:szCs w:val="28"/>
          <w:highlight w:val="none"/>
        </w:rPr>
      </w:pPr>
      <w:r>
        <w:rPr>
          <w:rFonts w:hint="eastAsia" w:ascii="仿宋_GB2312" w:hAnsi="仿宋_GB2312" w:eastAsia="仿宋_GB2312" w:cs="仿宋_GB2312"/>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6"/>
          <w:szCs w:val="32"/>
          <w:highlight w:val="none"/>
        </w:rPr>
        <w:t>。</w:t>
      </w:r>
    </w:p>
    <w:p>
      <w:pPr>
        <w:shd w:val="clear"/>
        <w:spacing w:line="600" w:lineRule="exact"/>
        <w:ind w:firstLine="640" w:firstLineChars="200"/>
        <w:outlineLvl w:val="0"/>
        <w:rPr>
          <w:color w:val="auto"/>
          <w:highlight w:val="none"/>
        </w:rPr>
      </w:pPr>
      <w:r>
        <w:rPr>
          <w:rFonts w:hint="eastAsia" w:ascii="仿宋_GB2312" w:hAnsi="仿宋_GB2312" w:eastAsia="仿宋_GB2312" w:cs="仿宋_GB2312"/>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color w:val="auto"/>
          <w:sz w:val="32"/>
          <w:szCs w:val="32"/>
          <w:highlight w:val="none"/>
        </w:rPr>
      </w:pPr>
      <w:bookmarkStart w:id="19" w:name="_Toc68703846"/>
      <w:r>
        <w:rPr>
          <w:rFonts w:hint="eastAsia" w:ascii="黑体" w:hAnsi="黑体" w:eastAsia="黑体" w:cs="黑体"/>
          <w:color w:val="auto"/>
          <w:sz w:val="32"/>
          <w:szCs w:val="32"/>
          <w:highlight w:val="none"/>
          <w:lang w:eastAsia="zh-CN"/>
        </w:rPr>
        <w:t>八</w:t>
      </w:r>
      <w:r>
        <w:rPr>
          <w:rFonts w:hint="eastAsia" w:ascii="黑体" w:hAnsi="黑体" w:eastAsia="黑体" w:cs="黑体"/>
          <w:color w:val="auto"/>
          <w:sz w:val="32"/>
          <w:szCs w:val="32"/>
          <w:highlight w:val="none"/>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auto"/>
          <w:sz w:val="32"/>
          <w:szCs w:val="32"/>
          <w:highlight w:val="none"/>
        </w:rPr>
      </w:pPr>
      <w:r>
        <w:rPr>
          <w:rFonts w:hint="eastAsia" w:ascii="仿宋_GB2312" w:hAnsi="仿宋_GB2312" w:cs="仿宋_GB2312"/>
          <w:color w:val="auto"/>
          <w:sz w:val="32"/>
          <w:szCs w:val="32"/>
          <w:highlight w:val="none"/>
          <w:lang w:eastAsia="zh-CN"/>
        </w:rPr>
        <w:t>　</w:t>
      </w:r>
      <w:r>
        <w:rPr>
          <w:rFonts w:hint="eastAsia" w:ascii="仿宋_GB2312" w:hAnsi="仿宋_GB2312" w:eastAsia="仿宋_GB2312" w:cs="仿宋_GB2312"/>
          <w:color w:val="auto"/>
          <w:sz w:val="32"/>
          <w:szCs w:val="32"/>
          <w:highlight w:val="none"/>
          <w:lang w:eastAsia="zh-Hans"/>
        </w:rPr>
        <w:t>本项目无其他需说明的问题</w:t>
      </w:r>
      <w:r>
        <w:rPr>
          <w:rFonts w:hint="eastAsia" w:ascii="仿宋_GB2312" w:hAnsi="仿宋_GB2312" w:cs="仿宋_GB2312"/>
          <w:color w:val="auto"/>
          <w:sz w:val="32"/>
          <w:szCs w:val="32"/>
          <w:highlight w:val="none"/>
          <w:lang w:eastAsia="zh-CN"/>
        </w:rPr>
        <w:t>。</w:t>
      </w:r>
    </w:p>
    <w:p>
      <w:pPr>
        <w:rPr>
          <w:color w:val="auto"/>
          <w:highlight w:val="none"/>
        </w:rPr>
      </w:pPr>
    </w:p>
    <w:p>
      <w:pPr>
        <w:pStyle w:val="2"/>
        <w:rPr>
          <w:color w:val="auto"/>
          <w:highlight w:val="none"/>
        </w:rPr>
      </w:pPr>
    </w:p>
    <w:p>
      <w:pPr>
        <w:rPr>
          <w:color w:val="auto"/>
          <w:highlight w:val="none"/>
        </w:rPr>
      </w:pPr>
    </w:p>
    <w:p>
      <w:pPr>
        <w:rPr>
          <w:color w:val="auto"/>
          <w:highlight w:val="none"/>
        </w:rPr>
      </w:pPr>
    </w:p>
    <w:p>
      <w:pPr>
        <w:pStyle w:val="2"/>
        <w:jc w:val="both"/>
        <w:rPr>
          <w:color w:val="auto"/>
          <w:highlight w:val="none"/>
        </w:rPr>
      </w:pPr>
    </w:p>
    <w:p>
      <w:pPr>
        <w:rPr>
          <w:color w:val="auto"/>
          <w:highlight w:val="none"/>
        </w:rPr>
      </w:pPr>
    </w:p>
    <w:p>
      <w:pPr>
        <w:pStyle w:val="2"/>
        <w:rPr>
          <w:color w:val="auto"/>
          <w:highlight w:val="none"/>
        </w:rPr>
      </w:pPr>
    </w:p>
    <w:p>
      <w:pPr>
        <w:rPr>
          <w:color w:val="auto"/>
          <w:highlight w:val="none"/>
        </w:rPr>
      </w:pPr>
    </w:p>
    <w:p>
      <w:pPr>
        <w:pStyle w:val="2"/>
      </w:pPr>
    </w:p>
    <w:p/>
    <w:p>
      <w:pPr>
        <w:pStyle w:val="2"/>
      </w:pPr>
    </w:p>
    <w:p/>
    <w:p>
      <w:pPr>
        <w:pStyle w:val="2"/>
      </w:pPr>
    </w:p>
    <w:tbl>
      <w:tblPr>
        <w:tblStyle w:val="12"/>
        <w:tblW w:w="8834" w:type="dxa"/>
        <w:tblInd w:w="0" w:type="dxa"/>
        <w:tblLayout w:type="fixed"/>
        <w:tblCellMar>
          <w:top w:w="0" w:type="dxa"/>
          <w:left w:w="0" w:type="dxa"/>
          <w:bottom w:w="0" w:type="dxa"/>
          <w:right w:w="0" w:type="dxa"/>
        </w:tblCellMar>
      </w:tblPr>
      <w:tblGrid>
        <w:gridCol w:w="695"/>
        <w:gridCol w:w="531"/>
        <w:gridCol w:w="859"/>
        <w:gridCol w:w="695"/>
        <w:gridCol w:w="646"/>
        <w:gridCol w:w="405"/>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color w:val="auto"/>
                <w:sz w:val="32"/>
                <w:szCs w:val="32"/>
                <w:highlight w:val="none"/>
                <w:u w:val="single"/>
              </w:rPr>
            </w:pPr>
            <w:r>
              <w:rPr>
                <w:rFonts w:hint="eastAsia" w:ascii="宋体" w:hAnsi="宋体" w:eastAsia="宋体" w:cs="宋体"/>
                <w:b/>
                <w:i w:val="0"/>
                <w:color w:val="auto"/>
                <w:kern w:val="0"/>
                <w:sz w:val="32"/>
                <w:szCs w:val="32"/>
                <w:highlight w:val="none"/>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2023年中央对地方成品油税费对各地农村公路日常养护支出</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项目资金</w:t>
            </w:r>
            <w:r>
              <w:rPr>
                <w:rFonts w:hint="eastAsia" w:ascii="宋体" w:hAnsi="宋体" w:eastAsia="宋体" w:cs="宋体"/>
                <w:i w:val="0"/>
                <w:color w:val="auto"/>
                <w:kern w:val="0"/>
                <w:sz w:val="20"/>
                <w:szCs w:val="20"/>
                <w:highlight w:val="none"/>
                <w:u w:val="none"/>
                <w:lang w:val="en-US" w:eastAsia="zh-CN" w:bidi="ar"/>
              </w:rPr>
              <w:br w:type="textWrapping"/>
            </w:r>
            <w:r>
              <w:rPr>
                <w:rFonts w:hint="eastAsia" w:ascii="宋体" w:hAnsi="宋体" w:eastAsia="宋体" w:cs="宋体"/>
                <w:i w:val="0"/>
                <w:color w:val="auto"/>
                <w:kern w:val="0"/>
                <w:sz w:val="20"/>
                <w:szCs w:val="20"/>
                <w:highlight w:val="none"/>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年初预算数</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 xml:space="preserve">38 </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38</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38</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0</w:t>
            </w:r>
          </w:p>
        </w:tc>
        <w:tc>
          <w:tcPr>
            <w:tcW w:w="13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2023年中央对地方成品油税费对各地农村公路日常养护支出，对霍尔果斯市道路基础设施项目及配套附属项目进行支付。完成提升城市承载力优化人居环境，改善居民出行环境的目标，达到提升居民幸福感、优化营商环境效果。</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2023年中央对地方成品油税费对各地农村公路日常养护支出，对霍尔果斯市道路基础设施项目及配套附属项目进行支付。完成提升城市承载力优化人居环境，改善居民出行环境的目标，达到提升居民幸福感、优化营商环境效果。</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color w:val="auto"/>
                <w:highlight w:val="none"/>
              </w:rPr>
            </w:pPr>
            <w:r>
              <w:rPr>
                <w:rFonts w:hint="eastAsia" w:ascii="宋体" w:hAnsi="宋体" w:eastAsia="宋体" w:cs="宋体"/>
                <w:i w:val="0"/>
                <w:color w:val="auto"/>
                <w:kern w:val="0"/>
                <w:sz w:val="20"/>
                <w:szCs w:val="20"/>
                <w:highlight w:val="none"/>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养护县道里程(公里)</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&gt;=8.40km</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8.40km</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养护乡道里程(公里)</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&gt;=161.56km</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161.56km</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养护专用公路(公里)</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&gt;=13.69km</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13.69km</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08"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养护村道里程(公里)</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&gt;=285.81km</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285.81km</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工程合格率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8</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按期完成投资率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ascii="Times New Roman" w:hAnsi="Times New Roman" w:eastAsia="宋体" w:cs="Times New Roman"/>
                <w:color w:val="auto"/>
                <w:kern w:val="0"/>
                <w:sz w:val="18"/>
                <w:szCs w:val="18"/>
                <w:highlight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ascii="Times New Roman" w:hAnsi="Times New Roman" w:eastAsia="宋体" w:cs="Times New Roman"/>
                <w:color w:val="auto"/>
                <w:kern w:val="0"/>
                <w:sz w:val="18"/>
                <w:szCs w:val="18"/>
                <w:highlight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社会成本指标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生态环境成本指标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color w:val="auto"/>
                <w:kern w:val="0"/>
                <w:sz w:val="18"/>
                <w:szCs w:val="18"/>
                <w:highlight w:val="none"/>
                <w:lang w:bidi="ar"/>
              </w:rPr>
            </w:pPr>
            <w:r>
              <w:rPr>
                <w:rFonts w:hint="eastAsia" w:ascii="宋体" w:hAnsi="宋体" w:eastAsia="宋体" w:cs="宋体"/>
                <w:i w:val="0"/>
                <w:color w:val="auto"/>
                <w:kern w:val="0"/>
                <w:sz w:val="20"/>
                <w:szCs w:val="20"/>
                <w:highlight w:val="none"/>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对经济发展促进作用</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明显提升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明显提升</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15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项目适应未来一定时期交通需求</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eastAsia="zh-CN" w:bidi="ar"/>
              </w:rPr>
            </w:pPr>
            <w:r>
              <w:rPr>
                <w:rFonts w:hint="eastAsia" w:ascii="Times New Roman" w:hAnsi="Times New Roman" w:eastAsia="宋体" w:cs="Times New Roman"/>
                <w:color w:val="auto"/>
                <w:kern w:val="0"/>
                <w:sz w:val="18"/>
                <w:szCs w:val="18"/>
                <w:highlight w:val="none"/>
                <w:lang w:bidi="ar"/>
              </w:rPr>
              <w:t>明显</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明显</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15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15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生态效益指标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交通建设符合环评审批要求</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改善通行服务水平群众满意度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color w:val="auto"/>
                <w:kern w:val="0"/>
                <w:sz w:val="18"/>
                <w:szCs w:val="18"/>
                <w:highlight w:val="none"/>
                <w:lang w:bidi="ar"/>
              </w:rPr>
            </w:pPr>
            <w:r>
              <w:rPr>
                <w:rFonts w:hint="eastAsia" w:ascii="Times New Roman" w:hAnsi="Times New Roman" w:eastAsia="宋体" w:cs="Times New Roman"/>
                <w:color w:val="auto"/>
                <w:kern w:val="0"/>
                <w:sz w:val="18"/>
                <w:szCs w:val="18"/>
                <w:highlight w:val="none"/>
                <w:lang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color w:val="auto"/>
                <w:kern w:val="0"/>
                <w:sz w:val="18"/>
                <w:szCs w:val="18"/>
                <w:highlight w:val="none"/>
                <w:lang w:val="en-US" w:eastAsia="zh-CN" w:bidi="ar"/>
              </w:rPr>
            </w:pPr>
            <w:r>
              <w:rPr>
                <w:rFonts w:hint="eastAsia" w:eastAsia="宋体" w:cs="Times New Roman"/>
                <w:color w:val="auto"/>
                <w:kern w:val="0"/>
                <w:sz w:val="18"/>
                <w:szCs w:val="18"/>
                <w:highlight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color w:val="auto"/>
                <w:kern w:val="0"/>
                <w:sz w:val="18"/>
                <w:szCs w:val="18"/>
                <w:highlight w:val="none"/>
                <w:lang w:bidi="ar"/>
              </w:rPr>
            </w:pPr>
          </w:p>
        </w:tc>
      </w:tr>
    </w:tbl>
    <w:p>
      <w:pPr>
        <w:spacing w:line="600" w:lineRule="exact"/>
        <w:rPr>
          <w:rFonts w:hint="eastAsia" w:ascii="黑体" w:hAnsi="黑体" w:eastAsia="黑体" w:cs="黑体"/>
          <w:bCs/>
          <w:color w:val="auto"/>
          <w:sz w:val="32"/>
          <w:szCs w:val="32"/>
          <w:highlight w:val="none"/>
        </w:rPr>
        <w:sectPr>
          <w:headerReference r:id="rId3" w:type="default"/>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p>
    <w:p>
      <w:pPr>
        <w:pStyle w:val="21"/>
        <w:ind w:firstLine="562"/>
        <w:jc w:val="center"/>
        <w:rPr>
          <w:color w:val="auto"/>
          <w:sz w:val="28"/>
          <w:szCs w:val="40"/>
          <w:highlight w:val="none"/>
        </w:rPr>
      </w:pPr>
      <w:bookmarkStart w:id="20" w:name="_Toc26499_WPSOffice_Level2"/>
      <w:bookmarkStart w:id="21" w:name="_Toc30064_WPSOffice_Level1"/>
      <w:r>
        <w:rPr>
          <w:rFonts w:hint="eastAsia"/>
          <w:b/>
          <w:bCs/>
          <w:color w:val="auto"/>
          <w:sz w:val="28"/>
          <w:szCs w:val="40"/>
          <w:highlight w:val="none"/>
        </w:rPr>
        <w:t>2023年中央对地方成品油税费对各地农村公路日常养护支出项目绩效评价指标体系及综合评分表</w:t>
      </w:r>
      <w:bookmarkEnd w:id="20"/>
      <w:bookmarkEnd w:id="21"/>
    </w:p>
    <w:tbl>
      <w:tblPr>
        <w:tblStyle w:val="12"/>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4"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198"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r>
              <w:rPr>
                <w:color w:val="auto"/>
                <w:kern w:val="0"/>
                <w:sz w:val="22"/>
                <w:szCs w:val="22"/>
                <w:highlight w:val="none"/>
              </w:rPr>
              <w:t>过程</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continue"/>
            <w:shd w:val="clear" w:color="auto" w:fill="FFFFFF"/>
            <w:vAlign w:val="center"/>
          </w:tcPr>
          <w:p>
            <w:pPr>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auto"/>
                <w:kern w:val="0"/>
                <w:sz w:val="22"/>
                <w:szCs w:val="22"/>
                <w:highlight w:val="none"/>
              </w:rPr>
            </w:pPr>
          </w:p>
        </w:tc>
        <w:tc>
          <w:tcPr>
            <w:tcW w:w="764" w:type="dxa"/>
            <w:shd w:val="clear" w:color="auto" w:fill="FFFFFF"/>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FFFFFF"/>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198" w:type="dxa"/>
            <w:shd w:val="clear" w:color="auto" w:fill="FFFFFF"/>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auto"/>
                <w:kern w:val="0"/>
                <w:sz w:val="22"/>
                <w:szCs w:val="22"/>
                <w:highlight w:val="none"/>
              </w:rPr>
            </w:pPr>
          </w:p>
        </w:tc>
        <w:tc>
          <w:tcPr>
            <w:tcW w:w="764" w:type="dxa"/>
            <w:vMerge w:val="continue"/>
            <w:shd w:val="clear" w:color="auto" w:fill="FFFFFF"/>
            <w:vAlign w:val="center"/>
          </w:tcPr>
          <w:p>
            <w:pPr>
              <w:widowControl/>
              <w:spacing w:line="0" w:lineRule="atLeast"/>
              <w:jc w:val="center"/>
              <w:rPr>
                <w:color w:val="auto"/>
                <w:kern w:val="0"/>
                <w:sz w:val="22"/>
                <w:szCs w:val="22"/>
                <w:highlight w:val="none"/>
              </w:rPr>
            </w:pPr>
          </w:p>
        </w:tc>
        <w:tc>
          <w:tcPr>
            <w:tcW w:w="873" w:type="dxa"/>
            <w:shd w:val="clear" w:color="auto" w:fill="FFFFFF"/>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bl>
    <w:p/>
    <w:sectPr>
      <w:pgSz w:w="16838" w:h="11906" w:orient="landscape"/>
      <w:pgMar w:top="1531" w:right="1928" w:bottom="1531" w:left="1701" w:header="737" w:footer="851" w:gutter="0"/>
      <w:pgBorders>
        <w:top w:val="none" w:sz="0" w:space="0"/>
        <w:left w:val="none" w:sz="0" w:space="0"/>
        <w:bottom w:val="none" w:sz="0" w:space="0"/>
        <w:right w:val="none" w:sz="0" w:space="0"/>
      </w:pgBorders>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1440C0DF"/>
    <w:multiLevelType w:val="singleLevel"/>
    <w:tmpl w:val="1440C0DF"/>
    <w:lvl w:ilvl="0" w:tentative="0">
      <w:start w:val="1"/>
      <w:numFmt w:val="decimal"/>
      <w:lvlText w:val="%1."/>
      <w:lvlJc w:val="left"/>
      <w:pPr>
        <w:tabs>
          <w:tab w:val="left" w:pos="312"/>
        </w:tabs>
      </w:pPr>
    </w:lvl>
  </w:abstractNum>
  <w:abstractNum w:abstractNumId="3">
    <w:nsid w:val="42717433"/>
    <w:multiLevelType w:val="singleLevel"/>
    <w:tmpl w:val="42717433"/>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F2A6BF7"/>
    <w:rsid w:val="109627EE"/>
    <w:rsid w:val="15AD17BE"/>
    <w:rsid w:val="16B578A5"/>
    <w:rsid w:val="17136327"/>
    <w:rsid w:val="181871E2"/>
    <w:rsid w:val="19166846"/>
    <w:rsid w:val="20E92B23"/>
    <w:rsid w:val="22AC2218"/>
    <w:rsid w:val="2729052F"/>
    <w:rsid w:val="28C14634"/>
    <w:rsid w:val="29395173"/>
    <w:rsid w:val="2EC724D4"/>
    <w:rsid w:val="2EE30257"/>
    <w:rsid w:val="34DA27CE"/>
    <w:rsid w:val="36411DC5"/>
    <w:rsid w:val="36B72533"/>
    <w:rsid w:val="39007409"/>
    <w:rsid w:val="4057649F"/>
    <w:rsid w:val="450B6AE4"/>
    <w:rsid w:val="4DBB4962"/>
    <w:rsid w:val="54873A1A"/>
    <w:rsid w:val="56796849"/>
    <w:rsid w:val="568F383B"/>
    <w:rsid w:val="5D555EEF"/>
    <w:rsid w:val="5DA95371"/>
    <w:rsid w:val="5EE355ED"/>
    <w:rsid w:val="686F7714"/>
    <w:rsid w:val="6A862BA8"/>
    <w:rsid w:val="6AF15592"/>
    <w:rsid w:val="6DFC1C65"/>
    <w:rsid w:val="757E5FBE"/>
    <w:rsid w:val="75FA041F"/>
    <w:rsid w:val="760F49BD"/>
    <w:rsid w:val="76E870A0"/>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semiHidden/>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footer"/>
    <w:basedOn w:val="1"/>
    <w:link w:val="20"/>
    <w:semiHidden/>
    <w:unhideWhenUsed/>
    <w:qFormat/>
    <w:uiPriority w:val="99"/>
    <w:pPr>
      <w:tabs>
        <w:tab w:val="center" w:pos="4153"/>
        <w:tab w:val="right" w:pos="8306"/>
      </w:tabs>
      <w:snapToGrid w:val="0"/>
      <w:jc w:val="left"/>
    </w:pPr>
    <w:rPr>
      <w:sz w:val="18"/>
      <w:szCs w:val="18"/>
    </w:rPr>
  </w:style>
  <w:style w:type="paragraph" w:styleId="9">
    <w:name w:val="header"/>
    <w:basedOn w:val="1"/>
    <w:link w:val="1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4">
    <w:name w:val="Strong"/>
    <w:qFormat/>
    <w:uiPriority w:val="0"/>
    <w:rPr>
      <w:b/>
      <w:bCs/>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character" w:customStyle="1" w:styleId="16">
    <w:name w:val="标题 1 Char"/>
    <w:basedOn w:val="13"/>
    <w:link w:val="3"/>
    <w:qFormat/>
    <w:uiPriority w:val="9"/>
    <w:rPr>
      <w:rFonts w:ascii="Times New Roman" w:hAnsi="Times New Roman" w:eastAsia="仿宋_GB2312" w:cs="Times New Roman"/>
      <w:b/>
      <w:bCs/>
      <w:kern w:val="44"/>
      <w:sz w:val="44"/>
      <w:szCs w:val="44"/>
    </w:rPr>
  </w:style>
  <w:style w:type="character" w:customStyle="1" w:styleId="17">
    <w:name w:val="标题 2 Char"/>
    <w:basedOn w:val="13"/>
    <w:link w:val="4"/>
    <w:qFormat/>
    <w:uiPriority w:val="9"/>
    <w:rPr>
      <w:rFonts w:asciiTheme="majorHAnsi" w:hAnsiTheme="majorHAnsi" w:eastAsiaTheme="majorEastAsia" w:cstheme="majorBidi"/>
      <w:b/>
      <w:bCs/>
      <w:sz w:val="32"/>
      <w:szCs w:val="32"/>
    </w:rPr>
  </w:style>
  <w:style w:type="paragraph" w:customStyle="1" w:styleId="18">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9">
    <w:name w:val="页眉 Char"/>
    <w:basedOn w:val="13"/>
    <w:link w:val="9"/>
    <w:semiHidden/>
    <w:qFormat/>
    <w:uiPriority w:val="99"/>
    <w:rPr>
      <w:rFonts w:ascii="Times New Roman" w:hAnsi="Times New Roman" w:eastAsia="仿宋_GB2312" w:cs="Times New Roman"/>
      <w:sz w:val="18"/>
      <w:szCs w:val="18"/>
    </w:rPr>
  </w:style>
  <w:style w:type="character" w:customStyle="1" w:styleId="20">
    <w:name w:val="页脚 Char"/>
    <w:basedOn w:val="13"/>
    <w:link w:val="8"/>
    <w:semiHidden/>
    <w:qFormat/>
    <w:uiPriority w:val="99"/>
    <w:rPr>
      <w:rFonts w:ascii="Times New Roman" w:hAnsi="Times New Roman" w:eastAsia="仿宋_GB2312" w:cs="Times New Roman"/>
      <w:sz w:val="18"/>
      <w:szCs w:val="18"/>
    </w:rPr>
  </w:style>
  <w:style w:type="paragraph" w:customStyle="1" w:styleId="21">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2024-06-07T11:23:28Z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7E5D5F9636734DCD844C270699A193C4</vt:lpwstr>
  </property>
</Properties>
</file>