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spacing w:line="540" w:lineRule="exact"/>
        <w:jc w:val="center"/>
        <w:rPr>
          <w:rFonts w:eastAsia="方正小标宋_GBK"/>
          <w:color w:val="auto"/>
          <w:kern w:val="0"/>
          <w:sz w:val="48"/>
          <w:szCs w:val="48"/>
        </w:rPr>
      </w:pPr>
      <w:r>
        <w:rPr>
          <w:rFonts w:hint="eastAsia" w:eastAsia="方正小标宋_GBK"/>
          <w:color w:val="auto"/>
          <w:kern w:val="0"/>
          <w:sz w:val="48"/>
          <w:szCs w:val="48"/>
        </w:rPr>
        <w:t>为民办实事补贴及工作</w:t>
      </w:r>
      <w:r>
        <w:rPr>
          <w:rFonts w:eastAsia="方正小标宋_GBK"/>
          <w:color w:val="auto"/>
          <w:kern w:val="0"/>
          <w:sz w:val="48"/>
          <w:szCs w:val="48"/>
        </w:rPr>
        <w:t>资金项目支出</w:t>
      </w:r>
    </w:p>
    <w:p>
      <w:pPr>
        <w:spacing w:line="540" w:lineRule="exact"/>
        <w:jc w:val="center"/>
        <w:rPr>
          <w:rFonts w:eastAsia="方正小标宋_GBK"/>
          <w:color w:val="auto"/>
          <w:kern w:val="0"/>
          <w:sz w:val="48"/>
          <w:szCs w:val="48"/>
        </w:rPr>
      </w:pPr>
      <w:r>
        <w:rPr>
          <w:rFonts w:eastAsia="方正小标宋_GBK"/>
          <w:color w:val="auto"/>
          <w:kern w:val="0"/>
          <w:sz w:val="48"/>
          <w:szCs w:val="48"/>
        </w:rPr>
        <w:t>绩效评价报告</w:t>
      </w:r>
    </w:p>
    <w:p>
      <w:pPr>
        <w:jc w:val="center"/>
        <w:rPr>
          <w:rFonts w:ascii="宋体" w:hAnsi="宋体" w:eastAsia="宋体" w:cs="Arial"/>
          <w:b/>
          <w:bCs/>
          <w:color w:val="auto"/>
          <w:sz w:val="48"/>
          <w:szCs w:val="48"/>
        </w:rPr>
      </w:pPr>
    </w:p>
    <w:p>
      <w:pPr>
        <w:spacing w:line="540" w:lineRule="exact"/>
        <w:jc w:val="center"/>
        <w:rPr>
          <w:rFonts w:ascii="Times New Roman" w:hAnsi="Times New Roman" w:eastAsia="仿宋_GB2312" w:cs="Times New Roman"/>
          <w:color w:val="auto"/>
          <w:kern w:val="0"/>
          <w:sz w:val="36"/>
          <w:szCs w:val="36"/>
        </w:rPr>
      </w:pPr>
      <w:r>
        <w:rPr>
          <w:rFonts w:hint="eastAsia" w:ascii="Times New Roman" w:hAnsi="Times New Roman" w:eastAsia="仿宋_GB2312" w:cs="Times New Roman"/>
          <w:color w:val="auto"/>
          <w:kern w:val="0"/>
          <w:sz w:val="36"/>
          <w:szCs w:val="36"/>
        </w:rPr>
        <w:t>（2</w:t>
      </w:r>
      <w:r>
        <w:rPr>
          <w:rFonts w:ascii="Times New Roman" w:hAnsi="Times New Roman" w:eastAsia="仿宋_GB2312" w:cs="Times New Roman"/>
          <w:color w:val="auto"/>
          <w:kern w:val="0"/>
          <w:sz w:val="36"/>
          <w:szCs w:val="36"/>
        </w:rPr>
        <w:t>02</w:t>
      </w:r>
      <w:r>
        <w:rPr>
          <w:rFonts w:hint="eastAsia" w:ascii="Times New Roman" w:hAnsi="Times New Roman" w:eastAsia="仿宋_GB2312" w:cs="Times New Roman"/>
          <w:color w:val="auto"/>
          <w:kern w:val="0"/>
          <w:sz w:val="36"/>
          <w:szCs w:val="36"/>
          <w:lang w:val="en-US" w:eastAsia="zh-CN"/>
        </w:rPr>
        <w:t>3</w:t>
      </w:r>
      <w:r>
        <w:rPr>
          <w:rFonts w:hint="eastAsia" w:ascii="Times New Roman" w:hAnsi="Times New Roman" w:eastAsia="仿宋_GB2312" w:cs="Times New Roman"/>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pStyle w:val="2"/>
      </w:pPr>
    </w:p>
    <w:p>
      <w:pPr>
        <w:spacing w:line="560" w:lineRule="exact"/>
        <w:ind w:firstLine="321" w:firstLineChars="100"/>
        <w:jc w:val="both"/>
        <w:rPr>
          <w:rFonts w:ascii="宋体" w:hAnsi="宋体" w:eastAsia="宋体" w:cs="宋体"/>
          <w:color w:val="auto"/>
          <w:kern w:val="0"/>
          <w:sz w:val="32"/>
          <w:szCs w:val="32"/>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项目名称：为民办实事补贴及工作</w:t>
      </w:r>
    </w:p>
    <w:p>
      <w:pPr>
        <w:spacing w:line="560" w:lineRule="exact"/>
        <w:jc w:val="both"/>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实施单位（公章）：</w:t>
      </w:r>
      <w:r>
        <w:rPr>
          <w:rFonts w:hint="eastAsia" w:ascii="宋体" w:hAnsi="宋体" w:eastAsia="宋体" w:cs="仿宋_GB2312"/>
          <w:b/>
          <w:bCs/>
          <w:color w:val="auto"/>
          <w:kern w:val="0"/>
          <w:sz w:val="32"/>
          <w:szCs w:val="32"/>
          <w:lang w:val="en-US" w:eastAsia="zh-CN"/>
        </w:rPr>
        <w:t>霍尔果斯市委组织部</w:t>
      </w:r>
    </w:p>
    <w:p>
      <w:pPr>
        <w:spacing w:line="560" w:lineRule="exact"/>
        <w:jc w:val="both"/>
        <w:rPr>
          <w:rFonts w:ascii="宋体" w:hAnsi="宋体" w:eastAsia="宋体" w:cs="宋体"/>
          <w:color w:val="auto"/>
          <w:kern w:val="0"/>
          <w:sz w:val="32"/>
          <w:szCs w:val="32"/>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主管部门（公章）：</w:t>
      </w:r>
      <w:r>
        <w:rPr>
          <w:rFonts w:hint="eastAsia" w:ascii="宋体" w:hAnsi="宋体" w:eastAsia="宋体" w:cs="仿宋_GB2312"/>
          <w:b/>
          <w:bCs/>
          <w:color w:val="auto"/>
          <w:kern w:val="0"/>
          <w:sz w:val="32"/>
          <w:szCs w:val="32"/>
          <w:lang w:val="en-US" w:eastAsia="zh-CN"/>
        </w:rPr>
        <w:t>霍尔果斯市委组织部</w:t>
      </w:r>
    </w:p>
    <w:p>
      <w:pPr>
        <w:spacing w:line="560" w:lineRule="exact"/>
        <w:ind w:firstLine="321" w:firstLineChars="100"/>
        <w:jc w:val="both"/>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项目负责人（签章）：</w:t>
      </w:r>
      <w:r>
        <w:rPr>
          <w:rFonts w:hint="eastAsia" w:ascii="宋体" w:hAnsi="宋体" w:eastAsia="宋体" w:cs="仿宋_GB2312"/>
          <w:b/>
          <w:bCs/>
          <w:color w:val="auto"/>
          <w:kern w:val="0"/>
          <w:sz w:val="32"/>
          <w:szCs w:val="32"/>
          <w:lang w:val="en-US" w:eastAsia="zh-CN"/>
        </w:rPr>
        <w:t>汤志龙</w:t>
      </w:r>
    </w:p>
    <w:p>
      <w:pPr>
        <w:spacing w:line="560" w:lineRule="exact"/>
        <w:ind w:firstLine="321" w:firstLineChars="100"/>
        <w:jc w:val="both"/>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lang w:eastAsia="zh-CN"/>
        </w:rPr>
        <w:t>　　　　</w:t>
      </w:r>
      <w:r>
        <w:rPr>
          <w:rFonts w:hint="eastAsia" w:ascii="宋体" w:hAnsi="宋体" w:eastAsia="宋体" w:cs="仿宋_GB2312"/>
          <w:b/>
          <w:bCs/>
          <w:color w:val="auto"/>
          <w:kern w:val="0"/>
          <w:sz w:val="32"/>
          <w:szCs w:val="32"/>
        </w:rPr>
        <w:t>填报时间：</w:t>
      </w:r>
      <w:r>
        <w:rPr>
          <w:rFonts w:hint="eastAsia" w:ascii="宋体" w:hAnsi="宋体" w:eastAsia="宋体" w:cs="仿宋_GB2312"/>
          <w:b/>
          <w:bCs/>
          <w:color w:val="auto"/>
          <w:kern w:val="0"/>
          <w:sz w:val="32"/>
          <w:szCs w:val="32"/>
          <w:lang w:val="en-US" w:eastAsia="zh-CN"/>
        </w:rPr>
        <w:t>2024年4月15日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color w:val="auto"/>
          <w:sz w:val="32"/>
          <w:szCs w:val="32"/>
        </w:rPr>
      </w:pPr>
      <w:bookmarkStart w:id="0" w:name="_Toc68703827"/>
      <w:r>
        <w:rPr>
          <w:rFonts w:hint="eastAsia" w:eastAsia="黑体" w:cs="Times New Roman"/>
          <w:bCs/>
          <w:color w:val="auto"/>
          <w:sz w:val="32"/>
          <w:szCs w:val="32"/>
          <w:lang w:val="en-US" w:eastAsia="zh-CN"/>
        </w:rPr>
        <w:t>一、</w:t>
      </w:r>
      <w:r>
        <w:rPr>
          <w:rFonts w:hint="eastAsia" w:ascii="Times New Roman" w:hAnsi="Times New Roman" w:eastAsia="黑体" w:cs="Times New Roman"/>
          <w:bCs/>
          <w:color w:val="auto"/>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（一）</w:t>
      </w:r>
      <w:r>
        <w:rPr>
          <w:rFonts w:hint="eastAsia" w:ascii="Times New Roman" w:hAnsi="Times New Roman" w:eastAsia="楷体_GB2312"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olor w:val="auto"/>
          <w:lang w:eastAsia="zh-CN"/>
        </w:rPr>
      </w:pPr>
      <w:r>
        <w:rPr>
          <w:rFonts w:hint="eastAsia" w:ascii="Times New Roman" w:hAnsi="Times New Roman" w:cs="Times New Roman"/>
          <w:b w:val="0"/>
          <w:bCs w:val="0"/>
          <w:color w:val="auto"/>
          <w:sz w:val="32"/>
          <w:szCs w:val="32"/>
          <w:lang w:val="en-US" w:eastAsia="zh-CN"/>
        </w:rPr>
        <w:t>　</w:t>
      </w:r>
      <w:r>
        <w:rPr>
          <w:rFonts w:hint="eastAsia" w:cs="Times New Roman"/>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val="en-US" w:eastAsia="zh-CN"/>
        </w:rPr>
        <w:t>1.项目背景：</w:t>
      </w:r>
    </w:p>
    <w:p>
      <w:pPr>
        <w:spacing w:line="560" w:lineRule="exact"/>
        <w:ind w:firstLine="640" w:firstLineChars="200"/>
        <w:rPr>
          <w:rFonts w:hint="default" w:eastAsia="仿宋_GB2312"/>
          <w:color w:val="auto"/>
          <w:sz w:val="32"/>
          <w:szCs w:val="32"/>
          <w:lang w:val="en-US" w:eastAsia="zh-CN"/>
        </w:rPr>
      </w:pPr>
      <w:r>
        <w:rPr>
          <w:rFonts w:hint="eastAsia" w:eastAsia="仿宋_GB2312"/>
          <w:color w:val="auto"/>
          <w:sz w:val="32"/>
          <w:szCs w:val="32"/>
        </w:rPr>
        <w:t>自2014年，鉴于新疆严峻的维稳形势，经认真研究，自治区提出了维护新疆社会稳定和长治久安的总目标，自治区党委决定抽调机关、国企、高校等干部向全疆各村（社区）派驻工作队</w:t>
      </w:r>
      <w:r>
        <w:rPr>
          <w:rFonts w:hint="eastAsia"/>
          <w:color w:val="auto"/>
          <w:sz w:val="32"/>
          <w:szCs w:val="32"/>
          <w:lang w:eastAsia="zh-CN"/>
        </w:rPr>
        <w:t>，</w:t>
      </w:r>
      <w:r>
        <w:rPr>
          <w:rFonts w:hint="eastAsia"/>
          <w:color w:val="auto"/>
          <w:sz w:val="32"/>
          <w:szCs w:val="32"/>
          <w:lang w:val="en-US" w:eastAsia="zh-CN"/>
        </w:rPr>
        <w:t>是中国政府为实现全面建成小康社会的目标，消除绝对贫困而提出的工作方法和策略，它强调了“访”，即深入到贫困地区、贫困家庭，了解贫困原因和需求，“惠”即通过提供帮扶措施和政策支持，满足贫困人口基本生活需求，并促进他们自力更生，脱贫致富，“聚”即组织各方力量，形成合力，共同推动扶贫工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w:t>
      </w:r>
      <w:r>
        <w:rPr>
          <w:rFonts w:hint="eastAsia" w:cs="Times New Roman"/>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eastAsia="zh-CN"/>
        </w:rPr>
        <w:t>2</w:t>
      </w:r>
      <w:r>
        <w:rPr>
          <w:rFonts w:hint="eastAsia"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eastAsia="zh-CN"/>
        </w:rPr>
        <w:t>主要内容及实施情况</w:t>
      </w:r>
    </w:p>
    <w:p>
      <w:pPr>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eastAsia" w:eastAsia="仿宋_GB2312"/>
          <w:color w:val="auto"/>
          <w:sz w:val="32"/>
          <w:szCs w:val="32"/>
          <w:highlight w:val="none"/>
          <w:lang w:eastAsia="zh-CN"/>
        </w:rPr>
      </w:pPr>
      <w:r>
        <w:rPr>
          <w:rFonts w:hint="eastAsia" w:ascii="仿宋_GB2312"/>
          <w:color w:val="auto"/>
          <w:sz w:val="32"/>
          <w:szCs w:val="32"/>
        </w:rPr>
        <w:t>主要内容：</w:t>
      </w:r>
      <w:r>
        <w:rPr>
          <w:rFonts w:hint="eastAsia" w:eastAsia="仿宋_GB2312"/>
          <w:color w:val="auto"/>
          <w:sz w:val="32"/>
          <w:szCs w:val="32"/>
          <w:highlight w:val="none"/>
        </w:rPr>
        <w:t>工作队为民办实事经费</w:t>
      </w:r>
      <w:r>
        <w:rPr>
          <w:rFonts w:hint="eastAsia" w:eastAsia="仿宋_GB2312"/>
          <w:color w:val="auto"/>
          <w:sz w:val="32"/>
          <w:szCs w:val="32"/>
          <w:highlight w:val="none"/>
          <w:lang w:eastAsia="zh-CN"/>
        </w:rPr>
        <w:t>、</w:t>
      </w:r>
      <w:r>
        <w:rPr>
          <w:rFonts w:hint="eastAsia" w:eastAsia="仿宋_GB2312"/>
          <w:color w:val="auto"/>
          <w:sz w:val="32"/>
          <w:szCs w:val="32"/>
          <w:highlight w:val="none"/>
        </w:rPr>
        <w:t>“工作队工作经费</w:t>
      </w:r>
      <w:r>
        <w:rPr>
          <w:rFonts w:hint="eastAsia" w:eastAsia="仿宋_GB2312"/>
          <w:color w:val="auto"/>
          <w:sz w:val="32"/>
          <w:szCs w:val="32"/>
          <w:highlight w:val="none"/>
          <w:lang w:eastAsia="zh-CN"/>
        </w:rPr>
        <w:t>、</w:t>
      </w:r>
      <w:r>
        <w:rPr>
          <w:rFonts w:hint="eastAsia" w:eastAsia="仿宋_GB2312"/>
          <w:color w:val="auto"/>
          <w:sz w:val="32"/>
          <w:szCs w:val="32"/>
          <w:highlight w:val="none"/>
        </w:rPr>
        <w:t>第一书记为民办实事经费</w:t>
      </w:r>
      <w:r>
        <w:rPr>
          <w:rFonts w:hint="eastAsia" w:eastAsia="仿宋_GB2312"/>
          <w:color w:val="auto"/>
          <w:sz w:val="32"/>
          <w:szCs w:val="32"/>
          <w:highlight w:val="none"/>
          <w:lang w:eastAsia="zh-CN"/>
        </w:rPr>
        <w:t>、</w:t>
      </w:r>
      <w:r>
        <w:rPr>
          <w:rFonts w:hint="eastAsia" w:eastAsia="仿宋_GB2312"/>
          <w:color w:val="auto"/>
          <w:sz w:val="32"/>
          <w:szCs w:val="32"/>
          <w:highlight w:val="none"/>
        </w:rPr>
        <w:t>驻村干部个人补助经费</w:t>
      </w:r>
      <w:r>
        <w:rPr>
          <w:rFonts w:hint="eastAsia" w:eastAsia="仿宋_GB2312"/>
          <w:color w:val="auto"/>
          <w:sz w:val="32"/>
          <w:szCs w:val="32"/>
          <w:highlight w:val="none"/>
          <w:lang w:eastAsia="zh-CN"/>
        </w:rPr>
        <w:t>、</w:t>
      </w:r>
      <w:r>
        <w:rPr>
          <w:rFonts w:hint="eastAsia" w:eastAsia="仿宋_GB2312"/>
          <w:color w:val="auto"/>
          <w:sz w:val="32"/>
          <w:szCs w:val="32"/>
          <w:highlight w:val="none"/>
        </w:rPr>
        <w:t>优秀驻村干部表彰经费</w:t>
      </w:r>
      <w:r>
        <w:rPr>
          <w:rFonts w:hint="eastAsia" w:eastAsia="仿宋_GB2312"/>
          <w:color w:val="auto"/>
          <w:sz w:val="32"/>
          <w:szCs w:val="32"/>
          <w:highlight w:val="none"/>
          <w:lang w:eastAsia="zh-CN"/>
        </w:rPr>
        <w:t>、</w:t>
      </w:r>
      <w:r>
        <w:rPr>
          <w:rFonts w:hint="eastAsia" w:eastAsia="仿宋_GB2312"/>
          <w:color w:val="auto"/>
          <w:sz w:val="32"/>
          <w:szCs w:val="32"/>
          <w:highlight w:val="none"/>
        </w:rPr>
        <w:t>驻村干部关心关爱慰问经费</w:t>
      </w:r>
      <w:r>
        <w:rPr>
          <w:rFonts w:hint="eastAsia" w:eastAsia="仿宋_GB2312"/>
          <w:color w:val="auto"/>
          <w:sz w:val="32"/>
          <w:szCs w:val="32"/>
          <w:highlight w:val="none"/>
          <w:lang w:eastAsia="zh-CN"/>
        </w:rPr>
        <w:t>。</w:t>
      </w:r>
    </w:p>
    <w:p>
      <w:pPr>
        <w:spacing w:line="560" w:lineRule="exact"/>
        <w:ind w:firstLine="640" w:firstLineChars="200"/>
        <w:rPr>
          <w:color w:val="auto"/>
        </w:rPr>
      </w:pPr>
      <w:r>
        <w:rPr>
          <w:rFonts w:hint="eastAsia" w:ascii="仿宋_GB2312"/>
          <w:color w:val="auto"/>
          <w:sz w:val="32"/>
          <w:szCs w:val="32"/>
        </w:rPr>
        <w:t>实施情况：</w:t>
      </w:r>
      <w:r>
        <w:rPr>
          <w:rFonts w:eastAsia="仿宋_GB2312"/>
          <w:color w:val="auto"/>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w:t>
      </w:r>
      <w:r>
        <w:rPr>
          <w:rFonts w:hint="eastAsia" w:cs="Times New Roman"/>
          <w:b w:val="0"/>
          <w:bCs w:val="0"/>
          <w:color w:val="auto"/>
          <w:sz w:val="32"/>
          <w:szCs w:val="32"/>
          <w:lang w:val="en-US" w:eastAsia="zh-CN"/>
        </w:rPr>
        <w:t xml:space="preserve">  </w:t>
      </w:r>
      <w:r>
        <w:rPr>
          <w:rFonts w:hint="eastAsia" w:ascii="Times New Roman" w:hAnsi="Times New Roman" w:cs="Times New Roman"/>
          <w:b w:val="0"/>
          <w:bCs w:val="0"/>
          <w:color w:val="auto"/>
          <w:sz w:val="32"/>
          <w:szCs w:val="32"/>
          <w:lang w:eastAsia="zh-CN"/>
        </w:rPr>
        <w:t>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655.50</w:t>
      </w:r>
      <w:r>
        <w:rPr>
          <w:rFonts w:hint="eastAsia"/>
          <w:color w:val="auto"/>
          <w:sz w:val="32"/>
          <w:szCs w:val="32"/>
        </w:rPr>
        <w:t>万元，全年预算数</w:t>
      </w:r>
      <w:r>
        <w:rPr>
          <w:rFonts w:hint="eastAsia"/>
          <w:color w:val="auto"/>
          <w:sz w:val="32"/>
          <w:szCs w:val="32"/>
          <w:lang w:val="en-US" w:eastAsia="zh-CN"/>
        </w:rPr>
        <w:t>704.42</w:t>
      </w:r>
      <w:r>
        <w:rPr>
          <w:rFonts w:hint="eastAsia"/>
          <w:color w:val="auto"/>
          <w:sz w:val="32"/>
          <w:szCs w:val="32"/>
        </w:rPr>
        <w:t>万元，实际总投入</w:t>
      </w:r>
      <w:r>
        <w:rPr>
          <w:rFonts w:hint="eastAsia"/>
          <w:color w:val="auto"/>
          <w:sz w:val="32"/>
          <w:szCs w:val="32"/>
          <w:lang w:val="en-US" w:eastAsia="zh-CN"/>
        </w:rPr>
        <w:t>385.81</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rPr>
        <w:t>资金使用情况：该项目年初预算数</w:t>
      </w:r>
      <w:r>
        <w:rPr>
          <w:rFonts w:hint="eastAsia"/>
          <w:color w:val="auto"/>
          <w:sz w:val="32"/>
          <w:szCs w:val="32"/>
          <w:lang w:val="en-US" w:eastAsia="zh-CN"/>
        </w:rPr>
        <w:t>655.50</w:t>
      </w:r>
      <w:r>
        <w:rPr>
          <w:rFonts w:hint="eastAsia"/>
          <w:color w:val="auto"/>
          <w:sz w:val="32"/>
          <w:szCs w:val="32"/>
        </w:rPr>
        <w:t>万元，全年预算数</w:t>
      </w:r>
      <w:r>
        <w:rPr>
          <w:rFonts w:hint="eastAsia"/>
          <w:color w:val="auto"/>
          <w:sz w:val="32"/>
          <w:szCs w:val="32"/>
          <w:lang w:val="en-US" w:eastAsia="zh-CN"/>
        </w:rPr>
        <w:t>704.42</w:t>
      </w:r>
      <w:r>
        <w:rPr>
          <w:rFonts w:hint="eastAsia"/>
          <w:color w:val="auto"/>
          <w:sz w:val="32"/>
          <w:szCs w:val="32"/>
        </w:rPr>
        <w:t>万元，全年执行数</w:t>
      </w:r>
      <w:r>
        <w:rPr>
          <w:rFonts w:hint="eastAsia"/>
          <w:color w:val="auto"/>
          <w:sz w:val="32"/>
          <w:szCs w:val="32"/>
          <w:lang w:val="en-US" w:eastAsia="zh-CN"/>
        </w:rPr>
        <w:t>385.81</w:t>
      </w:r>
      <w:r>
        <w:rPr>
          <w:rFonts w:hint="eastAsia"/>
          <w:color w:val="auto"/>
          <w:sz w:val="32"/>
          <w:szCs w:val="32"/>
        </w:rPr>
        <w:t>万元，预算执行率为</w:t>
      </w:r>
      <w:r>
        <w:rPr>
          <w:rFonts w:hint="eastAsia"/>
          <w:color w:val="auto"/>
          <w:sz w:val="32"/>
          <w:szCs w:val="32"/>
          <w:lang w:val="en-US" w:eastAsia="zh-CN"/>
        </w:rPr>
        <w:t>54.77</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用于：为民办实事人员人均补</w:t>
      </w:r>
      <w:r>
        <w:rPr>
          <w:rFonts w:hint="eastAsia"/>
          <w:color w:val="auto"/>
          <w:sz w:val="32"/>
          <w:szCs w:val="32"/>
          <w:highlight w:val="none"/>
        </w:rPr>
        <w:t>贴</w:t>
      </w:r>
      <w:r>
        <w:rPr>
          <w:rFonts w:hint="eastAsia"/>
          <w:color w:val="auto"/>
          <w:sz w:val="32"/>
          <w:szCs w:val="32"/>
          <w:highlight w:val="none"/>
          <w:lang w:val="en-US" w:eastAsia="zh-CN"/>
        </w:rPr>
        <w:t>273.09</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为民办实事工作经费</w:t>
      </w:r>
      <w:r>
        <w:rPr>
          <w:rFonts w:hint="eastAsia"/>
          <w:color w:val="auto"/>
          <w:sz w:val="32"/>
          <w:szCs w:val="32"/>
          <w:highlight w:val="none"/>
          <w:lang w:val="en-US" w:eastAsia="zh-CN"/>
        </w:rPr>
        <w:t>112.72万元。</w:t>
      </w:r>
      <w:bookmarkStart w:id="2" w:name="_Toc68703829"/>
    </w:p>
    <w:p>
      <w:pPr>
        <w:spacing w:line="560" w:lineRule="exact"/>
        <w:ind w:firstLine="643" w:firstLineChars="200"/>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color w:val="auto"/>
          <w:sz w:val="32"/>
          <w:szCs w:val="32"/>
          <w:lang w:eastAsia="zh-CN"/>
        </w:rPr>
        <w:t>　</w:t>
      </w:r>
      <w:r>
        <w:rPr>
          <w:rFonts w:hint="eastAsia"/>
          <w:b w:val="0"/>
          <w:bCs w:val="0"/>
          <w:color w:val="auto"/>
          <w:sz w:val="32"/>
          <w:szCs w:val="32"/>
          <w:lang w:eastAsia="zh-CN"/>
        </w:rPr>
        <w:t>　</w:t>
      </w:r>
      <w:r>
        <w:rPr>
          <w:rFonts w:hint="eastAsia" w:ascii="Times New Roman" w:hAnsi="Times New Roman" w:eastAsia="仿宋_GB2312" w:cs="Times New Roman"/>
          <w:b w:val="0"/>
          <w:bCs w:val="0"/>
          <w:color w:val="auto"/>
          <w:sz w:val="32"/>
          <w:szCs w:val="32"/>
          <w:lang w:val="en-US" w:eastAsia="zh-CN"/>
        </w:rPr>
        <w:t>1.总体目标：</w:t>
      </w:r>
      <w:r>
        <w:rPr>
          <w:rFonts w:hint="eastAsia"/>
          <w:color w:val="auto"/>
          <w:sz w:val="32"/>
          <w:szCs w:val="32"/>
        </w:rPr>
        <w:t>认真贯彻落实自治区、伊犁州党委关心关爱驻村干部一系列部署要求，全面落实按时足额发放驻村干部个人补助的关心关爱措施，提高驻村干部生活质量，帮助解决驻村干部工作、生活和家庭中的实际困难，解除他们的后顾之忧，确保驻村干部安心安身安业，持续接力推进新时代驻村工作不断取得新成效。</w:t>
      </w:r>
    </w:p>
    <w:p>
      <w:pPr>
        <w:spacing w:line="560" w:lineRule="exact"/>
        <w:ind w:firstLine="320" w:firstLineChars="100"/>
        <w:rPr>
          <w:rFonts w:hint="eastAsia" w:ascii="Times New Roman" w:hAnsi="Times New Roman" w:eastAsia="仿宋_GB2312" w:cs="Times New Roman"/>
          <w:b w:val="0"/>
          <w:bCs w:val="0"/>
          <w:color w:val="auto"/>
          <w:sz w:val="32"/>
          <w:szCs w:val="32"/>
          <w:lang w:val="en-US" w:eastAsia="zh-CN"/>
        </w:rPr>
      </w:pPr>
      <w:r>
        <w:rPr>
          <w:rFonts w:hint="eastAsia"/>
          <w:b w:val="0"/>
          <w:bCs w:val="0"/>
          <w:color w:val="auto"/>
          <w:sz w:val="32"/>
          <w:szCs w:val="32"/>
          <w:lang w:eastAsia="zh-CN"/>
        </w:rPr>
        <w:t>　</w:t>
      </w:r>
      <w:r>
        <w:rPr>
          <w:rFonts w:hint="eastAsia" w:ascii="Times New Roman" w:hAnsi="Times New Roman" w:eastAsia="仿宋_GB2312" w:cs="Times New Roman"/>
          <w:b w:val="0"/>
          <w:bCs w:val="0"/>
          <w:color w:val="auto"/>
          <w:sz w:val="32"/>
          <w:szCs w:val="32"/>
          <w:lang w:val="en-US" w:eastAsia="zh-CN"/>
        </w:rPr>
        <w:t>2.阶段性目标：</w:t>
      </w:r>
      <w:bookmarkStart w:id="3" w:name="_Toc68703830"/>
      <w:r>
        <w:rPr>
          <w:rFonts w:hint="eastAsia" w:ascii="Times New Roman" w:hAnsi="Times New Roman" w:eastAsia="仿宋_GB2312" w:cs="Times New Roman"/>
          <w:b w:val="0"/>
          <w:bCs w:val="0"/>
          <w:color w:val="auto"/>
          <w:sz w:val="32"/>
          <w:szCs w:val="32"/>
          <w:lang w:val="en-US" w:eastAsia="zh-CN"/>
        </w:rPr>
        <w:t>严格落实自治区、自治州驻村工作队工作经费及各类资金管理使用相关要求。霍尔果斯市委高度重视驻村工作，实行了驻村工作经费预算制，按照上级标准足额纳入预算管理，优先予以审核，优先予以保障，优先予以拨付，确保了“访惠聚”各项工作经费能够按时发放。截至目前，霍尔果斯市驻村工作各项经费、驻村干部个人补助已足额发放，加快了推进驻村工作四项任务落地见效，确保驻村干部安心、安身、安业。按要求完成全年各项补助及工作经费发放</w:t>
      </w:r>
      <w:r>
        <w:rPr>
          <w:rFonts w:hint="eastAsia" w:cs="Times New Roman"/>
          <w:b w:val="0"/>
          <w:bCs w:val="0"/>
          <w:color w:val="auto"/>
          <w:sz w:val="32"/>
          <w:szCs w:val="32"/>
          <w:lang w:val="en-US" w:eastAsia="zh-CN"/>
        </w:rPr>
        <w:t>。</w:t>
      </w:r>
    </w:p>
    <w:p>
      <w:pPr>
        <w:spacing w:line="560" w:lineRule="exact"/>
        <w:ind w:firstLine="640" w:firstLineChars="200"/>
        <w:rPr>
          <w:rFonts w:hint="eastAsia" w:ascii="Times New Roman" w:hAnsi="Times New Roman" w:eastAsia="黑体" w:cs="Times New Roman"/>
          <w:bCs/>
          <w:color w:val="auto"/>
          <w:sz w:val="32"/>
          <w:szCs w:val="32"/>
          <w:lang w:val="en-US" w:eastAsia="zh-CN"/>
        </w:rPr>
      </w:pPr>
      <w:r>
        <w:rPr>
          <w:rFonts w:hint="eastAsia" w:ascii="Times New Roman" w:hAnsi="Times New Roman" w:eastAsia="黑体" w:cs="Times New Roman"/>
          <w:bCs/>
          <w:color w:val="auto"/>
          <w:sz w:val="32"/>
          <w:szCs w:val="32"/>
          <w:lang w:val="en-US" w:eastAsia="zh-CN"/>
        </w:rPr>
        <w:t>二、绩效评价工作开展情况</w:t>
      </w:r>
      <w:bookmarkEnd w:id="3"/>
    </w:p>
    <w:p>
      <w:pPr>
        <w:numPr>
          <w:ilvl w:val="0"/>
          <w:numId w:val="0"/>
        </w:numPr>
        <w:spacing w:line="560" w:lineRule="exact"/>
        <w:ind w:firstLine="643" w:firstLineChars="200"/>
        <w:rPr>
          <w:rFonts w:hint="eastAsia" w:ascii="Times New Roman" w:hAnsi="Times New Roman" w:eastAsia="楷体_GB2312" w:cs="Times New Roman"/>
          <w:b/>
          <w:bCs/>
          <w:color w:val="auto"/>
          <w:sz w:val="32"/>
          <w:szCs w:val="32"/>
          <w:lang w:eastAsia="zh-CN"/>
        </w:rPr>
      </w:pPr>
      <w:bookmarkStart w:id="4" w:name="_Toc68703831"/>
      <w:r>
        <w:rPr>
          <w:rFonts w:hint="eastAsia" w:ascii="Times New Roman" w:hAnsi="Times New Roman" w:eastAsia="楷体_GB2312"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　</w:t>
      </w:r>
      <w:r>
        <w:rPr>
          <w:rFonts w:hint="eastAsia" w:cs="Times New Roman"/>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val="en-US" w:eastAsia="zh-CN"/>
        </w:rPr>
        <w:t>1.绩效评价目的</w:t>
      </w:r>
    </w:p>
    <w:p>
      <w:pPr>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0"/>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cs="Times New Roman"/>
          <w:b/>
          <w:bCs/>
          <w:color w:val="auto"/>
          <w:sz w:val="30"/>
          <w:szCs w:val="30"/>
          <w:lang w:val="en-US" w:eastAsia="zh-CN"/>
        </w:rPr>
        <w:t>　</w:t>
      </w:r>
      <w:r>
        <w:rPr>
          <w:rFonts w:hint="eastAsia" w:cs="Times New Roman"/>
          <w:b/>
          <w:bCs/>
          <w:color w:val="auto"/>
          <w:sz w:val="30"/>
          <w:szCs w:val="30"/>
          <w:lang w:val="en-US" w:eastAsia="zh-CN"/>
        </w:rPr>
        <w:t xml:space="preserve">  </w:t>
      </w:r>
      <w:r>
        <w:rPr>
          <w:rFonts w:hint="eastAsia" w:ascii="Times New Roman" w:hAnsi="Times New Roman" w:eastAsia="仿宋_GB2312" w:cs="Times New Roman"/>
          <w:b w:val="0"/>
          <w:bCs w:val="0"/>
          <w:color w:val="auto"/>
          <w:sz w:val="32"/>
          <w:szCs w:val="32"/>
          <w:lang w:val="en-US" w:eastAsia="zh-CN"/>
        </w:rPr>
        <w:t>2.绩效评价对象：</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为民办实事补贴及工作</w:t>
      </w:r>
      <w:r>
        <w:rPr>
          <w:rFonts w:hint="eastAsia" w:ascii="仿宋_GB2312" w:hAnsi="仿宋_GB2312" w:eastAsia="仿宋_GB2312" w:cs="仿宋_GB2312"/>
          <w:color w:val="auto"/>
          <w:sz w:val="32"/>
          <w:szCs w:val="32"/>
        </w:rPr>
        <w:t>项目所包含的全部项目内容。</w:t>
      </w:r>
    </w:p>
    <w:p>
      <w:pPr>
        <w:spacing w:line="560" w:lineRule="exact"/>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　</w:t>
      </w:r>
      <w:r>
        <w:rPr>
          <w:rFonts w:hint="eastAsia" w:cs="Times New Roman"/>
          <w:b w:val="0"/>
          <w:bCs w:val="0"/>
          <w:color w:val="auto"/>
          <w:sz w:val="32"/>
          <w:szCs w:val="32"/>
          <w:lang w:val="en-US" w:eastAsia="zh-CN"/>
        </w:rPr>
        <w:t xml:space="preserve">  </w:t>
      </w:r>
      <w:r>
        <w:rPr>
          <w:rFonts w:hint="eastAsia" w:ascii="Times New Roman" w:hAnsi="Times New Roman" w:eastAsia="仿宋_GB2312" w:cs="Times New Roman"/>
          <w:b w:val="0"/>
          <w:bCs w:val="0"/>
          <w:color w:val="auto"/>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为民办实事补贴及工作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color w:val="auto"/>
          <w:kern w:val="2"/>
          <w:sz w:val="32"/>
          <w:szCs w:val="32"/>
          <w:lang w:val="en-US" w:eastAsia="zh-CN" w:bidi="ar-SA"/>
        </w:rPr>
      </w:pPr>
      <w:bookmarkStart w:id="5" w:name="_Toc68703832"/>
      <w:r>
        <w:rPr>
          <w:rFonts w:hint="eastAsia" w:ascii="Times New Roman" w:hAnsi="Times New Roman" w:eastAsia="楷体_GB2312" w:cs="Times New Roman"/>
          <w:b/>
          <w:bCs/>
          <w:color w:val="auto"/>
          <w:kern w:val="2"/>
          <w:sz w:val="32"/>
          <w:szCs w:val="32"/>
          <w:lang w:val="en-US" w:eastAsia="zh-CN" w:bidi="ar-SA"/>
        </w:rPr>
        <w:t>（二）绩效评价原则、评价指标体系</w:t>
      </w:r>
      <w:r>
        <w:rPr>
          <w:rFonts w:eastAsia="楷体_GB2312"/>
          <w:b/>
          <w:bCs/>
          <w:color w:val="auto"/>
          <w:sz w:val="32"/>
          <w:szCs w:val="32"/>
        </w:rPr>
        <w:t>（详情见</w:t>
      </w:r>
      <w:r>
        <w:rPr>
          <w:rFonts w:hint="default" w:ascii="Times New Roman" w:hAnsi="Times New Roman" w:eastAsia="楷体_GB2312" w:cs="Times New Roman"/>
          <w:b/>
          <w:bCs/>
          <w:color w:val="auto"/>
          <w:sz w:val="32"/>
          <w:szCs w:val="32"/>
        </w:rPr>
        <w:t>表1</w:t>
      </w:r>
      <w:r>
        <w:rPr>
          <w:rFonts w:eastAsia="楷体_GB2312"/>
          <w:b/>
          <w:bCs/>
          <w:color w:val="auto"/>
          <w:sz w:val="32"/>
          <w:szCs w:val="32"/>
        </w:rPr>
        <w:t>）</w:t>
      </w:r>
      <w:r>
        <w:rPr>
          <w:rFonts w:hint="eastAsia" w:ascii="Times New Roman" w:hAnsi="Times New Roman" w:eastAsia="楷体_GB2312" w:cs="Times New Roman"/>
          <w:b/>
          <w:bCs/>
          <w:color w:val="auto"/>
          <w:kern w:val="2"/>
          <w:sz w:val="32"/>
          <w:szCs w:val="32"/>
          <w:lang w:val="en-US" w:eastAsia="zh-CN" w:bidi="ar-SA"/>
        </w:rPr>
        <w:t>、评价方法、评价标准</w:t>
      </w:r>
      <w:bookmarkEnd w:id="5"/>
      <w:bookmarkStart w:id="22" w:name="_GoBack"/>
      <w:bookmarkEnd w:id="22"/>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rPr>
      </w:pPr>
      <w:r>
        <w:rPr>
          <w:rFonts w:hint="eastAsia"/>
          <w:color w:val="auto"/>
          <w:sz w:val="32"/>
          <w:szCs w:val="32"/>
        </w:rPr>
        <w:t>1</w:t>
      </w:r>
      <w:r>
        <w:rPr>
          <w:rFonts w:hint="eastAsia"/>
          <w:color w:val="auto"/>
          <w:sz w:val="32"/>
          <w:szCs w:val="32"/>
          <w:lang w:val="en-US" w:eastAsia="zh-CN"/>
        </w:rPr>
        <w:t>.</w:t>
      </w:r>
      <w:r>
        <w:rPr>
          <w:rFonts w:hint="eastAsia"/>
          <w:color w:val="auto"/>
          <w:sz w:val="32"/>
          <w:szCs w:val="32"/>
        </w:rPr>
        <w:t>绩效评价原则</w:t>
      </w:r>
    </w:p>
    <w:p>
      <w:pPr>
        <w:spacing w:line="560" w:lineRule="exact"/>
        <w:ind w:firstLine="640" w:firstLineChars="200"/>
        <w:rPr>
          <w:rFonts w:eastAsia="仿宋_GB2312"/>
          <w:color w:val="auto"/>
          <w:sz w:val="32"/>
          <w:szCs w:val="32"/>
        </w:rPr>
      </w:pPr>
      <w:r>
        <w:rPr>
          <w:rFonts w:eastAsia="仿宋_GB2312"/>
          <w:color w:val="auto"/>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color w:val="auto"/>
        </w:rPr>
      </w:pPr>
      <w:r>
        <w:rPr>
          <w:rFonts w:ascii="Times New Roman" w:hAnsi="Times New Roman" w:eastAsia="仿宋_GB2312"/>
          <w:b w:val="0"/>
          <w:bCs w:val="0"/>
          <w:color w:val="auto"/>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color w:val="auto"/>
          <w:sz w:val="32"/>
          <w:szCs w:val="32"/>
        </w:rPr>
      </w:pPr>
      <w:r>
        <w:rPr>
          <w:rFonts w:hint="eastAsia"/>
          <w:color w:val="auto"/>
        </w:rPr>
        <w:t>2、</w:t>
      </w:r>
      <w:r>
        <w:rPr>
          <w:rFonts w:hint="eastAsia"/>
          <w:color w:val="auto"/>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color w:val="auto"/>
          <w:spacing w:val="17"/>
          <w:sz w:val="32"/>
          <w:szCs w:val="32"/>
        </w:rPr>
      </w:pPr>
      <w:r>
        <w:rPr>
          <w:rFonts w:eastAsia="仿宋_GB2312"/>
          <w:color w:val="auto"/>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（1）确定评价指标</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（2）确定权重</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确定各个指标相对于项目总体绩效的权重分值。在绩效评价指标体系中，项目决策权重为20分，项目过程权</w:t>
      </w:r>
      <w:r>
        <w:rPr>
          <w:rFonts w:eastAsia="仿宋_GB2312"/>
          <w:color w:val="auto"/>
          <w:spacing w:val="17"/>
          <w:w w:val="98"/>
          <w:sz w:val="32"/>
          <w:szCs w:val="32"/>
        </w:rPr>
        <w:t>重为</w:t>
      </w:r>
      <w:r>
        <w:rPr>
          <w:rFonts w:hint="eastAsia"/>
          <w:color w:val="auto"/>
          <w:spacing w:val="17"/>
          <w:w w:val="98"/>
          <w:sz w:val="32"/>
          <w:szCs w:val="32"/>
          <w:lang w:val="en-US" w:eastAsia="zh-CN"/>
        </w:rPr>
        <w:t>20</w:t>
      </w:r>
      <w:r>
        <w:rPr>
          <w:rFonts w:eastAsia="仿宋_GB2312"/>
          <w:color w:val="auto"/>
          <w:spacing w:val="17"/>
          <w:w w:val="98"/>
          <w:sz w:val="32"/>
          <w:szCs w:val="32"/>
        </w:rPr>
        <w:t>分，项目产出权重为40分，项目效益权重为20分</w:t>
      </w:r>
      <w:r>
        <w:rPr>
          <w:rFonts w:eastAsia="仿宋_GB2312"/>
          <w:color w:val="auto"/>
          <w:spacing w:val="17"/>
          <w:sz w:val="32"/>
          <w:szCs w:val="32"/>
        </w:rPr>
        <w:t>。</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（3）确定指标标准值</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auto"/>
          <w:spacing w:val="17"/>
          <w:kern w:val="2"/>
        </w:rPr>
      </w:pPr>
      <w:r>
        <w:rPr>
          <w:rFonts w:ascii="Times New Roman" w:hAnsi="Times New Roman" w:eastAsia="仿宋_GB2312"/>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color w:val="auto"/>
        </w:rPr>
      </w:pPr>
      <w:r>
        <w:rPr>
          <w:rFonts w:ascii="Times New Roman" w:hAnsi="Times New Roman" w:eastAsia="仿宋_GB2312"/>
          <w:b w:val="0"/>
          <w:bCs w:val="0"/>
          <w:color w:val="auto"/>
          <w:spacing w:val="17"/>
        </w:rPr>
        <w:t>具体评价指标体系详情见附件1</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auto"/>
          <w:spacing w:val="17"/>
          <w:sz w:val="32"/>
          <w:szCs w:val="32"/>
        </w:rPr>
      </w:pPr>
      <w:r>
        <w:rPr>
          <w:rFonts w:eastAsia="仿宋_GB2312"/>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auto"/>
          <w:sz w:val="32"/>
          <w:szCs w:val="32"/>
          <w:lang w:eastAsia="zh-CN"/>
        </w:rPr>
      </w:pPr>
      <w:r>
        <w:rPr>
          <w:rFonts w:eastAsia="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（1）比较法</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通过对绩效目标与实施效果、历史与当期情况，综合分析绩效目标实现程度。对</w:t>
      </w:r>
      <w:r>
        <w:rPr>
          <w:rFonts w:eastAsia="仿宋_GB2312"/>
          <w:color w:val="auto"/>
          <w:sz w:val="32"/>
          <w:szCs w:val="32"/>
        </w:rPr>
        <w:t>项目</w:t>
      </w:r>
      <w:r>
        <w:rPr>
          <w:rFonts w:eastAsia="仿宋_GB2312"/>
          <w:color w:val="auto"/>
          <w:spacing w:val="17"/>
          <w:sz w:val="32"/>
          <w:szCs w:val="32"/>
        </w:rPr>
        <w:t>最终验收情况与年度绩效目标对比、预算资金执行情况等相关因素进行比较。</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（2）因素分析法</w:t>
      </w:r>
    </w:p>
    <w:p>
      <w:pPr>
        <w:spacing w:line="560" w:lineRule="exact"/>
        <w:ind w:firstLine="708" w:firstLineChars="200"/>
        <w:rPr>
          <w:rFonts w:hint="eastAsia" w:eastAsia="仿宋_GB2312"/>
          <w:bCs/>
          <w:color w:val="auto"/>
          <w:sz w:val="32"/>
          <w:szCs w:val="32"/>
          <w:lang w:eastAsia="zh-CN"/>
        </w:rPr>
      </w:pPr>
      <w:r>
        <w:rPr>
          <w:rFonts w:eastAsia="仿宋_GB2312"/>
          <w:color w:val="auto"/>
          <w:spacing w:val="17"/>
          <w:sz w:val="32"/>
          <w:szCs w:val="32"/>
        </w:rPr>
        <w:t>通过综合分析影响绩效目标实现、实施效果的内外因素，评价绩效目标实现程度。通过对</w:t>
      </w:r>
      <w:r>
        <w:rPr>
          <w:rFonts w:eastAsia="仿宋_GB2312"/>
          <w:color w:val="auto"/>
          <w:sz w:val="32"/>
          <w:szCs w:val="32"/>
        </w:rPr>
        <w:t>项目</w:t>
      </w:r>
      <w:r>
        <w:rPr>
          <w:rFonts w:eastAsia="仿宋_GB2312"/>
          <w:color w:val="auto"/>
          <w:spacing w:val="17"/>
          <w:sz w:val="32"/>
          <w:szCs w:val="32"/>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rPr>
      </w:pPr>
      <w:r>
        <w:rPr>
          <w:rFonts w:hint="eastAsia"/>
          <w:color w:val="auto"/>
          <w:lang w:eastAsia="zh-CN"/>
        </w:rPr>
        <w:t>　　</w:t>
      </w:r>
      <w:r>
        <w:rPr>
          <w:rFonts w:hint="eastAsia"/>
          <w:color w:val="auto"/>
          <w:sz w:val="32"/>
          <w:szCs w:val="32"/>
        </w:rPr>
        <w:t>4</w:t>
      </w:r>
      <w:r>
        <w:rPr>
          <w:rFonts w:hint="eastAsia"/>
          <w:color w:val="auto"/>
          <w:sz w:val="32"/>
          <w:szCs w:val="32"/>
          <w:lang w:val="en-US" w:eastAsia="zh-CN"/>
        </w:rPr>
        <w:t>.</w:t>
      </w:r>
      <w:r>
        <w:rPr>
          <w:rFonts w:hint="eastAsia"/>
          <w:color w:val="auto"/>
          <w:sz w:val="32"/>
          <w:szCs w:val="32"/>
        </w:rPr>
        <w:t>评价标准</w:t>
      </w:r>
    </w:p>
    <w:p>
      <w:pPr>
        <w:spacing w:line="560" w:lineRule="exact"/>
        <w:ind w:firstLine="640"/>
        <w:rPr>
          <w:rFonts w:hint="eastAsia"/>
          <w:bCs/>
          <w:color w:val="auto"/>
          <w:sz w:val="32"/>
          <w:szCs w:val="32"/>
        </w:rPr>
      </w:pPr>
      <w:r>
        <w:rPr>
          <w:rFonts w:hint="eastAsia"/>
          <w:bCs/>
          <w:color w:val="auto"/>
          <w:sz w:val="32"/>
          <w:szCs w:val="32"/>
        </w:rPr>
        <w:t>绩效评价标准通常包括计划标准、行业标准、历史标准等，用于对绩效指标完成情况进行比较、分析、评价。本次评价主要采用了</w:t>
      </w:r>
      <w:r>
        <w:rPr>
          <w:rFonts w:hint="eastAsia"/>
          <w:bCs/>
          <w:color w:val="auto"/>
          <w:sz w:val="32"/>
          <w:szCs w:val="32"/>
          <w:lang w:val="en-US" w:eastAsia="zh-CN"/>
        </w:rPr>
        <w:t>计划</w:t>
      </w:r>
      <w:r>
        <w:rPr>
          <w:rFonts w:hint="eastAsia"/>
          <w:bCs/>
          <w:color w:val="auto"/>
          <w:sz w:val="32"/>
          <w:szCs w:val="32"/>
        </w:rPr>
        <w:t>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color w:val="auto"/>
          <w:kern w:val="2"/>
          <w:sz w:val="32"/>
          <w:szCs w:val="32"/>
          <w:lang w:val="en-US" w:eastAsia="zh-CN" w:bidi="ar-SA"/>
        </w:rPr>
      </w:pPr>
      <w:bookmarkStart w:id="6" w:name="_Toc68703833"/>
      <w:r>
        <w:rPr>
          <w:rFonts w:hint="eastAsia" w:ascii="Times New Roman" w:hAnsi="Times New Roman" w:eastAsia="楷体_GB2312" w:cs="Times New Roman"/>
          <w:b/>
          <w:bCs/>
          <w:color w:val="auto"/>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rPr>
      </w:pPr>
      <w:r>
        <w:rPr>
          <w:rFonts w:hint="eastAsia"/>
          <w:color w:val="auto"/>
          <w:sz w:val="32"/>
          <w:szCs w:val="32"/>
        </w:rPr>
        <w:t>1</w:t>
      </w:r>
      <w:r>
        <w:rPr>
          <w:rFonts w:hint="eastAsia"/>
          <w:color w:val="auto"/>
          <w:sz w:val="32"/>
          <w:szCs w:val="32"/>
          <w:lang w:val="en-US" w:eastAsia="zh-CN"/>
        </w:rPr>
        <w:t>.</w:t>
      </w:r>
      <w:r>
        <w:rPr>
          <w:rFonts w:hint="eastAsia"/>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rPr>
      </w:pPr>
      <w:r>
        <w:rPr>
          <w:rFonts w:hint="eastAsia" w:eastAsia="仿宋_GB2312"/>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rPr>
      </w:pPr>
      <w:r>
        <w:rPr>
          <w:rFonts w:hint="eastAsia"/>
          <w:color w:val="auto"/>
          <w:sz w:val="32"/>
          <w:szCs w:val="32"/>
        </w:rPr>
        <w:t>2</w:t>
      </w:r>
      <w:r>
        <w:rPr>
          <w:rFonts w:hint="eastAsia"/>
          <w:color w:val="auto"/>
          <w:sz w:val="32"/>
          <w:szCs w:val="32"/>
          <w:lang w:val="en-US" w:eastAsia="zh-CN"/>
        </w:rPr>
        <w:t>.</w:t>
      </w:r>
      <w:r>
        <w:rPr>
          <w:rFonts w:hint="eastAsia"/>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rPr>
      </w:pPr>
      <w:r>
        <w:rPr>
          <w:rFonts w:hint="eastAsia" w:eastAsia="仿宋_GB2312"/>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rPr>
      </w:pPr>
      <w:r>
        <w:rPr>
          <w:rFonts w:hint="eastAsia"/>
          <w:color w:val="auto"/>
          <w:sz w:val="32"/>
          <w:szCs w:val="32"/>
        </w:rPr>
        <w:t>3</w:t>
      </w:r>
      <w:r>
        <w:rPr>
          <w:rFonts w:hint="eastAsia"/>
          <w:color w:val="auto"/>
          <w:sz w:val="32"/>
          <w:szCs w:val="32"/>
          <w:lang w:val="en-US" w:eastAsia="zh-CN"/>
        </w:rPr>
        <w:t>.</w:t>
      </w:r>
      <w:r>
        <w:rPr>
          <w:rFonts w:hint="eastAsia"/>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rPr>
      </w:pPr>
      <w:bookmarkStart w:id="7" w:name="_Toc68703834"/>
      <w:r>
        <w:rPr>
          <w:rFonts w:hint="eastAsia" w:eastAsia="仿宋_GB2312"/>
          <w:bCs/>
          <w:color w:val="auto"/>
          <w:sz w:val="32"/>
          <w:szCs w:val="32"/>
        </w:rPr>
        <w:t>根据收集梳理的资料围绕项目立项、资金落实、业务管理、财务管理、项目产出、项目效益等内容，对照已确定的绩效评价</w:t>
      </w:r>
      <w:r>
        <w:rPr>
          <w:rFonts w:hint="eastAsia" w:eastAsia="仿宋_GB2312"/>
          <w:bCs/>
          <w:color w:val="auto"/>
          <w:w w:val="102"/>
          <w:sz w:val="32"/>
          <w:szCs w:val="32"/>
        </w:rPr>
        <w:t>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color w:val="auto"/>
          <w:sz w:val="32"/>
          <w:szCs w:val="32"/>
          <w:lang w:val="en-US" w:eastAsia="zh-CN"/>
        </w:rPr>
      </w:pPr>
      <w:r>
        <w:rPr>
          <w:rFonts w:hint="eastAsia" w:eastAsia="黑体" w:cs="Times New Roman"/>
          <w:bCs/>
          <w:color w:val="auto"/>
          <w:sz w:val="32"/>
          <w:szCs w:val="32"/>
          <w:lang w:val="en-US" w:eastAsia="zh-CN"/>
        </w:rPr>
        <w:t>三、</w:t>
      </w:r>
      <w:r>
        <w:rPr>
          <w:rFonts w:hint="eastAsia" w:ascii="Times New Roman" w:hAnsi="Times New Roman" w:eastAsia="黑体" w:cs="Times New Roman"/>
          <w:bCs/>
          <w:color w:val="auto"/>
          <w:sz w:val="32"/>
          <w:szCs w:val="32"/>
          <w:lang w:val="en-US" w:eastAsia="zh-CN"/>
        </w:rPr>
        <w:t>综合评价情况及评价结论</w:t>
      </w:r>
      <w:bookmarkEnd w:id="7"/>
      <w:r>
        <w:rPr>
          <w:rFonts w:eastAsia="黑体"/>
          <w:color w:val="auto"/>
          <w:sz w:val="32"/>
          <w:szCs w:val="32"/>
        </w:rPr>
        <w:t>（附相关评分表）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color w:val="auto"/>
          <w:kern w:val="2"/>
          <w:sz w:val="32"/>
          <w:szCs w:val="32"/>
          <w:lang w:val="en-US" w:eastAsia="zh-CN" w:bidi="ar-SA"/>
        </w:rPr>
      </w:pPr>
      <w:bookmarkStart w:id="8" w:name="_Toc68703835"/>
      <w:r>
        <w:rPr>
          <w:rFonts w:hint="eastAsia" w:ascii="Times New Roman" w:hAnsi="Times New Roman" w:eastAsia="楷体_GB2312" w:cs="Times New Roman"/>
          <w:b/>
          <w:bCs/>
          <w:color w:val="auto"/>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auto"/>
          <w:sz w:val="32"/>
          <w:szCs w:val="32"/>
        </w:rPr>
      </w:pPr>
      <w:r>
        <w:rPr>
          <w:rFonts w:hint="eastAsia"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ind w:firstLine="643" w:firstLineChars="200"/>
        <w:textAlignment w:val="auto"/>
        <w:outlineLvl w:val="9"/>
        <w:rPr>
          <w:rFonts w:hint="eastAsia" w:ascii="Times New Roman" w:hAnsi="Times New Roman" w:eastAsia="楷体_GB2312" w:cs="Times New Roman"/>
          <w:b/>
          <w:bCs/>
          <w:color w:val="auto"/>
          <w:kern w:val="2"/>
          <w:sz w:val="32"/>
          <w:szCs w:val="32"/>
          <w:lang w:val="en-US" w:eastAsia="zh-CN" w:bidi="ar-SA"/>
        </w:rPr>
      </w:pPr>
      <w:bookmarkStart w:id="9" w:name="_Toc68703836"/>
      <w:r>
        <w:rPr>
          <w:rFonts w:hint="eastAsia" w:ascii="Times New Roman" w:hAnsi="Times New Roman" w:eastAsia="楷体_GB2312" w:cs="Times New Roman"/>
          <w:b/>
          <w:bCs/>
          <w:color w:val="auto"/>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outlineLvl w:val="9"/>
        <w:rPr>
          <w:rFonts w:hint="eastAsia"/>
          <w:color w:val="auto"/>
        </w:rPr>
      </w:pPr>
      <w:r>
        <w:rPr>
          <w:rFonts w:hint="eastAsia" w:ascii="Times New Roman" w:hAnsi="Times New Roman" w:eastAsia="仿宋_GB2312"/>
          <w:b w:val="0"/>
          <w:bCs w:val="0"/>
          <w:color w:val="auto"/>
          <w:lang w:eastAsia="zh-CN"/>
        </w:rPr>
        <w:t>　　</w:t>
      </w:r>
      <w:r>
        <w:rPr>
          <w:rFonts w:hint="eastAsia" w:ascii="Times New Roman" w:hAnsi="Times New Roman" w:eastAsia="仿宋_GB2312"/>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 xml:space="preserve">：总得分为 </w:t>
      </w:r>
      <w:r>
        <w:rPr>
          <w:rFonts w:hint="eastAsia" w:ascii="Times New Roman" w:hAnsi="Times New Roman" w:eastAsia="仿宋_GB2312"/>
          <w:b w:val="0"/>
          <w:bCs w:val="0"/>
          <w:color w:val="auto"/>
          <w:highlight w:val="none"/>
          <w:lang w:val="en-US" w:eastAsia="zh-CN"/>
        </w:rPr>
        <w:t>98</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18.19</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90.95</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39.81</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99.53</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color w:val="auto"/>
        </w:rPr>
        <w:t>具体打分情况详见：附件1综合评分表</w:t>
      </w:r>
      <w:r>
        <w:rPr>
          <w:rFonts w:hint="eastAsia" w:ascii="Times New Roman" w:hAnsi="Times New Roman" w:eastAsia="仿宋_GB2312"/>
          <w:b w:val="0"/>
          <w:bCs w:val="0"/>
          <w:color w:val="auto"/>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8"/>
          <w:sz w:val="32"/>
          <w:szCs w:val="32"/>
          <w:lang w:val="en-US" w:eastAsia="zh-CN" w:bidi="ar-SA"/>
        </w:rPr>
      </w:pPr>
      <w:r>
        <w:rPr>
          <w:rFonts w:hint="eastAsia"/>
          <w:color w:val="auto"/>
          <w:sz w:val="30"/>
          <w:szCs w:val="30"/>
          <w:lang w:eastAsia="zh-CN"/>
        </w:rPr>
        <w:t>　　　　　　　　</w:t>
      </w:r>
      <w:r>
        <w:rPr>
          <w:rFonts w:hint="eastAsia" w:ascii="Times New Roman" w:hAnsi="Times New Roman" w:eastAsia="仿宋_GB2312" w:cs="Times New Roman"/>
          <w:b w:val="0"/>
          <w:bCs w:val="0"/>
          <w:color w:val="auto"/>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rPr>
            </w:pPr>
            <w:r>
              <w:rPr>
                <w:rFonts w:hint="eastAsia"/>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rPr>
            </w:pPr>
            <w:r>
              <w:rPr>
                <w:rFonts w:hint="eastAsia" w:eastAsia="宋体"/>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rPr>
            </w:pPr>
            <w:r>
              <w:rPr>
                <w:rFonts w:hint="eastAsia" w:eastAsia="宋体"/>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18.19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rPr>
            </w:pPr>
            <w:r>
              <w:rPr>
                <w:rFonts w:hint="eastAsia" w:eastAsia="宋体"/>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39.81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rPr>
            </w:pPr>
            <w:r>
              <w:rPr>
                <w:rFonts w:hint="eastAsia" w:eastAsia="宋体"/>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lang w:val="en-US" w:eastAsia="zh-CN"/>
              </w:rPr>
            </w:pPr>
            <w:r>
              <w:rPr>
                <w:rFonts w:hint="eastAsia"/>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lang w:val="en-US" w:eastAsia="zh-CN"/>
              </w:rPr>
            </w:pPr>
            <w:r>
              <w:rPr>
                <w:rFonts w:hint="eastAsia"/>
                <w:b/>
                <w:bCs/>
                <w:color w:val="auto"/>
                <w:sz w:val="22"/>
                <w:lang w:val="en-US" w:eastAsia="zh-CN"/>
              </w:rPr>
              <w:t>98</w:t>
            </w:r>
          </w:p>
        </w:tc>
      </w:tr>
    </w:tbl>
    <w:p>
      <w:pPr>
        <w:spacing w:line="560" w:lineRule="exact"/>
        <w:ind w:firstLine="640" w:firstLineChars="200"/>
        <w:rPr>
          <w:rFonts w:hint="eastAsia" w:ascii="Times New Roman" w:hAnsi="Times New Roman" w:eastAsia="黑体" w:cs="Times New Roman"/>
          <w:bCs/>
          <w:color w:val="auto"/>
          <w:sz w:val="32"/>
          <w:szCs w:val="32"/>
          <w:lang w:val="en-US" w:eastAsia="zh-CN"/>
        </w:rPr>
      </w:pPr>
      <w:bookmarkStart w:id="10" w:name="_Toc68703837"/>
      <w:r>
        <w:rPr>
          <w:rFonts w:hint="eastAsia" w:ascii="Times New Roman" w:hAnsi="Times New Roman" w:eastAsia="黑体" w:cs="Times New Roman"/>
          <w:bCs/>
          <w:color w:val="auto"/>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color w:val="auto"/>
          <w:kern w:val="2"/>
          <w:sz w:val="32"/>
          <w:szCs w:val="32"/>
          <w:lang w:val="en-US" w:eastAsia="zh-CN" w:bidi="ar-SA"/>
        </w:rPr>
      </w:pPr>
      <w:bookmarkStart w:id="11" w:name="_Toc68703838"/>
      <w:r>
        <w:rPr>
          <w:rFonts w:hint="eastAsia" w:ascii="Times New Roman" w:hAnsi="Times New Roman" w:eastAsia="楷体_GB2312"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color w:val="auto"/>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（1）立项依据充分性</w:t>
      </w:r>
    </w:p>
    <w:p>
      <w:pPr>
        <w:shd w:val="clear"/>
        <w:spacing w:line="600" w:lineRule="exact"/>
        <w:ind w:firstLine="640" w:firstLineChars="200"/>
        <w:outlineLvl w:val="0"/>
        <w:rPr>
          <w:color w:val="auto"/>
          <w:sz w:val="32"/>
          <w:szCs w:val="32"/>
        </w:rPr>
      </w:pPr>
      <w:r>
        <w:rPr>
          <w:rFonts w:hint="eastAsia" w:ascii="仿宋_GB2312" w:hAnsi="仿宋_GB2312" w:eastAsia="仿宋_GB2312" w:cs="仿宋_GB2312"/>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color w:val="auto"/>
          <w:sz w:val="32"/>
          <w:szCs w:val="32"/>
        </w:rPr>
      </w:pPr>
      <w:r>
        <w:rPr>
          <w:rFonts w:hint="eastAsia"/>
          <w:b w:val="0"/>
          <w:bCs w:val="0"/>
          <w:color w:val="auto"/>
          <w:sz w:val="32"/>
          <w:szCs w:val="32"/>
        </w:rPr>
        <w:t>2</w:t>
      </w:r>
      <w:r>
        <w:rPr>
          <w:rFonts w:hint="eastAsia"/>
          <w:b w:val="0"/>
          <w:bCs w:val="0"/>
          <w:color w:val="auto"/>
          <w:sz w:val="32"/>
          <w:szCs w:val="32"/>
          <w:lang w:val="en-US" w:eastAsia="zh-CN"/>
        </w:rPr>
        <w:t>.</w:t>
      </w:r>
      <w:r>
        <w:rPr>
          <w:rFonts w:hint="eastAsia"/>
          <w:b w:val="0"/>
          <w:bCs w:val="0"/>
          <w:color w:val="auto"/>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项目申请、设立过程符合相关要求，</w:t>
      </w:r>
      <w:r>
        <w:rPr>
          <w:rFonts w:hint="eastAsia" w:ascii="仿宋_GB2312" w:hAnsi="仿宋_GB2312" w:eastAsia="仿宋_GB2312" w:cs="仿宋_GB2312"/>
          <w:color w:val="auto"/>
          <w:sz w:val="32"/>
          <w:szCs w:val="32"/>
          <w:lang w:eastAsia="zh-Hans"/>
        </w:rPr>
        <w:t>严格按照审批流程准备符合要求的文件、材料；</w:t>
      </w:r>
      <w:r>
        <w:rPr>
          <w:rFonts w:hint="eastAsia" w:ascii="仿宋_GB2312" w:hAnsi="仿宋_GB2312" w:eastAsia="仿宋_GB2312" w:cs="仿宋_GB2312"/>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color w:val="auto"/>
          <w:sz w:val="32"/>
          <w:szCs w:val="32"/>
        </w:rPr>
      </w:pPr>
      <w:r>
        <w:rPr>
          <w:rFonts w:hint="eastAsia" w:ascii="仿宋_GB2312" w:hAnsi="仿宋_GB2312" w:eastAsia="仿宋_GB2312" w:cs="仿宋_GB2312"/>
          <w:b/>
          <w:bCs/>
          <w:color w:val="auto"/>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年初结合实际工作内容</w:t>
      </w:r>
      <w:r>
        <w:rPr>
          <w:rFonts w:hint="eastAsia" w:ascii="仿宋_GB2312" w:hAnsi="仿宋_GB2312" w:eastAsia="仿宋_GB2312" w:cs="仿宋_GB2312"/>
          <w:color w:val="auto"/>
          <w:sz w:val="32"/>
          <w:szCs w:val="32"/>
          <w:lang w:val="en-US" w:eastAsia="zh-CN"/>
        </w:rPr>
        <w:t>设定绩效目标</w:t>
      </w:r>
      <w:r>
        <w:rPr>
          <w:rFonts w:hint="eastAsia" w:ascii="仿宋_GB2312" w:hAnsi="仿宋_GB2312" w:eastAsia="仿宋_GB2312" w:cs="仿宋_GB2312"/>
          <w:color w:val="auto"/>
          <w:sz w:val="32"/>
          <w:szCs w:val="32"/>
          <w:lang w:val="en-US" w:eastAsia="zh-Hans"/>
        </w:rPr>
        <w:t>，绩效目标</w:t>
      </w:r>
      <w:r>
        <w:rPr>
          <w:rFonts w:hint="eastAsia" w:ascii="仿宋_GB2312" w:hAnsi="仿宋_GB2312" w:eastAsia="仿宋_GB2312" w:cs="仿宋_GB2312"/>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bookmarkStart w:id="12" w:name="_Hlk68699917"/>
      <w:r>
        <w:rPr>
          <w:rFonts w:hint="eastAsia" w:ascii="仿宋_GB2312" w:hAnsi="仿宋_GB2312" w:eastAsia="仿宋_GB2312" w:cs="仿宋_GB2312"/>
          <w:color w:val="auto"/>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color w:val="auto"/>
        </w:rPr>
      </w:pPr>
      <w:r>
        <w:rPr>
          <w:rFonts w:hint="eastAsia" w:ascii="楷体" w:hAnsi="楷体" w:eastAsia="楷体" w:cs="楷体"/>
          <w:color w:val="auto"/>
          <w:lang w:eastAsia="zh-CN"/>
        </w:rPr>
        <w:t>（二）</w:t>
      </w:r>
      <w:r>
        <w:rPr>
          <w:rFonts w:hint="eastAsia" w:ascii="楷体" w:hAnsi="楷体" w:eastAsia="楷体" w:cs="楷体"/>
          <w:color w:val="auto"/>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项目过程类指标包括资金管理和组织实施两方面的内容，由</w:t>
      </w:r>
      <w:r>
        <w:rPr>
          <w:rFonts w:hint="eastAsia" w:ascii="仿宋_GB2312" w:hAnsi="仿宋_GB2312" w:eastAsia="仿宋_GB2312" w:cs="仿宋_GB2312"/>
          <w:color w:val="auto"/>
          <w:sz w:val="32"/>
          <w:szCs w:val="32"/>
          <w:highlight w:val="none"/>
          <w:lang w:val="en-US" w:eastAsia="zh-CN"/>
        </w:rPr>
        <w:t>5个</w:t>
      </w:r>
      <w:r>
        <w:rPr>
          <w:rFonts w:hint="eastAsia" w:ascii="仿宋_GB2312" w:hAnsi="仿宋_GB2312" w:eastAsia="仿宋_GB2312" w:cs="仿宋_GB2312"/>
          <w:color w:val="auto"/>
          <w:sz w:val="32"/>
          <w:szCs w:val="32"/>
          <w:lang w:val="en-US" w:eastAsia="zh-CN"/>
        </w:rPr>
        <w:t>三级指标构成，权重分值为20分</w:t>
      </w:r>
      <w:r>
        <w:rPr>
          <w:rFonts w:hint="eastAsia" w:ascii="仿宋_GB2312" w:hAnsi="仿宋_GB2312" w:eastAsia="仿宋_GB2312" w:cs="仿宋_GB2312"/>
          <w:color w:val="auto"/>
          <w:sz w:val="32"/>
          <w:szCs w:val="32"/>
          <w:highlight w:val="none"/>
          <w:lang w:val="en-US" w:eastAsia="zh-CN"/>
        </w:rPr>
        <w:t>，实际得分</w:t>
      </w:r>
      <w:r>
        <w:rPr>
          <w:rFonts w:hint="eastAsia" w:ascii="仿宋_GB2312" w:hAnsi="仿宋_GB2312" w:cs="仿宋_GB2312"/>
          <w:color w:val="auto"/>
          <w:sz w:val="32"/>
          <w:szCs w:val="32"/>
          <w:highlight w:val="none"/>
          <w:lang w:val="en-US" w:eastAsia="zh-CN"/>
        </w:rPr>
        <w:t>18.19</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90.95</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highlight w:val="none"/>
          <w:lang w:val="en-US" w:eastAsia="zh-CN"/>
        </w:rPr>
        <w:t>项目总投资</w:t>
      </w:r>
      <w:r>
        <w:rPr>
          <w:rFonts w:hint="eastAsia" w:ascii="仿宋_GB2312" w:hAnsi="仿宋_GB2312" w:cs="仿宋_GB2312"/>
          <w:color w:val="auto"/>
          <w:sz w:val="32"/>
          <w:szCs w:val="32"/>
          <w:highlight w:val="none"/>
          <w:lang w:val="en-US" w:eastAsia="zh-CN"/>
        </w:rPr>
        <w:t>704.42</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385.81</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54.77</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（2）制度执行有效性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color w:val="auto"/>
          <w:kern w:val="2"/>
          <w:sz w:val="32"/>
          <w:szCs w:val="32"/>
          <w:lang w:val="en-US" w:eastAsia="zh-CN" w:bidi="ar-SA"/>
        </w:rPr>
      </w:pPr>
      <w:bookmarkStart w:id="13" w:name="_Toc68703840"/>
      <w:r>
        <w:rPr>
          <w:rFonts w:hint="eastAsia" w:ascii="Times New Roman" w:hAnsi="Times New Roman" w:eastAsia="楷体_GB2312" w:cs="Times New Roman"/>
          <w:b/>
          <w:bCs/>
          <w:color w:val="auto"/>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项目产出类指标包括产出数量、产出质量、产出时效、产出成本四方面的内容</w:t>
      </w:r>
      <w:r>
        <w:rPr>
          <w:rFonts w:hint="eastAsia" w:ascii="仿宋_GB2312" w:hAnsi="仿宋_GB2312" w:eastAsia="仿宋_GB2312" w:cs="仿宋_GB2312"/>
          <w:color w:val="auto"/>
          <w:sz w:val="32"/>
          <w:szCs w:val="32"/>
          <w:highlight w:val="none"/>
          <w:lang w:val="en-US" w:eastAsia="zh-CN"/>
        </w:rPr>
        <w:t>，由</w:t>
      </w:r>
      <w:r>
        <w:rPr>
          <w:rFonts w:hint="eastAsia" w:ascii="仿宋_GB2312" w:hAnsi="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39.81</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99.53</w:t>
      </w:r>
      <w:r>
        <w:rPr>
          <w:rFonts w:hint="eastAsia" w:ascii="仿宋_GB2312" w:hAnsi="仿宋_GB2312" w:eastAsia="仿宋_GB2312" w:cs="仿宋_GB2312"/>
          <w:color w:val="auto"/>
          <w:sz w:val="32"/>
          <w:szCs w:val="32"/>
          <w:highlight w:val="none"/>
          <w:lang w:val="en-US" w:eastAsia="zh-CN"/>
        </w:rPr>
        <w:t>%。具体产</w:t>
      </w:r>
      <w:r>
        <w:rPr>
          <w:rFonts w:hint="eastAsia" w:ascii="仿宋_GB2312" w:hAnsi="仿宋_GB2312" w:eastAsia="仿宋_GB2312" w:cs="仿宋_GB2312"/>
          <w:color w:val="auto"/>
          <w:sz w:val="32"/>
          <w:szCs w:val="32"/>
          <w:lang w:val="en-US" w:eastAsia="zh-CN"/>
        </w:rPr>
        <w:t>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为民办实事工作队数量</w:t>
      </w:r>
      <w:r>
        <w:rPr>
          <w:rFonts w:hint="eastAsia"/>
          <w:color w:val="auto"/>
          <w:sz w:val="32"/>
          <w:szCs w:val="32"/>
        </w:rPr>
        <w:t>，指标值：</w:t>
      </w:r>
      <w:r>
        <w:rPr>
          <w:rFonts w:hint="eastAsia"/>
          <w:color w:val="auto"/>
          <w:sz w:val="32"/>
          <w:szCs w:val="32"/>
          <w:lang w:eastAsia="zh-CN"/>
        </w:rPr>
        <w:t>&gt;=17个</w:t>
      </w:r>
      <w:r>
        <w:rPr>
          <w:rFonts w:hint="eastAsia"/>
          <w:color w:val="auto"/>
          <w:sz w:val="32"/>
          <w:szCs w:val="32"/>
        </w:rPr>
        <w:t>，实际完成值</w:t>
      </w:r>
      <w:r>
        <w:rPr>
          <w:rFonts w:hint="eastAsia"/>
          <w:color w:val="auto"/>
          <w:sz w:val="32"/>
          <w:szCs w:val="32"/>
          <w:lang w:eastAsia="zh-CN"/>
        </w:rPr>
        <w:t>：17个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指标2：</w:t>
      </w:r>
      <w:r>
        <w:rPr>
          <w:rFonts w:hint="eastAsia"/>
          <w:color w:val="auto"/>
          <w:sz w:val="32"/>
          <w:szCs w:val="32"/>
          <w:lang w:eastAsia="zh-CN"/>
        </w:rPr>
        <w:t>为民办实事干部发放补贴次数</w:t>
      </w:r>
      <w:r>
        <w:rPr>
          <w:rFonts w:hint="eastAsia"/>
          <w:color w:val="auto"/>
          <w:sz w:val="32"/>
          <w:szCs w:val="32"/>
        </w:rPr>
        <w:t>，指标值：</w:t>
      </w:r>
      <w:r>
        <w:rPr>
          <w:rFonts w:hint="eastAsia"/>
          <w:color w:val="auto"/>
          <w:sz w:val="32"/>
          <w:szCs w:val="32"/>
          <w:lang w:eastAsia="zh-CN"/>
        </w:rPr>
        <w:t>&gt;=12次</w:t>
      </w:r>
      <w:r>
        <w:rPr>
          <w:rFonts w:hint="eastAsia"/>
          <w:color w:val="auto"/>
          <w:sz w:val="32"/>
          <w:szCs w:val="32"/>
        </w:rPr>
        <w:t>，实际完成值</w:t>
      </w:r>
      <w:r>
        <w:rPr>
          <w:rFonts w:hint="eastAsia"/>
          <w:color w:val="auto"/>
          <w:sz w:val="32"/>
          <w:szCs w:val="32"/>
          <w:lang w:eastAsia="zh-CN"/>
        </w:rPr>
        <w:t>：12次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default" w:eastAsia="仿宋_GB2312"/>
          <w:color w:val="auto"/>
          <w:sz w:val="32"/>
          <w:szCs w:val="32"/>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为民办实事干部人数</w:t>
      </w:r>
      <w:r>
        <w:rPr>
          <w:rFonts w:hint="eastAsia" w:ascii="仿宋_GB2312" w:hAnsi="仿宋_GB2312" w:cs="仿宋_GB2312"/>
          <w:color w:val="auto"/>
          <w:sz w:val="32"/>
          <w:szCs w:val="32"/>
          <w:highlight w:val="none"/>
          <w:lang w:val="en-US" w:eastAsia="zh-CN"/>
        </w:rPr>
        <w:t>，</w:t>
      </w:r>
      <w:r>
        <w:rPr>
          <w:rFonts w:hint="eastAsia"/>
          <w:color w:val="auto"/>
          <w:sz w:val="32"/>
          <w:szCs w:val="32"/>
        </w:rPr>
        <w:t>指标值：&gt;=90人，实际完成值</w:t>
      </w:r>
      <w:r>
        <w:rPr>
          <w:rFonts w:hint="eastAsia"/>
          <w:color w:val="auto"/>
          <w:sz w:val="32"/>
          <w:szCs w:val="32"/>
          <w:lang w:eastAsia="zh-CN"/>
        </w:rPr>
        <w:t>：85人，</w:t>
      </w:r>
      <w:r>
        <w:rPr>
          <w:rFonts w:hint="eastAsia"/>
          <w:color w:val="auto"/>
          <w:sz w:val="32"/>
          <w:szCs w:val="32"/>
        </w:rPr>
        <w:t>指标完成率</w:t>
      </w:r>
      <w:r>
        <w:rPr>
          <w:rFonts w:hint="eastAsia"/>
          <w:color w:val="auto"/>
          <w:sz w:val="32"/>
          <w:szCs w:val="32"/>
          <w:lang w:val="en-US" w:eastAsia="zh-CN"/>
        </w:rPr>
        <w:t>94.44</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根据实际工作安排，人员进行了调整。</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color w:val="auto"/>
          <w:sz w:val="32"/>
          <w:szCs w:val="32"/>
        </w:rPr>
        <w:t>指标1：</w:t>
      </w:r>
      <w:r>
        <w:rPr>
          <w:rFonts w:hint="eastAsia"/>
          <w:color w:val="auto"/>
          <w:sz w:val="32"/>
          <w:szCs w:val="32"/>
          <w:lang w:eastAsia="zh-CN"/>
        </w:rPr>
        <w:t>为民办实事补贴发放准确率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color w:val="auto"/>
          <w:sz w:val="32"/>
          <w:szCs w:val="32"/>
        </w:rPr>
        <w:t>指标1：</w:t>
      </w:r>
      <w:r>
        <w:rPr>
          <w:rFonts w:hint="eastAsia" w:ascii="仿宋_GB2312" w:hAnsi="仿宋_GB2312" w:eastAsia="仿宋_GB2312" w:cs="仿宋_GB2312"/>
          <w:color w:val="auto"/>
          <w:sz w:val="32"/>
          <w:szCs w:val="32"/>
          <w:highlight w:val="none"/>
        </w:rPr>
        <w:t>为民办实事补贴发放及时率</w:t>
      </w:r>
      <w:r>
        <w:rPr>
          <w:rFonts w:hint="eastAsia" w:ascii="仿宋_GB2312" w:hAnsi="仿宋_GB2312" w:cs="仿宋_GB2312"/>
          <w:color w:val="auto"/>
          <w:sz w:val="32"/>
          <w:szCs w:val="32"/>
          <w:highlight w:val="none"/>
          <w:lang w:eastAsia="zh-CN"/>
        </w:rPr>
        <w:t>，</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4" w:name="_Toc68703841"/>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4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成本指标：</w:t>
      </w:r>
    </w:p>
    <w:p>
      <w:pPr>
        <w:shd w:val="clear"/>
        <w:spacing w:line="600" w:lineRule="exact"/>
        <w:ind w:firstLine="640" w:firstLineChars="200"/>
        <w:outlineLvl w:val="0"/>
        <w:rPr>
          <w:rFonts w:hint="default" w:eastAsia="仿宋_GB2312"/>
          <w:color w:val="auto"/>
          <w:sz w:val="32"/>
          <w:szCs w:val="32"/>
          <w:lang w:val="en-US" w:eastAsia="zh-CN"/>
        </w:rPr>
      </w:pPr>
      <w:r>
        <w:rPr>
          <w:rFonts w:hint="eastAsia"/>
          <w:color w:val="auto"/>
          <w:sz w:val="32"/>
          <w:szCs w:val="32"/>
        </w:rPr>
        <w:t>指标1：</w:t>
      </w:r>
      <w:r>
        <w:rPr>
          <w:rFonts w:hint="eastAsia" w:ascii="仿宋_GB2312" w:hAnsi="仿宋_GB2312" w:eastAsia="仿宋_GB2312" w:cs="仿宋_GB2312"/>
          <w:color w:val="auto"/>
          <w:sz w:val="32"/>
          <w:szCs w:val="32"/>
          <w:highlight w:val="none"/>
        </w:rPr>
        <w:t>为民办实事人员人均补贴</w:t>
      </w:r>
      <w:r>
        <w:rPr>
          <w:rFonts w:hint="eastAsia" w:ascii="仿宋_GB2312" w:hAnsi="仿宋_GB2312" w:cs="仿宋_GB2312"/>
          <w:color w:val="auto"/>
          <w:sz w:val="32"/>
          <w:szCs w:val="32"/>
          <w:highlight w:val="none"/>
          <w:lang w:eastAsia="zh-CN"/>
        </w:rPr>
        <w:t>，</w:t>
      </w:r>
      <w:r>
        <w:rPr>
          <w:rFonts w:hint="eastAsia"/>
          <w:color w:val="auto"/>
          <w:sz w:val="32"/>
          <w:szCs w:val="32"/>
        </w:rPr>
        <w:t>指标值：</w:t>
      </w:r>
      <w:r>
        <w:rPr>
          <w:rFonts w:hint="eastAsia"/>
          <w:color w:val="auto"/>
          <w:sz w:val="32"/>
          <w:szCs w:val="32"/>
          <w:lang w:eastAsia="zh-CN"/>
        </w:rPr>
        <w:t>&lt;=3.64万元/年.人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3.21万元/年.人</w:t>
      </w:r>
      <w:r>
        <w:rPr>
          <w:rFonts w:hint="eastAsia"/>
          <w:color w:val="auto"/>
          <w:sz w:val="32"/>
          <w:szCs w:val="32"/>
        </w:rPr>
        <w:t>，指标完成率</w:t>
      </w:r>
      <w:r>
        <w:rPr>
          <w:rFonts w:hint="eastAsia"/>
          <w:color w:val="auto"/>
          <w:sz w:val="32"/>
          <w:szCs w:val="32"/>
          <w:lang w:val="en-US" w:eastAsia="zh-CN"/>
        </w:rPr>
        <w:t>88.19</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根据实际工作安排，人员进行了调整，导致人均补贴减少。</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eastAsia="仿宋_GB2312"/>
          <w:color w:val="auto"/>
          <w:sz w:val="32"/>
          <w:szCs w:val="32"/>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ascii="仿宋_GB2312" w:hAnsi="仿宋_GB2312" w:eastAsia="仿宋_GB2312" w:cs="仿宋_GB2312"/>
          <w:color w:val="auto"/>
          <w:sz w:val="32"/>
          <w:szCs w:val="32"/>
          <w:highlight w:val="none"/>
        </w:rPr>
        <w:t>为民办实事工作经费</w:t>
      </w:r>
      <w:r>
        <w:rPr>
          <w:rFonts w:hint="eastAsia" w:ascii="仿宋_GB2312" w:hAnsi="仿宋_GB2312" w:cs="仿宋_GB2312"/>
          <w:color w:val="auto"/>
          <w:sz w:val="32"/>
          <w:szCs w:val="32"/>
          <w:highlight w:val="none"/>
          <w:lang w:eastAsia="zh-CN"/>
        </w:rPr>
        <w:t>，</w:t>
      </w:r>
      <w:r>
        <w:rPr>
          <w:rFonts w:hint="eastAsia"/>
          <w:color w:val="auto"/>
          <w:sz w:val="32"/>
          <w:szCs w:val="32"/>
        </w:rPr>
        <w:t>指标值：</w:t>
      </w:r>
      <w:r>
        <w:rPr>
          <w:rFonts w:hint="eastAsia"/>
          <w:color w:val="auto"/>
          <w:sz w:val="32"/>
          <w:szCs w:val="32"/>
          <w:lang w:eastAsia="zh-CN"/>
        </w:rPr>
        <w:t>&lt;=377.18万元</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112.72万元</w:t>
      </w:r>
      <w:r>
        <w:rPr>
          <w:rFonts w:hint="eastAsia"/>
          <w:color w:val="auto"/>
          <w:sz w:val="32"/>
          <w:szCs w:val="32"/>
        </w:rPr>
        <w:t>，指标完成率</w:t>
      </w:r>
      <w:r>
        <w:rPr>
          <w:rFonts w:hint="eastAsia"/>
          <w:color w:val="auto"/>
          <w:sz w:val="32"/>
          <w:szCs w:val="32"/>
          <w:lang w:val="en-US" w:eastAsia="zh-CN"/>
        </w:rPr>
        <w:t>29.88</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根据</w:t>
      </w:r>
      <w:r>
        <w:rPr>
          <w:rFonts w:hint="eastAsia"/>
          <w:color w:val="auto"/>
          <w:spacing w:val="-6"/>
          <w:sz w:val="32"/>
          <w:szCs w:val="32"/>
          <w:lang w:val="en-US" w:eastAsia="zh-CN"/>
        </w:rPr>
        <w:t>实际工作安排，人员进行了调整，人员减少导致工作经费相对减少。</w:t>
      </w:r>
    </w:p>
    <w:p>
      <w:pPr>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textAlignment w:val="auto"/>
        <w:outlineLvl w:val="9"/>
        <w:rPr>
          <w:rFonts w:hint="eastAsia" w:ascii="Times New Roman" w:hAnsi="Times New Roman" w:eastAsia="楷体_GB2312" w:cs="Times New Roman"/>
          <w:b/>
          <w:bCs/>
          <w:color w:val="auto"/>
          <w:kern w:val="2"/>
          <w:sz w:val="32"/>
          <w:szCs w:val="32"/>
          <w:lang w:val="en-US" w:eastAsia="zh-CN" w:bidi="ar-SA"/>
        </w:rPr>
      </w:pPr>
      <w:r>
        <w:rPr>
          <w:rFonts w:hint="eastAsia" w:ascii="Times New Roman" w:hAnsi="Times New Roman" w:eastAsia="楷体_GB2312" w:cs="Times New Roman"/>
          <w:b/>
          <w:bCs/>
          <w:color w:val="auto"/>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color w:val="auto"/>
          <w:lang w:val="en-US" w:eastAsia="zh-CN"/>
        </w:rPr>
      </w:pPr>
      <w:r>
        <w:rPr>
          <w:rFonts w:hint="eastAsia" w:ascii="仿宋_GB2312" w:hAnsi="仿宋_GB2312" w:eastAsia="仿宋_GB2312" w:cs="仿宋_GB2312"/>
          <w:color w:val="auto"/>
          <w:sz w:val="32"/>
          <w:szCs w:val="32"/>
          <w:lang w:val="en-US" w:eastAsia="zh-CN"/>
        </w:rPr>
        <w:t>项目效益类指标包括项目实施效益和满意度两方面的内容，</w:t>
      </w:r>
      <w:r>
        <w:rPr>
          <w:rFonts w:hint="eastAsia" w:ascii="仿宋_GB2312" w:hAnsi="仿宋_GB2312" w:eastAsia="仿宋_GB2312" w:cs="仿宋_GB2312"/>
          <w:color w:val="auto"/>
          <w:sz w:val="32"/>
          <w:szCs w:val="32"/>
          <w:highlight w:val="none"/>
          <w:lang w:val="en-US" w:eastAsia="zh-CN"/>
        </w:rPr>
        <w:t>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w:t>
      </w:r>
      <w:r>
        <w:rPr>
          <w:rFonts w:hint="eastAsia" w:ascii="仿宋_GB2312" w:hAnsi="仿宋_GB2312" w:eastAsia="仿宋_GB2312" w:cs="仿宋_GB2312"/>
          <w:color w:val="auto"/>
          <w:sz w:val="32"/>
          <w:szCs w:val="32"/>
          <w:lang w:val="en-US" w:eastAsia="zh-CN"/>
        </w:rPr>
        <w:t>满意度指标完成情况如下：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社会效益指标：提升为民办实事干部工作积极性</w:t>
      </w:r>
      <w:r>
        <w:rPr>
          <w:rFonts w:hint="eastAsia" w:ascii="仿宋_GB2312" w:hAnsi="仿宋_GB2312" w:cs="仿宋_GB2312"/>
          <w:color w:val="auto"/>
          <w:sz w:val="32"/>
          <w:szCs w:val="32"/>
          <w:highlight w:val="none"/>
          <w:lang w:eastAsia="zh-CN"/>
        </w:rPr>
        <w:t>，</w:t>
      </w:r>
      <w:r>
        <w:rPr>
          <w:rFonts w:hint="eastAsia"/>
          <w:color w:val="auto"/>
          <w:sz w:val="32"/>
          <w:szCs w:val="32"/>
        </w:rPr>
        <w:t>指标值：</w:t>
      </w:r>
      <w:r>
        <w:rPr>
          <w:rFonts w:hint="eastAsia"/>
          <w:color w:val="auto"/>
          <w:sz w:val="32"/>
          <w:szCs w:val="32"/>
          <w:lang w:eastAsia="zh-CN"/>
        </w:rPr>
        <w:t>显著提升</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显著提升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满意度指标：干部满意度</w:t>
      </w:r>
      <w:r>
        <w:rPr>
          <w:rFonts w:hint="eastAsia" w:ascii="仿宋_GB2312" w:hAnsi="仿宋_GB2312" w:cs="仿宋_GB2312"/>
          <w:color w:val="auto"/>
          <w:sz w:val="32"/>
          <w:szCs w:val="32"/>
          <w:highlight w:val="none"/>
          <w:lang w:eastAsia="zh-CN"/>
        </w:rPr>
        <w:t>，</w:t>
      </w:r>
      <w:r>
        <w:rPr>
          <w:rFonts w:hint="eastAsia"/>
          <w:color w:val="auto"/>
          <w:sz w:val="32"/>
          <w:szCs w:val="32"/>
        </w:rPr>
        <w:t>指标值：</w:t>
      </w:r>
      <w:r>
        <w:rPr>
          <w:rFonts w:hint="eastAsia"/>
          <w:color w:val="auto"/>
          <w:sz w:val="32"/>
          <w:szCs w:val="32"/>
          <w:lang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96.53%</w:t>
      </w:r>
      <w:r>
        <w:rPr>
          <w:rFonts w:hint="eastAsia"/>
          <w:color w:val="auto"/>
          <w:sz w:val="32"/>
          <w:szCs w:val="32"/>
        </w:rPr>
        <w:t>，指标完成率</w:t>
      </w:r>
      <w:r>
        <w:rPr>
          <w:rFonts w:hint="eastAsia"/>
          <w:color w:val="auto"/>
          <w:sz w:val="32"/>
          <w:szCs w:val="32"/>
          <w:lang w:val="en-US" w:eastAsia="zh-CN"/>
        </w:rPr>
        <w:t>101.61</w:t>
      </w:r>
      <w:r>
        <w:rPr>
          <w:rFonts w:hint="eastAsia"/>
          <w:color w:val="auto"/>
          <w:sz w:val="32"/>
          <w:szCs w:val="32"/>
        </w:rPr>
        <w:t>%</w:t>
      </w:r>
      <w:r>
        <w:rPr>
          <w:rFonts w:hint="eastAsia"/>
          <w:color w:val="auto"/>
          <w:sz w:val="32"/>
          <w:szCs w:val="32"/>
          <w:lang w:eastAsia="zh-CN"/>
        </w:rPr>
        <w:t>；</w:t>
      </w:r>
    </w:p>
    <w:p>
      <w:pPr>
        <w:spacing w:line="560" w:lineRule="exact"/>
        <w:ind w:firstLine="640" w:firstLineChars="200"/>
        <w:rPr>
          <w:rFonts w:hint="eastAsia" w:ascii="Times New Roman" w:hAnsi="Times New Roman" w:eastAsia="黑体" w:cs="Times New Roman"/>
          <w:color w:val="auto"/>
          <w:sz w:val="32"/>
          <w:szCs w:val="32"/>
          <w:lang w:eastAsia="zh-Hans"/>
        </w:rPr>
      </w:pPr>
      <w:r>
        <w:rPr>
          <w:rFonts w:hint="eastAsia" w:ascii="Times New Roman" w:hAnsi="Times New Roman" w:eastAsia="黑体" w:cs="Times New Roman"/>
          <w:color w:val="auto"/>
          <w:sz w:val="32"/>
          <w:szCs w:val="32"/>
          <w:lang w:eastAsia="zh-Hans"/>
        </w:rPr>
        <w:t>五、预算执行进度与绩效指标总体完成率偏差</w:t>
      </w:r>
    </w:p>
    <w:p>
      <w:pPr>
        <w:pStyle w:val="20"/>
        <w:spacing w:line="560" w:lineRule="exact"/>
        <w:ind w:firstLine="640"/>
        <w:rPr>
          <w:rFonts w:hint="eastAsia" w:ascii="仿宋_GB2312" w:hAnsi="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为民办实事补贴及工作项目年初预算</w:t>
      </w:r>
      <w:r>
        <w:rPr>
          <w:rFonts w:hint="eastAsia" w:ascii="仿宋_GB2312" w:hAnsi="仿宋_GB2312" w:cs="仿宋_GB2312"/>
          <w:color w:val="auto"/>
          <w:kern w:val="2"/>
          <w:sz w:val="32"/>
          <w:szCs w:val="32"/>
          <w:lang w:val="en-US" w:eastAsia="zh-CN" w:bidi="ar-SA"/>
        </w:rPr>
        <w:t>655.50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704.42</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385.81</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54.77</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89.72</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34.95</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w:t>
      </w:r>
      <w:r>
        <w:rPr>
          <w:rFonts w:hint="eastAsia"/>
          <w:color w:val="auto"/>
          <w:sz w:val="32"/>
          <w:szCs w:val="32"/>
          <w:lang w:val="en-US" w:eastAsia="zh-CN"/>
        </w:rPr>
        <w:t>根据</w:t>
      </w:r>
      <w:r>
        <w:rPr>
          <w:rFonts w:hint="eastAsia"/>
          <w:color w:val="auto"/>
          <w:spacing w:val="-6"/>
          <w:sz w:val="32"/>
          <w:szCs w:val="32"/>
          <w:lang w:val="en-US" w:eastAsia="zh-CN"/>
        </w:rPr>
        <w:t>实际工作安排，人员进行了调整，人员减少，人员补贴和工作经费也相对减少，导致预算执行率</w:t>
      </w:r>
      <w:r>
        <w:rPr>
          <w:rFonts w:hint="eastAsia" w:ascii="仿宋_GB2312" w:hAnsi="仿宋_GB2312" w:cs="仿宋_GB2312"/>
          <w:color w:val="auto"/>
          <w:kern w:val="2"/>
          <w:sz w:val="32"/>
          <w:szCs w:val="32"/>
          <w:lang w:val="en-US" w:eastAsia="zh-CN" w:bidi="ar-SA"/>
        </w:rPr>
        <w:t>底，总体偏差高。</w:t>
      </w:r>
      <w:r>
        <w:rPr>
          <w:rFonts w:hint="eastAsia" w:ascii="仿宋_GB2312" w:hAnsi="仿宋_GB2312" w:cs="仿宋_GB2312"/>
          <w:color w:val="auto"/>
          <w:kern w:val="2"/>
          <w:sz w:val="32"/>
          <w:szCs w:val="32"/>
          <w:lang w:val="en-US" w:eastAsia="zh-Hans" w:bidi="ar-SA"/>
        </w:rPr>
        <w:t>改进</w:t>
      </w:r>
      <w:r>
        <w:rPr>
          <w:rFonts w:hint="eastAsia" w:ascii="仿宋_GB2312" w:hAnsi="仿宋_GB2312" w:cs="仿宋_GB2312"/>
          <w:color w:val="auto"/>
          <w:kern w:val="2"/>
          <w:sz w:val="32"/>
          <w:szCs w:val="32"/>
          <w:lang w:val="en-US" w:eastAsia="zh-CN" w:bidi="ar-SA"/>
        </w:rPr>
        <w:t>措施：加强预算管理，合理设置年初预算数，规范部门预算执行。坚持“先有预算后有支出”，严禁超预算、无预算安排支出，规范部门预算调整调剂，严禁随意变更资金用途和支出科目，强化预算指标对预算支出的控制，加强资金使用的追踪和监管。</w:t>
      </w:r>
      <w:bookmarkStart w:id="15" w:name="_Toc68703842"/>
    </w:p>
    <w:p>
      <w:pPr>
        <w:pStyle w:val="20"/>
        <w:spacing w:line="560" w:lineRule="exact"/>
        <w:ind w:firstLine="640"/>
        <w:rPr>
          <w:rFonts w:hint="eastAsia" w:ascii="Times New Roman" w:hAnsi="Times New Roman" w:eastAsia="黑体" w:cs="Times New Roman"/>
          <w:bCs/>
          <w:color w:val="auto"/>
          <w:sz w:val="32"/>
          <w:szCs w:val="32"/>
          <w:lang w:val="en-US" w:eastAsia="zh-CN"/>
        </w:rPr>
      </w:pPr>
      <w:r>
        <w:rPr>
          <w:rFonts w:hint="eastAsia" w:eastAsia="黑体" w:cs="Times New Roman"/>
          <w:bCs/>
          <w:color w:val="auto"/>
          <w:sz w:val="32"/>
          <w:szCs w:val="32"/>
          <w:lang w:val="en-US" w:eastAsia="zh-CN"/>
        </w:rPr>
        <w:t>六</w:t>
      </w:r>
      <w:r>
        <w:rPr>
          <w:rFonts w:hint="eastAsia" w:ascii="Times New Roman" w:hAnsi="Times New Roman" w:eastAsia="黑体" w:cs="Times New Roman"/>
          <w:bCs/>
          <w:color w:val="auto"/>
          <w:sz w:val="32"/>
          <w:szCs w:val="32"/>
          <w:lang w:val="en-US" w:eastAsia="zh-CN"/>
        </w:rPr>
        <w:t>、主要经验及做法、存在的问题及原因分析</w:t>
      </w:r>
      <w:bookmarkEnd w:id="15"/>
    </w:p>
    <w:p>
      <w:pPr>
        <w:spacing w:line="560" w:lineRule="exact"/>
        <w:ind w:firstLine="643" w:firstLineChars="200"/>
        <w:rPr>
          <w:rFonts w:hint="eastAsia"/>
          <w:color w:val="auto"/>
          <w:sz w:val="32"/>
          <w:szCs w:val="32"/>
        </w:rPr>
      </w:pPr>
      <w:bookmarkStart w:id="16" w:name="_Toc68703843"/>
      <w:r>
        <w:rPr>
          <w:rFonts w:hint="eastAsia" w:ascii="Times New Roman" w:hAnsi="Times New Roman" w:eastAsia="楷体_GB2312" w:cs="Times New Roman"/>
          <w:b/>
          <w:bCs/>
          <w:color w:val="auto"/>
          <w:kern w:val="2"/>
          <w:sz w:val="32"/>
          <w:szCs w:val="32"/>
          <w:lang w:val="en-US" w:eastAsia="zh-CN" w:bidi="ar-SA"/>
        </w:rPr>
        <w:t>（一）主要经验及做法</w:t>
      </w:r>
      <w:bookmarkEnd w:id="16"/>
    </w:p>
    <w:p>
      <w:pPr>
        <w:spacing w:line="560" w:lineRule="exact"/>
        <w:ind w:firstLine="640" w:firstLineChars="200"/>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rPr>
          <w:color w:val="auto"/>
        </w:rPr>
      </w:pPr>
      <w:r>
        <w:rPr>
          <w:rFonts w:ascii="Times New Roman" w:hAnsi="Times New Roman" w:eastAsia="仿宋_GB2312"/>
          <w:b w:val="0"/>
          <w:bCs w:val="0"/>
          <w:color w:val="auto"/>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color w:val="auto"/>
          <w:kern w:val="2"/>
          <w:sz w:val="32"/>
          <w:szCs w:val="32"/>
          <w:lang w:val="en-US" w:eastAsia="zh-CN" w:bidi="ar-SA"/>
        </w:rPr>
      </w:pPr>
      <w:bookmarkStart w:id="17" w:name="_Toc68703844"/>
      <w:r>
        <w:rPr>
          <w:rFonts w:hint="eastAsia" w:ascii="Times New Roman" w:hAnsi="Times New Roman" w:eastAsia="楷体_GB2312" w:cs="Times New Roman"/>
          <w:b/>
          <w:bCs/>
          <w:color w:val="auto"/>
          <w:kern w:val="2"/>
          <w:sz w:val="32"/>
          <w:szCs w:val="32"/>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Times New Roman" w:hAnsi="Times New Roman" w:eastAsia="仿宋_GB2312" w:cs="Times New Roman"/>
          <w:b w:val="0"/>
          <w:bCs w:val="0"/>
          <w:color w:val="auto"/>
          <w:kern w:val="2"/>
          <w:sz w:val="32"/>
          <w:szCs w:val="32"/>
          <w:lang w:val="en-US" w:eastAsia="zh-CN" w:bidi="ar-SA"/>
        </w:rPr>
      </w:pPr>
      <w:bookmarkStart w:id="18" w:name="_Toc68703845"/>
      <w:r>
        <w:rPr>
          <w:rFonts w:hint="eastAsia" w:eastAsia="黑体" w:cs="Times New Roman"/>
          <w:b w:val="0"/>
          <w:bCs/>
          <w:color w:val="auto"/>
          <w:kern w:val="2"/>
          <w:sz w:val="32"/>
          <w:szCs w:val="32"/>
          <w:lang w:val="en-US" w:eastAsia="zh-CN" w:bidi="ar-SA"/>
        </w:rPr>
        <w:t>七</w:t>
      </w:r>
      <w:r>
        <w:rPr>
          <w:rFonts w:hint="eastAsia" w:ascii="Times New Roman" w:hAnsi="Times New Roman" w:eastAsia="黑体" w:cs="Times New Roman"/>
          <w:b w:val="0"/>
          <w:bCs/>
          <w:color w:val="auto"/>
          <w:kern w:val="2"/>
          <w:sz w:val="32"/>
          <w:szCs w:val="32"/>
          <w:lang w:val="en-US" w:eastAsia="zh-CN" w:bidi="ar-SA"/>
        </w:rPr>
        <w:t>、有关建议</w:t>
      </w:r>
      <w:bookmarkEnd w:id="18"/>
      <w:r>
        <w:rPr>
          <w:rFonts w:hint="eastAsia" w:ascii="Times New Roman" w:hAnsi="Times New Roman" w:eastAsia="黑体" w:cs="Times New Roman"/>
          <w:b w:val="0"/>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color w:val="auto"/>
          <w:sz w:val="22"/>
          <w:szCs w:val="28"/>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rPr>
        <w:t>。</w:t>
      </w:r>
    </w:p>
    <w:p>
      <w:pPr>
        <w:pStyle w:val="3"/>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rPr>
      </w:pPr>
      <w:bookmarkStart w:id="19" w:name="_Toc68703846"/>
      <w:r>
        <w:rPr>
          <w:rFonts w:hint="eastAsia" w:ascii="宋体" w:hAnsi="宋体" w:eastAsia="宋体"/>
          <w:color w:val="auto"/>
          <w:sz w:val="32"/>
          <w:szCs w:val="32"/>
          <w:lang w:eastAsia="zh-CN"/>
        </w:rPr>
        <w:t>八</w:t>
      </w:r>
      <w:r>
        <w:rPr>
          <w:rFonts w:hint="eastAsia" w:ascii="宋体" w:hAnsi="宋体" w:eastAsia="宋体"/>
          <w:color w:val="auto"/>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ascii="仿宋_GB2312" w:hAnsi="仿宋_GB2312" w:cs="仿宋_GB2312"/>
          <w:color w:val="auto"/>
          <w:sz w:val="32"/>
          <w:szCs w:val="32"/>
          <w:lang w:eastAsia="zh-CN"/>
        </w:rPr>
        <w:t>　</w:t>
      </w:r>
      <w:r>
        <w:rPr>
          <w:rFonts w:hint="eastAsia" w:ascii="仿宋_GB2312"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Hans"/>
        </w:rPr>
        <w:t>本项目无其他需说明的问题</w:t>
      </w:r>
      <w:r>
        <w:rPr>
          <w:rFonts w:hint="eastAsia" w:ascii="仿宋_GB2312" w:hAnsi="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textAlignment w:val="auto"/>
        <w:rPr>
          <w:color w:val="auto"/>
        </w:rPr>
      </w:pPr>
    </w:p>
    <w:p>
      <w:pPr>
        <w:bidi w:val="0"/>
        <w:rPr>
          <w:rFonts w:ascii="Times New Roman" w:hAnsi="Times New Roman" w:eastAsia="仿宋_GB2312" w:cs="Times New Roman"/>
          <w:kern w:val="2"/>
          <w:sz w:val="30"/>
          <w:szCs w:val="24"/>
          <w:lang w:val="en-US" w:eastAsia="zh-CN" w:bidi="ar-SA"/>
        </w:rPr>
      </w:pPr>
    </w:p>
    <w:p>
      <w:pPr>
        <w:bidi w:val="0"/>
        <w:jc w:val="left"/>
        <w:rPr>
          <w:lang w:val="en-US" w:eastAsia="zh-CN"/>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color w:val="auto"/>
          <w:sz w:val="28"/>
          <w:szCs w:val="40"/>
        </w:rPr>
      </w:pPr>
      <w:bookmarkStart w:id="20" w:name="_Toc26499_WPSOffice_Level2"/>
      <w:bookmarkStart w:id="21" w:name="_Toc30064_WPSOffice_Level1"/>
      <w:r>
        <w:rPr>
          <w:rFonts w:hint="eastAsia"/>
          <w:b/>
          <w:bCs/>
          <w:color w:val="auto"/>
          <w:sz w:val="28"/>
          <w:szCs w:val="40"/>
          <w:highlight w:val="none"/>
          <w:lang w:val="en-US" w:eastAsia="zh-CN"/>
        </w:rPr>
        <w:t>为民办实事补贴及工作</w:t>
      </w:r>
      <w:r>
        <w:rPr>
          <w:rFonts w:hint="eastAsia"/>
          <w:b/>
          <w:bCs/>
          <w:color w:val="auto"/>
          <w:sz w:val="28"/>
          <w:szCs w:val="40"/>
          <w:highlight w:val="none"/>
        </w:rPr>
        <w:t>项目</w:t>
      </w:r>
      <w:r>
        <w:rPr>
          <w:rFonts w:hint="eastAsia"/>
          <w:b/>
          <w:bCs/>
          <w:color w:val="auto"/>
          <w:sz w:val="28"/>
          <w:szCs w:val="40"/>
        </w:rPr>
        <w:t>绩效评价指标体系及综合评分表</w:t>
      </w:r>
      <w:bookmarkEnd w:id="20"/>
      <w:bookmarkEnd w:id="21"/>
    </w:p>
    <w:tbl>
      <w:tblPr>
        <w:tblW w:w="15120" w:type="dxa"/>
        <w:jc w:val="center"/>
        <w:tblInd w:w="-9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45"/>
        <w:gridCol w:w="1149"/>
        <w:gridCol w:w="1371"/>
        <w:gridCol w:w="3422"/>
        <w:gridCol w:w="6962"/>
        <w:gridCol w:w="736"/>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26" w:hRule="atLeast"/>
          <w:jc w:val="center"/>
        </w:trPr>
        <w:tc>
          <w:tcPr>
            <w:tcW w:w="13649"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为民办实事补贴及工作项目支出绩效评价指标体系</w:t>
            </w:r>
          </w:p>
        </w:tc>
        <w:tc>
          <w:tcPr>
            <w:tcW w:w="736"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35"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8" w:hRule="atLeast"/>
          <w:jc w:val="center"/>
        </w:trPr>
        <w:tc>
          <w:tcPr>
            <w:tcW w:w="74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4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7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4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3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3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1.30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1.40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1.30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4"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7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4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5" w:hRule="atLeast"/>
          <w:jc w:val="center"/>
        </w:trPr>
        <w:tc>
          <w:tcPr>
            <w:tcW w:w="74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4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7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4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5" w:hRule="atLeast"/>
          <w:jc w:val="center"/>
        </w:trPr>
        <w:tc>
          <w:tcPr>
            <w:tcW w:w="74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4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9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9" w:hRule="atLeast"/>
          <w:jc w:val="center"/>
        </w:trPr>
        <w:tc>
          <w:tcPr>
            <w:tcW w:w="13649"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3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3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98.00 </w:t>
            </w:r>
          </w:p>
        </w:tc>
      </w:tr>
    </w:tbl>
    <w:p>
      <w:pPr>
        <w:rPr>
          <w:color w:val="auto"/>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3C0041" w:csb1="A008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5D2854"/>
    <w:rsid w:val="00614288"/>
    <w:rsid w:val="00670592"/>
    <w:rsid w:val="00792CFE"/>
    <w:rsid w:val="007D49C5"/>
    <w:rsid w:val="008175E0"/>
    <w:rsid w:val="008C631D"/>
    <w:rsid w:val="00A114ED"/>
    <w:rsid w:val="00B24331"/>
    <w:rsid w:val="00B2494E"/>
    <w:rsid w:val="01583141"/>
    <w:rsid w:val="03892540"/>
    <w:rsid w:val="05080FE1"/>
    <w:rsid w:val="051E0804"/>
    <w:rsid w:val="05253FFE"/>
    <w:rsid w:val="05E7509A"/>
    <w:rsid w:val="09903C9B"/>
    <w:rsid w:val="0D0429D6"/>
    <w:rsid w:val="0D7C6A10"/>
    <w:rsid w:val="0E547045"/>
    <w:rsid w:val="0F2A6BF7"/>
    <w:rsid w:val="10482BD9"/>
    <w:rsid w:val="109627EE"/>
    <w:rsid w:val="10F92125"/>
    <w:rsid w:val="1109680C"/>
    <w:rsid w:val="11405FA6"/>
    <w:rsid w:val="14103A0E"/>
    <w:rsid w:val="14E46C49"/>
    <w:rsid w:val="15436065"/>
    <w:rsid w:val="156A1844"/>
    <w:rsid w:val="15BD5E17"/>
    <w:rsid w:val="17136327"/>
    <w:rsid w:val="172C5003"/>
    <w:rsid w:val="17BD5C5B"/>
    <w:rsid w:val="17EA0A1A"/>
    <w:rsid w:val="181871E2"/>
    <w:rsid w:val="187C3D68"/>
    <w:rsid w:val="188350F6"/>
    <w:rsid w:val="19166846"/>
    <w:rsid w:val="1B7C7BDB"/>
    <w:rsid w:val="1CEB6DC6"/>
    <w:rsid w:val="1D526E45"/>
    <w:rsid w:val="1D7414B2"/>
    <w:rsid w:val="1DD51824"/>
    <w:rsid w:val="1E692F7C"/>
    <w:rsid w:val="200D34F7"/>
    <w:rsid w:val="20E92B23"/>
    <w:rsid w:val="21423675"/>
    <w:rsid w:val="218B0B78"/>
    <w:rsid w:val="21DD6EFA"/>
    <w:rsid w:val="227855A0"/>
    <w:rsid w:val="22AC2218"/>
    <w:rsid w:val="231C3D6F"/>
    <w:rsid w:val="235D6544"/>
    <w:rsid w:val="24EC4023"/>
    <w:rsid w:val="24F15196"/>
    <w:rsid w:val="251003F6"/>
    <w:rsid w:val="26773DC1"/>
    <w:rsid w:val="2729052F"/>
    <w:rsid w:val="27CC3C98"/>
    <w:rsid w:val="27F55A16"/>
    <w:rsid w:val="27FE6547"/>
    <w:rsid w:val="28221B0A"/>
    <w:rsid w:val="28C14634"/>
    <w:rsid w:val="2A950CB9"/>
    <w:rsid w:val="2BF51A0F"/>
    <w:rsid w:val="2CC969F8"/>
    <w:rsid w:val="2EC724D4"/>
    <w:rsid w:val="2EE30257"/>
    <w:rsid w:val="2FB43990"/>
    <w:rsid w:val="2FEE50F3"/>
    <w:rsid w:val="301E705B"/>
    <w:rsid w:val="346239BA"/>
    <w:rsid w:val="34DA27CE"/>
    <w:rsid w:val="35154ED0"/>
    <w:rsid w:val="36411DC5"/>
    <w:rsid w:val="365732C7"/>
    <w:rsid w:val="36B72533"/>
    <w:rsid w:val="37476E97"/>
    <w:rsid w:val="376932B2"/>
    <w:rsid w:val="388303A3"/>
    <w:rsid w:val="39693A3D"/>
    <w:rsid w:val="3DAE2C6C"/>
    <w:rsid w:val="3DF064DB"/>
    <w:rsid w:val="3F2B709E"/>
    <w:rsid w:val="3F331901"/>
    <w:rsid w:val="3F36616F"/>
    <w:rsid w:val="4057649F"/>
    <w:rsid w:val="40774C91"/>
    <w:rsid w:val="41B33AA7"/>
    <w:rsid w:val="430913D5"/>
    <w:rsid w:val="450B6AE4"/>
    <w:rsid w:val="45D73ADC"/>
    <w:rsid w:val="4665733A"/>
    <w:rsid w:val="46767799"/>
    <w:rsid w:val="47E30E5E"/>
    <w:rsid w:val="480330CF"/>
    <w:rsid w:val="4B6202EC"/>
    <w:rsid w:val="4C9D15DC"/>
    <w:rsid w:val="4E0631B0"/>
    <w:rsid w:val="50081462"/>
    <w:rsid w:val="51BB515D"/>
    <w:rsid w:val="534A1D91"/>
    <w:rsid w:val="53CF52AC"/>
    <w:rsid w:val="54873A1A"/>
    <w:rsid w:val="56796849"/>
    <w:rsid w:val="568F383B"/>
    <w:rsid w:val="57783371"/>
    <w:rsid w:val="581D7A74"/>
    <w:rsid w:val="590649AC"/>
    <w:rsid w:val="5A7C2CDD"/>
    <w:rsid w:val="5B3C6463"/>
    <w:rsid w:val="5D555EEF"/>
    <w:rsid w:val="5D942587"/>
    <w:rsid w:val="5DA95371"/>
    <w:rsid w:val="5DAF73C1"/>
    <w:rsid w:val="5DC6470A"/>
    <w:rsid w:val="5EC724E8"/>
    <w:rsid w:val="600F05EB"/>
    <w:rsid w:val="638B7F88"/>
    <w:rsid w:val="686F7714"/>
    <w:rsid w:val="6892329B"/>
    <w:rsid w:val="68A67612"/>
    <w:rsid w:val="68F6059A"/>
    <w:rsid w:val="695E52C5"/>
    <w:rsid w:val="6A096E91"/>
    <w:rsid w:val="6A862BA8"/>
    <w:rsid w:val="6ACF2E50"/>
    <w:rsid w:val="6C865790"/>
    <w:rsid w:val="6CED1CB3"/>
    <w:rsid w:val="6D6830E8"/>
    <w:rsid w:val="6DFC1C65"/>
    <w:rsid w:val="6EFC4430"/>
    <w:rsid w:val="7055204A"/>
    <w:rsid w:val="722021E3"/>
    <w:rsid w:val="74F71921"/>
    <w:rsid w:val="752C7237"/>
    <w:rsid w:val="757F1917"/>
    <w:rsid w:val="75AF5B9C"/>
    <w:rsid w:val="75FA041F"/>
    <w:rsid w:val="760F49BD"/>
    <w:rsid w:val="76C515AB"/>
    <w:rsid w:val="76E870A0"/>
    <w:rsid w:val="76EB7264"/>
    <w:rsid w:val="799F7224"/>
    <w:rsid w:val="7AE40DD7"/>
    <w:rsid w:val="7AEE7323"/>
    <w:rsid w:val="7E584F14"/>
    <w:rsid w:val="7E8614D5"/>
    <w:rsid w:val="7F73429A"/>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37</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2024-06-12T10:34:40Z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B0C5F7B62D54465786DA03B91756C326_13</vt:lpwstr>
  </property>
</Properties>
</file>