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宋体" w:hAnsi="宋体" w:eastAsia="宋体" w:cs="Arial"/>
          <w:b/>
          <w:bCs/>
          <w:sz w:val="48"/>
          <w:szCs w:val="48"/>
        </w:rPr>
      </w:pPr>
    </w:p>
    <w:p>
      <w:pPr>
        <w:spacing w:line="560" w:lineRule="exact"/>
        <w:jc w:val="center"/>
        <w:rPr>
          <w:rFonts w:eastAsia="方正小标宋_GBK"/>
          <w:kern w:val="0"/>
          <w:sz w:val="48"/>
          <w:szCs w:val="48"/>
        </w:rPr>
      </w:pPr>
      <w:r>
        <w:rPr>
          <w:rFonts w:hint="eastAsia" w:eastAsia="方正小标宋_GBK"/>
          <w:kern w:val="0"/>
          <w:sz w:val="48"/>
          <w:szCs w:val="48"/>
          <w:lang w:val="en-US" w:eastAsia="zh-CN"/>
        </w:rPr>
        <w:t>卡拉苏街道办事处2023年社区运转及服务群众</w:t>
      </w:r>
      <w:r>
        <w:rPr>
          <w:rFonts w:eastAsia="方正小标宋_GBK"/>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项目名称：2023年卡拉苏社区运转支出及服务群众支出项目</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霍尔果斯市卡拉苏街道办事处</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霍尔果斯市卡拉苏街道办事处</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邹思园</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19</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eastAsia="仿宋_GB2312"/>
          <w:sz w:val="32"/>
          <w:szCs w:val="32"/>
        </w:rPr>
        <w:t>本项目根据《关于聚焦社会稳定和长治久安总目标加强自治州城市基层党建工作的实施意见》文件（伊州党办发【2019】19号）和《关于聚焦社会稳定和长治久安总目标加强自治州城市基层党建</w:t>
      </w:r>
      <w:r>
        <w:rPr>
          <w:rFonts w:hint="eastAsia" w:ascii="Times New Roman" w:hAnsi="Times New Roman" w:eastAsia="仿宋_GB2312" w:cs="Times New Roman"/>
          <w:sz w:val="32"/>
          <w:szCs w:val="32"/>
        </w:rPr>
        <w:t>工作的实施意见》文件（霍市党发【2019】37号）</w:t>
      </w:r>
      <w:r>
        <w:rPr>
          <w:rFonts w:hint="eastAsia" w:ascii="Times New Roman" w:hAnsi="Times New Roman" w:eastAsia="仿宋_GB2312" w:cs="Times New Roman"/>
          <w:sz w:val="32"/>
          <w:szCs w:val="32"/>
          <w:lang w:val="en-US" w:eastAsia="zh-CN"/>
        </w:rPr>
        <w:t>文件要求</w:t>
      </w:r>
      <w:r>
        <w:rPr>
          <w:rFonts w:hint="eastAsia" w:ascii="Times New Roman" w:hAnsi="Times New Roman" w:eastAsia="仿宋_GB2312" w:cs="Times New Roman"/>
          <w:sz w:val="32"/>
          <w:szCs w:val="32"/>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13个</w:t>
      </w:r>
      <w:r>
        <w:rPr>
          <w:rFonts w:hint="eastAsia" w:ascii="Times New Roman" w:hAnsi="Times New Roman" w:eastAsia="仿宋_GB2312" w:cs="Times New Roman"/>
          <w:sz w:val="32"/>
          <w:szCs w:val="32"/>
        </w:rPr>
        <w:t>，以准确、清晰地反映财政资金在使用期所能达到的预期产出和效果。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w:t>
      </w:r>
      <w:r>
        <w:rPr>
          <w:rFonts w:hint="eastAsia" w:eastAsia="仿宋_GB2312"/>
          <w:sz w:val="32"/>
          <w:szCs w:val="32"/>
        </w:rPr>
        <w:t>卡拉苏街道办事处下设 1 个社区，做好基层建设，开展社区管理工作。卡拉苏街道办事处卡拉苏社区基础设施薄弱，要强化社区基础设施体系、为社区提供有力的物质支撑，进一步增强社区党组织协调各方和化解矛盾的功能，充分发挥好社区服务能力和业务水平。为保障工作顺利开展，为社区服务提供有力的资金保障，是做好基层建设开展社区管理工作的前提保障。</w:t>
      </w:r>
    </w:p>
    <w:p>
      <w:pPr>
        <w:spacing w:line="560" w:lineRule="exact"/>
        <w:ind w:firstLine="320" w:firstLineChars="100"/>
        <w:jc w:val="both"/>
      </w:pPr>
      <w:r>
        <w:rPr>
          <w:rFonts w:hint="eastAsia" w:ascii="仿宋_GB2312"/>
          <w:sz w:val="32"/>
          <w:szCs w:val="32"/>
        </w:rPr>
        <w:t>实施情况：</w:t>
      </w:r>
      <w:r>
        <w:rPr>
          <w:rFonts w:hint="eastAsia" w:ascii="Times New Roman" w:hAnsi="Times New Roman" w:eastAsia="仿宋_GB2312" w:cs="Times New Roman"/>
          <w:sz w:val="32"/>
          <w:szCs w:val="32"/>
        </w:rPr>
        <w:t>2023年卡拉苏社区运转支出及服务群众支出项目</w:t>
      </w:r>
      <w:r>
        <w:rPr>
          <w:rFonts w:eastAsia="仿宋_GB2312"/>
          <w:sz w:val="32"/>
          <w:szCs w:val="32"/>
        </w:rPr>
        <w:t>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35</w:t>
      </w:r>
      <w:r>
        <w:rPr>
          <w:rFonts w:hint="eastAsia"/>
          <w:color w:val="auto"/>
          <w:sz w:val="32"/>
          <w:szCs w:val="32"/>
        </w:rPr>
        <w:t>万元，全年预算数</w:t>
      </w:r>
      <w:r>
        <w:rPr>
          <w:rFonts w:hint="eastAsia"/>
          <w:color w:val="auto"/>
          <w:sz w:val="32"/>
          <w:szCs w:val="32"/>
          <w:lang w:val="en-US" w:eastAsia="zh-CN"/>
        </w:rPr>
        <w:t>35</w:t>
      </w:r>
      <w:r>
        <w:rPr>
          <w:rFonts w:hint="eastAsia"/>
          <w:color w:val="auto"/>
          <w:sz w:val="32"/>
          <w:szCs w:val="32"/>
        </w:rPr>
        <w:t>万元，实际总投入</w:t>
      </w:r>
      <w:r>
        <w:rPr>
          <w:rFonts w:hint="eastAsia"/>
          <w:color w:val="auto"/>
          <w:sz w:val="32"/>
          <w:szCs w:val="32"/>
          <w:lang w:val="en-US" w:eastAsia="zh-CN"/>
        </w:rPr>
        <w:t>35</w:t>
      </w:r>
      <w:r>
        <w:rPr>
          <w:rFonts w:hint="eastAsia"/>
          <w:color w:val="auto"/>
          <w:sz w:val="32"/>
          <w:szCs w:val="32"/>
        </w:rPr>
        <w:t>万元，该项目资金落实到位</w:t>
      </w:r>
      <w:r>
        <w:rPr>
          <w:rFonts w:hint="eastAsia"/>
          <w:color w:val="auto"/>
          <w:sz w:val="32"/>
          <w:szCs w:val="32"/>
          <w:lang w:val="en-US" w:eastAsia="zh-CN"/>
        </w:rPr>
        <w:t>35</w:t>
      </w:r>
      <w:r>
        <w:rPr>
          <w:rFonts w:hint="eastAsia"/>
          <w:color w:val="auto"/>
          <w:sz w:val="32"/>
          <w:szCs w:val="32"/>
        </w:rPr>
        <w:t>万元，资金来源为一般公共预算。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35</w:t>
      </w:r>
      <w:r>
        <w:rPr>
          <w:rFonts w:hint="eastAsia"/>
          <w:color w:val="auto"/>
          <w:sz w:val="32"/>
          <w:szCs w:val="32"/>
        </w:rPr>
        <w:t>万元，全年预算数</w:t>
      </w:r>
      <w:r>
        <w:rPr>
          <w:rFonts w:hint="eastAsia"/>
          <w:color w:val="auto"/>
          <w:sz w:val="32"/>
          <w:szCs w:val="32"/>
          <w:lang w:val="en-US" w:eastAsia="zh-CN"/>
        </w:rPr>
        <w:t>35</w:t>
      </w:r>
      <w:r>
        <w:rPr>
          <w:rFonts w:hint="eastAsia"/>
          <w:color w:val="auto"/>
          <w:sz w:val="32"/>
          <w:szCs w:val="32"/>
        </w:rPr>
        <w:t>万元全年执</w:t>
      </w:r>
      <w:r>
        <w:rPr>
          <w:rFonts w:hint="eastAsia"/>
          <w:sz w:val="32"/>
          <w:szCs w:val="32"/>
        </w:rPr>
        <w:t>行数</w:t>
      </w:r>
      <w:r>
        <w:rPr>
          <w:rFonts w:hint="eastAsia"/>
          <w:sz w:val="32"/>
          <w:szCs w:val="32"/>
          <w:lang w:val="en-US" w:eastAsia="zh-CN"/>
        </w:rPr>
        <w:t>35</w:t>
      </w:r>
      <w:r>
        <w:rPr>
          <w:rFonts w:hint="eastAsia"/>
          <w:sz w:val="32"/>
          <w:szCs w:val="32"/>
        </w:rPr>
        <w:t>万元，预算执行率为</w:t>
      </w:r>
      <w:r>
        <w:rPr>
          <w:rFonts w:hint="eastAsia"/>
          <w:sz w:val="32"/>
          <w:szCs w:val="32"/>
          <w:lang w:val="en-US" w:eastAsia="zh-CN"/>
        </w:rPr>
        <w:t>100</w:t>
      </w:r>
      <w:r>
        <w:rPr>
          <w:rFonts w:hint="eastAsia"/>
          <w:sz w:val="32"/>
          <w:szCs w:val="32"/>
        </w:rPr>
        <w:t>%，</w:t>
      </w:r>
      <w:r>
        <w:rPr>
          <w:rFonts w:hint="eastAsia"/>
          <w:sz w:val="32"/>
          <w:szCs w:val="32"/>
          <w:lang w:eastAsia="zh-CN"/>
        </w:rPr>
        <w:t>主要</w:t>
      </w:r>
      <w:r>
        <w:rPr>
          <w:rFonts w:hint="eastAsia"/>
          <w:sz w:val="32"/>
          <w:szCs w:val="32"/>
        </w:rPr>
        <w:t>用于：社区运转经费数</w:t>
      </w:r>
      <w:r>
        <w:rPr>
          <w:rFonts w:hint="eastAsia"/>
          <w:sz w:val="32"/>
          <w:szCs w:val="32"/>
          <w:lang w:val="en-US" w:eastAsia="zh-CN"/>
        </w:rPr>
        <w:t>15</w:t>
      </w:r>
      <w:r>
        <w:rPr>
          <w:rFonts w:hint="eastAsia"/>
          <w:sz w:val="32"/>
          <w:szCs w:val="32"/>
        </w:rPr>
        <w:t>万元</w:t>
      </w:r>
      <w:r>
        <w:rPr>
          <w:rFonts w:hint="eastAsia"/>
          <w:sz w:val="32"/>
          <w:szCs w:val="32"/>
          <w:lang w:eastAsia="zh-CN"/>
        </w:rPr>
        <w:t>、</w:t>
      </w:r>
      <w:r>
        <w:rPr>
          <w:rFonts w:hint="eastAsia"/>
          <w:sz w:val="32"/>
          <w:szCs w:val="32"/>
        </w:rPr>
        <w:t>服务群众经费数</w:t>
      </w:r>
      <w:r>
        <w:rPr>
          <w:rFonts w:hint="eastAsia"/>
          <w:sz w:val="32"/>
          <w:szCs w:val="32"/>
          <w:lang w:val="en-US" w:eastAsia="zh-CN"/>
        </w:rPr>
        <w:t>20万元</w:t>
      </w:r>
      <w:r>
        <w:rPr>
          <w:rFonts w:hint="eastAsia"/>
          <w:sz w:val="32"/>
          <w:szCs w:val="32"/>
        </w:rPr>
        <w:t>。</w:t>
      </w:r>
      <w:bookmarkStart w:id="2" w:name="_Toc68703829"/>
    </w:p>
    <w:p>
      <w:pPr>
        <w:spacing w:line="560" w:lineRule="exact"/>
        <w:rPr>
          <w:rFonts w:hint="eastAsia"/>
          <w:color w:val="auto"/>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highlight w:val="red"/>
        </w:rPr>
      </w:pPr>
      <w:r>
        <w:rPr>
          <w:rFonts w:hint="eastAsia"/>
          <w:b w:val="0"/>
          <w:bCs w:val="0"/>
          <w:sz w:val="32"/>
          <w:szCs w:val="32"/>
          <w:lang w:eastAsia="zh-CN"/>
        </w:rPr>
        <w:t>　</w:t>
      </w:r>
      <w:r>
        <w:rPr>
          <w:rFonts w:hint="eastAsia"/>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1.总体目标：</w:t>
      </w:r>
      <w:r>
        <w:rPr>
          <w:rFonts w:hint="eastAsia" w:ascii="Times New Roman" w:hAnsi="Times New Roman" w:eastAsia="仿宋_GB2312" w:cs="Times New Roman"/>
          <w:b w:val="0"/>
          <w:bCs w:val="0"/>
          <w:sz w:val="32"/>
          <w:szCs w:val="32"/>
          <w:highlight w:val="none"/>
          <w:lang w:val="en-US" w:eastAsia="zh-CN"/>
        </w:rPr>
        <w:t>我街道202</w:t>
      </w:r>
      <w:r>
        <w:rPr>
          <w:rFonts w:hint="eastAsia" w:ascii="Times New Roman" w:hAnsi="Times New Roman" w:cs="Times New Roman"/>
          <w:b w:val="0"/>
          <w:bCs w:val="0"/>
          <w:sz w:val="32"/>
          <w:szCs w:val="32"/>
          <w:highlight w:val="none"/>
          <w:lang w:val="en-US" w:eastAsia="zh-CN"/>
        </w:rPr>
        <w:t>3</w:t>
      </w:r>
      <w:r>
        <w:rPr>
          <w:rFonts w:hint="eastAsia" w:ascii="Times New Roman" w:hAnsi="Times New Roman" w:eastAsia="仿宋_GB2312" w:cs="Times New Roman"/>
          <w:b w:val="0"/>
          <w:bCs w:val="0"/>
          <w:sz w:val="32"/>
          <w:szCs w:val="32"/>
          <w:highlight w:val="none"/>
          <w:lang w:val="en-US" w:eastAsia="zh-CN"/>
        </w:rPr>
        <w:t>年将认真贯彻执行党路线、方针、政策和国家的各项法律、法规；认真负责对待辖区内的群众，开展各类文艺活动，解决群众热难点问题，开展各类培训，落实政策保障民生，维护社会基层稳定，消除安全隐患、对辖区内的公共设施进行维护、对社区生活环境进行治理，改善居民生活环境，提高居民生活质量，合理运用社区运转经费及服务群众经费，进一步加强基层干部队伍建设，积极完善和保障社区管理和基层党组织管理工作。</w:t>
      </w:r>
    </w:p>
    <w:p>
      <w:pPr>
        <w:spacing w:line="560" w:lineRule="exact"/>
        <w:ind w:firstLine="320" w:firstLineChars="100"/>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我街道202</w:t>
      </w:r>
      <w:r>
        <w:rPr>
          <w:rFonts w:hint="eastAsia" w:ascii="Times New Roman" w:hAnsi="Times New Roman" w:cs="Times New Roman"/>
          <w:b w:val="0"/>
          <w:bCs w:val="0"/>
          <w:sz w:val="32"/>
          <w:szCs w:val="32"/>
          <w:lang w:val="en-US" w:eastAsia="zh-CN"/>
        </w:rPr>
        <w:t>3</w:t>
      </w:r>
      <w:r>
        <w:rPr>
          <w:rFonts w:hint="eastAsia" w:ascii="Times New Roman" w:hAnsi="Times New Roman" w:eastAsia="仿宋_GB2312" w:cs="Times New Roman"/>
          <w:b w:val="0"/>
          <w:bCs w:val="0"/>
          <w:sz w:val="32"/>
          <w:szCs w:val="32"/>
          <w:lang w:val="en-US" w:eastAsia="zh-CN"/>
        </w:rPr>
        <w:t>年上半年将认真贯彻执行党路线、方针、政策和国家的各项法律、法规；认真负责对待辖区内的群众，举办各项文艺活动</w:t>
      </w:r>
      <w:r>
        <w:rPr>
          <w:rFonts w:hint="eastAsia" w:ascii="Times New Roman" w:hAnsi="Times New Roman" w:cs="Times New Roman"/>
          <w:b w:val="0"/>
          <w:bCs w:val="0"/>
          <w:sz w:val="32"/>
          <w:szCs w:val="32"/>
          <w:lang w:val="en-US" w:eastAsia="zh-CN"/>
        </w:rPr>
        <w:t>10</w:t>
      </w:r>
      <w:r>
        <w:rPr>
          <w:rFonts w:hint="eastAsia" w:ascii="Times New Roman" w:hAnsi="Times New Roman" w:eastAsia="仿宋_GB2312" w:cs="Times New Roman"/>
          <w:b w:val="0"/>
          <w:bCs w:val="0"/>
          <w:sz w:val="32"/>
          <w:szCs w:val="32"/>
          <w:lang w:val="en-US" w:eastAsia="zh-CN"/>
        </w:rPr>
        <w:t>次，每次参与活动人数保持在</w:t>
      </w:r>
      <w:r>
        <w:rPr>
          <w:rFonts w:hint="eastAsia" w:ascii="Times New Roman" w:hAnsi="Times New Roman" w:cs="Times New Roman"/>
          <w:b w:val="0"/>
          <w:bCs w:val="0"/>
          <w:sz w:val="32"/>
          <w:szCs w:val="32"/>
          <w:lang w:val="en-US" w:eastAsia="zh-CN"/>
        </w:rPr>
        <w:t>20</w:t>
      </w:r>
      <w:r>
        <w:rPr>
          <w:rFonts w:hint="eastAsia" w:ascii="Times New Roman" w:hAnsi="Times New Roman" w:eastAsia="仿宋_GB2312" w:cs="Times New Roman"/>
          <w:b w:val="0"/>
          <w:bCs w:val="0"/>
          <w:sz w:val="32"/>
          <w:szCs w:val="32"/>
          <w:lang w:val="en-US" w:eastAsia="zh-CN"/>
        </w:rPr>
        <w:t>人左右，开展技能培训</w:t>
      </w:r>
      <w:r>
        <w:rPr>
          <w:rFonts w:hint="eastAsia" w:ascii="Times New Roman" w:hAnsi="Times New Roman" w:cs="Times New Roman"/>
          <w:b w:val="0"/>
          <w:bCs w:val="0"/>
          <w:sz w:val="32"/>
          <w:szCs w:val="32"/>
          <w:lang w:val="en-US" w:eastAsia="zh-CN"/>
        </w:rPr>
        <w:t>7</w:t>
      </w:r>
      <w:r>
        <w:rPr>
          <w:rFonts w:hint="eastAsia" w:ascii="Times New Roman" w:hAnsi="Times New Roman" w:eastAsia="仿宋_GB2312" w:cs="Times New Roman"/>
          <w:b w:val="0"/>
          <w:bCs w:val="0"/>
          <w:sz w:val="32"/>
          <w:szCs w:val="32"/>
          <w:lang w:val="en-US" w:eastAsia="zh-CN"/>
        </w:rPr>
        <w:t>次，培训出勤率95%，经费保障率95%，落实政策保障民生，维护社会基层稳定，消除安全隐患、对辖区内的公共设施进行维护、对社区生活环境进行治理，持续改善居民生活环境、提高居民生活质量，有效提升基层干部队伍建设，积极完善和保障社区管理和基层党组织管理工作。</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0"/>
        </w:numPr>
        <w:spacing w:line="560" w:lineRule="exact"/>
        <w:rPr>
          <w:rFonts w:eastAsia="仿宋_GB2312"/>
          <w:sz w:val="32"/>
          <w:szCs w:val="32"/>
        </w:rPr>
      </w:pPr>
      <w:r>
        <w:rPr>
          <w:rFonts w:hint="eastAsia"/>
          <w:sz w:val="32"/>
          <w:szCs w:val="32"/>
          <w:lang w:eastAsia="zh-CN"/>
        </w:rPr>
        <w:t>（</w:t>
      </w:r>
      <w:r>
        <w:rPr>
          <w:rFonts w:hint="eastAsia"/>
          <w:sz w:val="32"/>
          <w:szCs w:val="32"/>
          <w:lang w:val="en-US" w:eastAsia="zh-CN"/>
        </w:rPr>
        <w:t>1）</w:t>
      </w:r>
      <w:r>
        <w:rPr>
          <w:rFonts w:eastAsia="仿宋_GB2312"/>
          <w:sz w:val="32"/>
          <w:szCs w:val="32"/>
        </w:rPr>
        <w:t>项目在实施前向项目负责人提供财政支出绩效方面的资金管理信息，促进项目支出严格按照资金管理规定进行。</w:t>
      </w:r>
    </w:p>
    <w:p>
      <w:pPr>
        <w:spacing w:line="560" w:lineRule="exact"/>
        <w:rPr>
          <w:rFonts w:eastAsia="仿宋_GB2312"/>
          <w:sz w:val="32"/>
          <w:szCs w:val="32"/>
        </w:rPr>
      </w:pPr>
      <w:r>
        <w:rPr>
          <w:rFonts w:hint="eastAsia"/>
          <w:sz w:val="32"/>
          <w:szCs w:val="32"/>
          <w:lang w:eastAsia="zh-CN"/>
        </w:rPr>
        <w:t>（</w:t>
      </w:r>
      <w:r>
        <w:rPr>
          <w:rFonts w:hint="eastAsia"/>
          <w:sz w:val="32"/>
          <w:szCs w:val="32"/>
          <w:lang w:val="en-US" w:eastAsia="zh-CN"/>
        </w:rPr>
        <w:t>2）</w:t>
      </w:r>
      <w:r>
        <w:rPr>
          <w:rFonts w:eastAsia="仿宋_GB2312"/>
          <w:sz w:val="32"/>
          <w:szCs w:val="32"/>
        </w:rPr>
        <w:t>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2023年卡拉苏社区运转支出及服务群众支出项目所包含的全部项目内容。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2023年卡拉苏社区运转支出及服务群众支出项目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r>
        <w:rPr>
          <w:rFonts w:hint="eastAsia"/>
          <w:bCs/>
          <w:color w:val="000000" w:themeColor="text1"/>
          <w:sz w:val="32"/>
          <w:szCs w:val="32"/>
          <w:lang w:val="en-US" w:eastAsia="zh-CN"/>
          <w14:textFill>
            <w14:solidFill>
              <w14:schemeClr w14:val="tx1"/>
            </w14:solidFill>
          </w14:textFill>
        </w:rPr>
        <w:t>和历史标准</w:t>
      </w:r>
      <w:r>
        <w:rPr>
          <w:rFonts w:hint="eastAsia"/>
          <w:bCs/>
          <w:color w:val="000000" w:themeColor="text1"/>
          <w:sz w:val="32"/>
          <w:szCs w:val="32"/>
          <w14:textFill>
            <w14:solidFill>
              <w14:schemeClr w14:val="tx1"/>
            </w14:solidFill>
          </w14:textFill>
        </w:rPr>
        <w:t>。</w:t>
      </w:r>
    </w:p>
    <w:p>
      <w:pPr>
        <w:spacing w:line="560" w:lineRule="exact"/>
        <w:ind w:firstLine="640"/>
        <w:rPr>
          <w:rFonts w:hint="eastAsia"/>
          <w:bCs/>
          <w:color w:val="000000" w:themeColor="text1"/>
          <w:sz w:val="32"/>
          <w:szCs w:val="32"/>
          <w:lang w:val="en-US" w:eastAsia="zh-CN"/>
          <w14:textFill>
            <w14:solidFill>
              <w14:schemeClr w14:val="tx1"/>
            </w14:solidFill>
          </w14:textFill>
        </w:rPr>
      </w:pPr>
      <w:r>
        <w:rPr>
          <w:rFonts w:hint="eastAsia"/>
          <w:bCs/>
          <w:color w:val="000000" w:themeColor="text1"/>
          <w:sz w:val="32"/>
          <w:szCs w:val="32"/>
          <w:lang w:val="en-US" w:eastAsia="zh-CN"/>
          <w14:textFill>
            <w14:solidFill>
              <w14:schemeClr w14:val="tx1"/>
            </w14:solidFill>
          </w14:textFill>
        </w:rPr>
        <w:t>（一）计划标准。指以预先制定的目标、计划、预算、定额等作为评价标准。</w:t>
      </w:r>
    </w:p>
    <w:p>
      <w:pPr>
        <w:spacing w:line="560" w:lineRule="exact"/>
        <w:ind w:firstLine="640"/>
        <w:rPr>
          <w:rFonts w:hint="eastAsia"/>
          <w:bCs/>
          <w:color w:val="000000" w:themeColor="text1"/>
          <w:sz w:val="32"/>
          <w:szCs w:val="32"/>
          <w:lang w:val="en-US" w:eastAsia="zh-CN"/>
          <w14:textFill>
            <w14:solidFill>
              <w14:schemeClr w14:val="tx1"/>
            </w14:solidFill>
          </w14:textFill>
        </w:rPr>
      </w:pPr>
      <w:r>
        <w:rPr>
          <w:rFonts w:hint="eastAsia"/>
          <w:bCs/>
          <w:color w:val="000000" w:themeColor="text1"/>
          <w:sz w:val="32"/>
          <w:szCs w:val="32"/>
          <w:lang w:val="en-US" w:eastAsia="zh-CN"/>
          <w14:textFill>
            <w14:solidFill>
              <w14:schemeClr w14:val="tx1"/>
            </w14:solidFill>
          </w14:textFill>
        </w:rPr>
        <w:t>（二）历史标准。指参照历史数据制定的评价标准，为体现绩效改进的原则，在可实现的条件下应当确定相对较高的评价标准。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 xml:space="preserve">分，属于“优”。其中，项目决策类指标权重为20分，得分为 </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%。项目过程类指标权重为20分，得分为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40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%。项目效益类指标权重为20分，得分为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w:t>
      </w:r>
      <w:r>
        <w:rPr>
          <w:rFonts w:hint="eastAsia" w:ascii="仿宋_GB2312" w:hAnsi="仿宋_GB2312" w:eastAsia="仿宋_GB2312" w:cs="仿宋_GB2312"/>
          <w:sz w:val="32"/>
          <w:szCs w:val="32"/>
          <w:lang w:val="en-US" w:eastAsia="zh-CN"/>
        </w:rPr>
        <w:t>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项目过程类指标包括资金管理和组织实施两方面的内容，由5个三级指标构成，权重分值为20分，实际得分20分，得分率为100%。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本项目总投资35万元，财政资金及时足额到位，到位率100%，预算资金按计划进度执行。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预算编制较为详细，项目资金支出总体能够按照预算执行，预算资金支出35万元，预算执行率为100%。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个三级指标构成，权重分为40分，实际得分</w:t>
      </w:r>
      <w:r>
        <w:rPr>
          <w:rFonts w:hint="eastAsia" w:ascii="仿宋_GB2312" w:hAnsi="仿宋_GB2312" w:cs="仿宋_GB2312"/>
          <w:sz w:val="32"/>
          <w:szCs w:val="32"/>
          <w:lang w:val="en-US" w:eastAsia="zh-CN"/>
        </w:rPr>
        <w:t>40</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color w:val="auto"/>
          <w:sz w:val="32"/>
          <w:szCs w:val="32"/>
        </w:rPr>
        <w:t>指标1：</w:t>
      </w:r>
      <w:r>
        <w:rPr>
          <w:rFonts w:hint="eastAsia" w:ascii="仿宋_GB2312" w:hAnsi="仿宋_GB2312" w:eastAsia="仿宋_GB2312" w:cs="仿宋_GB2312"/>
          <w:sz w:val="32"/>
          <w:szCs w:val="32"/>
          <w:lang w:val="en-US" w:eastAsia="zh-CN"/>
        </w:rPr>
        <w:t>开展各项文艺活动次数</w:t>
      </w:r>
      <w:r>
        <w:rPr>
          <w:rFonts w:hint="eastAsia"/>
          <w:color w:val="auto"/>
          <w:sz w:val="32"/>
          <w:szCs w:val="32"/>
        </w:rPr>
        <w:t>，指标值</w:t>
      </w:r>
      <w:r>
        <w:rPr>
          <w:rFonts w:hint="eastAsia" w:ascii="Times New Roman" w:hAnsi="Times New Roman" w:cs="Times New Roman"/>
          <w:color w:val="auto"/>
          <w:sz w:val="32"/>
          <w:szCs w:val="32"/>
        </w:rPr>
        <w:t>：&gt;=10次，</w:t>
      </w:r>
      <w:r>
        <w:rPr>
          <w:rFonts w:hint="eastAsia"/>
          <w:color w:val="auto"/>
          <w:sz w:val="32"/>
          <w:szCs w:val="32"/>
        </w:rPr>
        <w:t>实际完成值</w:t>
      </w:r>
      <w:r>
        <w:rPr>
          <w:rFonts w:hint="eastAsia"/>
          <w:color w:val="auto"/>
          <w:sz w:val="32"/>
          <w:szCs w:val="32"/>
          <w:lang w:eastAsia="zh-CN"/>
        </w:rPr>
        <w:t>：</w:t>
      </w:r>
      <w:r>
        <w:rPr>
          <w:rFonts w:hint="eastAsia" w:ascii="仿宋_GB2312" w:hAnsi="仿宋_GB2312" w:eastAsia="仿宋_GB2312" w:cs="仿宋_GB2312"/>
          <w:sz w:val="32"/>
          <w:szCs w:val="32"/>
          <w:lang w:val="en-US" w:eastAsia="zh-CN"/>
        </w:rPr>
        <w:t>10次，指标完成率100%</w:t>
      </w:r>
      <w:r>
        <w:rPr>
          <w:rFonts w:hint="eastAsia" w:ascii="仿宋_GB2312" w:hAnsi="仿宋_GB2312" w:cs="仿宋_GB2312"/>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指标2：参与文艺活动人数，指标值：&gt;=20人，实际完成值：20人，指标完成率100%</w:t>
      </w:r>
      <w:r>
        <w:rPr>
          <w:rFonts w:hint="eastAsia" w:ascii="仿宋_GB2312" w:hAnsi="仿宋_GB2312" w:cs="仿宋_GB2312"/>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宋体" w:cs="仿宋_GB2312"/>
          <w:b/>
          <w:bCs/>
          <w:sz w:val="32"/>
          <w:szCs w:val="32"/>
          <w:highlight w:val="none"/>
          <w:lang w:val="en-US" w:eastAsia="zh-CN"/>
        </w:rPr>
      </w:pPr>
      <w:r>
        <w:rPr>
          <w:rFonts w:hint="eastAsia" w:ascii="仿宋_GB2312" w:hAnsi="仿宋_GB2312" w:eastAsia="仿宋_GB2312" w:cs="仿宋_GB2312"/>
          <w:sz w:val="32"/>
          <w:szCs w:val="32"/>
          <w:lang w:val="en-US" w:eastAsia="zh-CN"/>
        </w:rPr>
        <w:t>指标3：开展技能培训次数，指标值：&gt;=7次，实际完成值：7次，指标完成率100%</w:t>
      </w:r>
      <w:r>
        <w:rPr>
          <w:rFonts w:hint="eastAsia" w:ascii="仿宋_GB2312" w:hAnsi="仿宋_GB2312" w:cs="仿宋_GB2312"/>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指标4：参与技能培训人数，指标值：&gt;=15人，实际完成值：15人，指标完成率100%</w:t>
      </w:r>
      <w:r>
        <w:rPr>
          <w:rFonts w:hint="eastAsia" w:ascii="仿宋_GB2312" w:hAnsi="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sz w:val="32"/>
          <w:szCs w:val="32"/>
          <w:lang w:val="en-US" w:eastAsia="zh-CN"/>
        </w:rPr>
      </w:pPr>
      <w:r>
        <w:rPr>
          <w:rFonts w:hint="eastAsia"/>
          <w:color w:val="auto"/>
          <w:sz w:val="32"/>
          <w:szCs w:val="32"/>
        </w:rPr>
        <w:t>指标1：</w:t>
      </w:r>
      <w:r>
        <w:rPr>
          <w:rFonts w:hint="eastAsia"/>
          <w:color w:val="auto"/>
          <w:sz w:val="32"/>
          <w:szCs w:val="32"/>
          <w:lang w:val="en-US" w:eastAsia="zh-CN"/>
        </w:rPr>
        <w:t>技能培训出勤率</w:t>
      </w:r>
      <w:r>
        <w:rPr>
          <w:rFonts w:hint="eastAsia"/>
          <w:color w:val="auto"/>
          <w:sz w:val="32"/>
          <w:szCs w:val="32"/>
        </w:rPr>
        <w:t>，指标值：</w:t>
      </w:r>
      <w:r>
        <w:rPr>
          <w:rFonts w:hint="eastAsia" w:ascii="仿宋_GB2312" w:hAnsi="仿宋_GB2312" w:eastAsia="仿宋_GB2312" w:cs="仿宋_GB2312"/>
          <w:sz w:val="32"/>
          <w:szCs w:val="32"/>
          <w:lang w:val="en-US" w:eastAsia="zh-CN"/>
        </w:rPr>
        <w:t>&gt;=</w:t>
      </w:r>
      <w:r>
        <w:rPr>
          <w:rFonts w:hint="eastAsia" w:ascii="仿宋_GB2312" w:hAnsi="仿宋_GB2312" w:cs="仿宋_GB2312"/>
          <w:sz w:val="32"/>
          <w:szCs w:val="32"/>
          <w:lang w:val="en-US"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val="en-US" w:eastAsia="zh-CN"/>
        </w:rPr>
        <w:t>偏差率：5.26%，</w:t>
      </w:r>
      <w:r>
        <w:rPr>
          <w:rFonts w:hint="eastAsia"/>
          <w:color w:val="auto"/>
          <w:sz w:val="32"/>
          <w:szCs w:val="32"/>
        </w:rPr>
        <w:t>偏差原因：</w:t>
      </w:r>
      <w:r>
        <w:rPr>
          <w:rFonts w:hint="eastAsia"/>
          <w:color w:val="auto"/>
          <w:sz w:val="32"/>
          <w:szCs w:val="32"/>
          <w:lang w:val="en-US" w:eastAsia="zh-CN"/>
        </w:rPr>
        <w:t>培训人员全员参加。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ascii="Times New Roman" w:hAnsi="Times New Roman" w:cs="Times New Roman"/>
          <w:color w:val="auto"/>
          <w:sz w:val="32"/>
          <w:szCs w:val="32"/>
        </w:rPr>
        <w:t>指标2：开展活动的参与率，指标值：</w:t>
      </w:r>
      <w:r>
        <w:rPr>
          <w:rFonts w:hint="eastAsia" w:ascii="Times New Roman" w:hAnsi="Times New Roman" w:cs="Times New Roman"/>
          <w:color w:val="auto"/>
          <w:sz w:val="32"/>
          <w:szCs w:val="32"/>
          <w:lang w:val="en-US" w:eastAsia="zh-CN"/>
        </w:rPr>
        <w:t>&gt;=95%</w:t>
      </w:r>
      <w:r>
        <w:rPr>
          <w:rFonts w:hint="eastAsia" w:ascii="Times New Roman" w:hAnsi="Times New Roman" w:cs="Times New Roman"/>
          <w:color w:val="auto"/>
          <w:sz w:val="32"/>
          <w:szCs w:val="32"/>
        </w:rPr>
        <w:t>，实际完成值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105.26</w:t>
      </w:r>
      <w:r>
        <w:rPr>
          <w:rFonts w:hint="eastAsia" w:ascii="Times New Roman" w:hAnsi="Times New Roman" w:cs="Times New Roman"/>
          <w:color w:val="auto"/>
          <w:sz w:val="32"/>
          <w:szCs w:val="32"/>
        </w:rPr>
        <w:t>%，</w:t>
      </w:r>
      <w:r>
        <w:rPr>
          <w:rFonts w:hint="eastAsia"/>
          <w:color w:val="auto"/>
          <w:sz w:val="32"/>
          <w:szCs w:val="32"/>
          <w:lang w:val="en-US" w:eastAsia="zh-CN"/>
        </w:rPr>
        <w:t>偏差率：5.26%，</w:t>
      </w:r>
      <w:r>
        <w:rPr>
          <w:rFonts w:hint="eastAsia" w:ascii="Times New Roman" w:hAnsi="Times New Roman" w:cs="Times New Roman"/>
          <w:color w:val="auto"/>
          <w:sz w:val="32"/>
          <w:szCs w:val="32"/>
        </w:rPr>
        <w:t>偏差原因：活动人员全员参加</w:t>
      </w:r>
      <w:r>
        <w:rPr>
          <w:rFonts w:hint="eastAsia" w:ascii="Times New Roman" w:hAnsi="Times New Roman" w:cs="Times New Roman"/>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val="en-US" w:eastAsia="zh-CN"/>
        </w:rPr>
      </w:pPr>
      <w:bookmarkStart w:id="14" w:name="_Toc68703841"/>
      <w:r>
        <w:rPr>
          <w:rFonts w:hint="eastAsia"/>
          <w:color w:val="auto"/>
          <w:sz w:val="32"/>
          <w:szCs w:val="32"/>
        </w:rPr>
        <w:t>指标1：</w:t>
      </w:r>
      <w:r>
        <w:rPr>
          <w:rFonts w:hint="eastAsia" w:ascii="Times New Roman" w:hAnsi="Times New Roman" w:cs="Times New Roman"/>
          <w:color w:val="auto"/>
          <w:sz w:val="32"/>
          <w:szCs w:val="32"/>
        </w:rPr>
        <w:t>活动按时开展率，指标值：</w:t>
      </w:r>
      <w:r>
        <w:rPr>
          <w:rFonts w:hint="eastAsia" w:ascii="Times New Roman" w:hAnsi="Times New Roman" w:cs="Times New Roman"/>
          <w:color w:val="auto"/>
          <w:sz w:val="32"/>
          <w:szCs w:val="32"/>
          <w:lang w:val="en-US" w:eastAsia="zh-CN"/>
        </w:rPr>
        <w:t>&gt;=95%</w:t>
      </w:r>
      <w:r>
        <w:rPr>
          <w:rFonts w:hint="eastAsia" w:ascii="Times New Roman" w:hAnsi="Times New Roman" w:cs="Times New Roman"/>
          <w:color w:val="auto"/>
          <w:sz w:val="32"/>
          <w:szCs w:val="32"/>
        </w:rPr>
        <w:t>，实际完成值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105.26</w:t>
      </w:r>
      <w:r>
        <w:rPr>
          <w:rFonts w:hint="eastAsia" w:ascii="Times New Roman" w:hAnsi="Times New Roman" w:cs="Times New Roman"/>
          <w:color w:val="auto"/>
          <w:sz w:val="32"/>
          <w:szCs w:val="32"/>
        </w:rPr>
        <w:t>%，</w:t>
      </w:r>
      <w:r>
        <w:rPr>
          <w:rFonts w:hint="eastAsia"/>
          <w:color w:val="auto"/>
          <w:sz w:val="32"/>
          <w:szCs w:val="32"/>
          <w:lang w:val="en-US" w:eastAsia="zh-CN"/>
        </w:rPr>
        <w:t>偏差率：5.26%，</w:t>
      </w:r>
      <w:r>
        <w:rPr>
          <w:rFonts w:hint="eastAsia" w:ascii="Times New Roman" w:hAnsi="Times New Roman" w:cs="Times New Roman"/>
          <w:color w:val="auto"/>
          <w:sz w:val="32"/>
          <w:szCs w:val="32"/>
        </w:rPr>
        <w:t>偏差原因：</w:t>
      </w:r>
      <w:r>
        <w:rPr>
          <w:rFonts w:hint="eastAsia" w:ascii="Times New Roman" w:hAnsi="Times New Roman" w:cs="Times New Roman"/>
          <w:color w:val="auto"/>
          <w:sz w:val="32"/>
          <w:szCs w:val="32"/>
          <w:lang w:val="en-US" w:eastAsia="zh-CN"/>
        </w:rPr>
        <w:t>活动已按时圆满完成。</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rPr>
        <w:t>指标2：培训按期举办率，指标值：</w:t>
      </w:r>
      <w:r>
        <w:rPr>
          <w:rFonts w:hint="eastAsia" w:ascii="Times New Roman" w:hAnsi="Times New Roman" w:cs="Times New Roman"/>
          <w:color w:val="auto"/>
          <w:sz w:val="32"/>
          <w:szCs w:val="32"/>
          <w:lang w:val="en-US" w:eastAsia="zh-CN"/>
        </w:rPr>
        <w:t>&gt;=95%</w:t>
      </w:r>
      <w:r>
        <w:rPr>
          <w:rFonts w:hint="eastAsia" w:ascii="Times New Roman" w:hAnsi="Times New Roman" w:cs="Times New Roman"/>
          <w:color w:val="auto"/>
          <w:sz w:val="32"/>
          <w:szCs w:val="32"/>
        </w:rPr>
        <w:t>，实际完成值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105.26</w:t>
      </w:r>
      <w:r>
        <w:rPr>
          <w:rFonts w:hint="eastAsia" w:ascii="Times New Roman" w:hAnsi="Times New Roman" w:cs="Times New Roman"/>
          <w:color w:val="auto"/>
          <w:sz w:val="32"/>
          <w:szCs w:val="32"/>
        </w:rPr>
        <w:t>%，</w:t>
      </w:r>
      <w:r>
        <w:rPr>
          <w:rFonts w:hint="eastAsia"/>
          <w:color w:val="auto"/>
          <w:sz w:val="32"/>
          <w:szCs w:val="32"/>
          <w:lang w:val="en-US" w:eastAsia="zh-CN"/>
        </w:rPr>
        <w:t>偏差率：5.26%，</w:t>
      </w:r>
      <w:r>
        <w:rPr>
          <w:rFonts w:hint="eastAsia" w:ascii="Times New Roman" w:hAnsi="Times New Roman" w:cs="Times New Roman"/>
          <w:color w:val="auto"/>
          <w:sz w:val="32"/>
          <w:szCs w:val="32"/>
        </w:rPr>
        <w:t>偏差原因：</w:t>
      </w:r>
      <w:r>
        <w:rPr>
          <w:rFonts w:hint="eastAsia" w:ascii="Times New Roman" w:hAnsi="Times New Roman" w:cs="Times New Roman"/>
          <w:color w:val="auto"/>
          <w:sz w:val="32"/>
          <w:szCs w:val="32"/>
          <w:lang w:val="en-US" w:eastAsia="zh-CN"/>
        </w:rPr>
        <w:t>活动已按时完成</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val="en-US" w:eastAsia="zh-CN"/>
        </w:rPr>
      </w:pPr>
      <w:r>
        <w:rPr>
          <w:rFonts w:hint="eastAsia" w:ascii="Times New Roman" w:hAnsi="Times New Roman" w:cs="Times New Roman"/>
          <w:color w:val="auto"/>
          <w:sz w:val="32"/>
          <w:szCs w:val="32"/>
        </w:rPr>
        <w:t>指标1：</w:t>
      </w:r>
      <w:r>
        <w:rPr>
          <w:rFonts w:hint="eastAsia" w:ascii="Times New Roman" w:hAnsi="Times New Roman" w:cs="Times New Roman"/>
          <w:color w:val="auto"/>
          <w:sz w:val="32"/>
          <w:szCs w:val="32"/>
          <w:lang w:val="en-US" w:eastAsia="zh-CN"/>
        </w:rPr>
        <w:t>社区运转经费</w:t>
      </w:r>
      <w:r>
        <w:rPr>
          <w:rFonts w:hint="eastAsia" w:ascii="Times New Roman" w:hAnsi="Times New Roman" w:cs="Times New Roman"/>
          <w:color w:val="auto"/>
          <w:sz w:val="32"/>
          <w:szCs w:val="32"/>
        </w:rPr>
        <w:t>，指标值：&lt;=20万元，实际完成值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20万元</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%，偏差原因：</w:t>
      </w:r>
      <w:r>
        <w:rPr>
          <w:rFonts w:hint="eastAsia" w:ascii="Times New Roman" w:hAnsi="Times New Roman" w:cs="Times New Roman"/>
          <w:color w:val="auto"/>
          <w:sz w:val="32"/>
          <w:szCs w:val="32"/>
          <w:lang w:val="en-US" w:eastAsia="zh-CN"/>
        </w:rPr>
        <w:t>活动已按时圆满完成。</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rPr>
        <w:t>指标2：</w:t>
      </w:r>
      <w:r>
        <w:rPr>
          <w:rFonts w:hint="eastAsia" w:ascii="Times New Roman" w:hAnsi="Times New Roman" w:cs="Times New Roman"/>
          <w:color w:val="auto"/>
          <w:sz w:val="32"/>
          <w:szCs w:val="32"/>
          <w:lang w:val="en-US" w:eastAsia="zh-CN"/>
        </w:rPr>
        <w:t>服务群众经费</w:t>
      </w:r>
      <w:r>
        <w:rPr>
          <w:rFonts w:hint="eastAsia" w:ascii="Times New Roman" w:hAnsi="Times New Roman" w:cs="Times New Roman"/>
          <w:color w:val="auto"/>
          <w:sz w:val="32"/>
          <w:szCs w:val="32"/>
        </w:rPr>
        <w:t>，指标值：&lt;=</w:t>
      </w:r>
      <w:r>
        <w:rPr>
          <w:rFonts w:hint="eastAsia" w:ascii="Times New Roman" w:hAnsi="Times New Roman" w:cs="Times New Roman"/>
          <w:color w:val="auto"/>
          <w:sz w:val="32"/>
          <w:szCs w:val="32"/>
          <w:lang w:val="en-US" w:eastAsia="zh-CN"/>
        </w:rPr>
        <w:t>15</w:t>
      </w:r>
      <w:r>
        <w:rPr>
          <w:rFonts w:hint="eastAsia" w:ascii="Times New Roman" w:hAnsi="Times New Roman" w:cs="Times New Roman"/>
          <w:color w:val="auto"/>
          <w:sz w:val="32"/>
          <w:szCs w:val="32"/>
        </w:rPr>
        <w:t>万元，实际完成值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15万元</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%，偏差原因：</w:t>
      </w:r>
      <w:r>
        <w:rPr>
          <w:rFonts w:hint="eastAsia" w:ascii="Times New Roman" w:hAnsi="Times New Roman" w:cs="Times New Roman"/>
          <w:color w:val="auto"/>
          <w:sz w:val="32"/>
          <w:szCs w:val="32"/>
          <w:lang w:val="en-US" w:eastAsia="zh-CN"/>
        </w:rPr>
        <w:t>活动已按时完成</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 xml:space="preserve"> </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个三级指标构成，权重分为20分，实际得分</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color w:val="auto"/>
          <w:sz w:val="32"/>
          <w:szCs w:val="32"/>
          <w:lang w:val="en-US" w:eastAsia="zh-CN"/>
        </w:rPr>
        <w:t>提供群众工作效益</w:t>
      </w:r>
      <w:r>
        <w:rPr>
          <w:rFonts w:hint="eastAsia"/>
          <w:color w:val="auto"/>
          <w:sz w:val="32"/>
          <w:szCs w:val="32"/>
        </w:rPr>
        <w:t>，指标值：</w:t>
      </w:r>
      <w:r>
        <w:rPr>
          <w:rFonts w:hint="eastAsia"/>
          <w:color w:val="auto"/>
          <w:sz w:val="32"/>
          <w:szCs w:val="32"/>
          <w:lang w:eastAsia="zh-CN"/>
        </w:rPr>
        <w:t>有效</w:t>
      </w:r>
      <w:r>
        <w:rPr>
          <w:rFonts w:hint="eastAsia"/>
          <w:color w:val="auto"/>
          <w:sz w:val="32"/>
          <w:szCs w:val="32"/>
          <w:lang w:val="en-US" w:eastAsia="zh-CN"/>
        </w:rPr>
        <w:t>提高</w:t>
      </w:r>
      <w:r>
        <w:rPr>
          <w:rFonts w:hint="eastAsia"/>
          <w:color w:val="auto"/>
          <w:sz w:val="32"/>
          <w:szCs w:val="32"/>
        </w:rPr>
        <w:t>，实际完成值</w:t>
      </w:r>
      <w:r>
        <w:rPr>
          <w:rFonts w:hint="eastAsia"/>
          <w:color w:val="auto"/>
          <w:sz w:val="32"/>
          <w:szCs w:val="32"/>
          <w:lang w:eastAsia="zh-CN"/>
        </w:rPr>
        <w:t>：有效</w:t>
      </w:r>
      <w:r>
        <w:rPr>
          <w:rFonts w:hint="eastAsia"/>
          <w:color w:val="auto"/>
          <w:sz w:val="32"/>
          <w:szCs w:val="32"/>
          <w:lang w:val="en-US" w:eastAsia="zh-CN"/>
        </w:rPr>
        <w:t>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val="en-US" w:eastAsia="zh-CN"/>
        </w:rPr>
        <w:t>参加活动人员满意度</w:t>
      </w:r>
      <w:r>
        <w:rPr>
          <w:rFonts w:hint="eastAsia"/>
          <w:color w:val="auto"/>
          <w:sz w:val="32"/>
          <w:szCs w:val="32"/>
        </w:rPr>
        <w:t>，指标值：</w:t>
      </w:r>
      <w:r>
        <w:rPr>
          <w:rFonts w:hint="eastAsia"/>
          <w:color w:val="auto"/>
          <w:sz w:val="32"/>
          <w:szCs w:val="32"/>
          <w:lang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w:t>
      </w:r>
      <w:r>
        <w:rPr>
          <w:rFonts w:hint="eastAsia"/>
          <w:color w:val="auto"/>
          <w:sz w:val="32"/>
          <w:szCs w:val="32"/>
        </w:rPr>
        <w:t>%</w:t>
      </w:r>
      <w:r>
        <w:rPr>
          <w:rFonts w:hint="eastAsia"/>
          <w:color w:val="auto"/>
          <w:sz w:val="32"/>
          <w:szCs w:val="32"/>
          <w:lang w:eastAsia="zh-CN"/>
        </w:rPr>
        <w:t>，</w:t>
      </w:r>
      <w:r>
        <w:rPr>
          <w:rFonts w:hint="eastAsia"/>
          <w:color w:val="auto"/>
          <w:sz w:val="32"/>
          <w:szCs w:val="32"/>
          <w:lang w:val="en-US" w:eastAsia="zh-CN"/>
        </w:rPr>
        <w:t>偏差率：5%，</w:t>
      </w:r>
      <w:r>
        <w:rPr>
          <w:rFonts w:hint="eastAsia" w:ascii="Times New Roman" w:hAnsi="Times New Roman" w:cs="Times New Roman"/>
          <w:color w:val="auto"/>
          <w:sz w:val="32"/>
          <w:szCs w:val="32"/>
        </w:rPr>
        <w:t>偏差原因：</w:t>
      </w:r>
      <w:r>
        <w:rPr>
          <w:rFonts w:hint="eastAsia"/>
          <w:color w:val="auto"/>
          <w:sz w:val="32"/>
          <w:szCs w:val="32"/>
          <w:lang w:val="en-US" w:eastAsia="zh-CN"/>
        </w:rPr>
        <w:t>参加活动人员较满意。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color w:val="auto"/>
          <w:sz w:val="32"/>
          <w:szCs w:val="32"/>
        </w:rPr>
        <w:t>指标2：</w:t>
      </w:r>
      <w:r>
        <w:rPr>
          <w:rFonts w:hint="eastAsia"/>
          <w:color w:val="auto"/>
          <w:sz w:val="32"/>
          <w:szCs w:val="32"/>
          <w:lang w:val="en-US" w:eastAsia="zh-CN"/>
        </w:rPr>
        <w:t>受益</w:t>
      </w:r>
      <w:r>
        <w:rPr>
          <w:rFonts w:hint="eastAsia"/>
          <w:color w:val="auto"/>
          <w:sz w:val="32"/>
          <w:szCs w:val="32"/>
          <w:lang w:eastAsia="zh-CN"/>
        </w:rPr>
        <w:t>干部满意度</w:t>
      </w:r>
      <w:r>
        <w:rPr>
          <w:rFonts w:hint="eastAsia"/>
          <w:color w:val="auto"/>
          <w:sz w:val="32"/>
          <w:szCs w:val="32"/>
        </w:rPr>
        <w:t>，指标值：</w:t>
      </w:r>
      <w:r>
        <w:rPr>
          <w:rFonts w:hint="eastAsia"/>
          <w:color w:val="auto"/>
          <w:sz w:val="32"/>
          <w:szCs w:val="32"/>
          <w:lang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lang w:val="en-US" w:eastAsia="zh-CN"/>
        </w:rPr>
        <w:t>元</w:t>
      </w:r>
      <w:r>
        <w:rPr>
          <w:rFonts w:hint="eastAsia"/>
          <w:color w:val="auto"/>
          <w:sz w:val="32"/>
          <w:szCs w:val="32"/>
        </w:rPr>
        <w:t>，指标完成率</w:t>
      </w:r>
      <w:r>
        <w:rPr>
          <w:rFonts w:hint="eastAsia"/>
          <w:color w:val="auto"/>
          <w:sz w:val="32"/>
          <w:szCs w:val="32"/>
          <w:lang w:val="en-US" w:eastAsia="zh-CN"/>
        </w:rPr>
        <w:t>105</w:t>
      </w:r>
      <w:r>
        <w:rPr>
          <w:rFonts w:hint="eastAsia"/>
          <w:color w:val="auto"/>
          <w:sz w:val="32"/>
          <w:szCs w:val="32"/>
        </w:rPr>
        <w:t>%</w:t>
      </w:r>
      <w:r>
        <w:rPr>
          <w:rFonts w:hint="eastAsia"/>
          <w:color w:val="auto"/>
          <w:sz w:val="32"/>
          <w:szCs w:val="32"/>
          <w:lang w:eastAsia="zh-CN"/>
        </w:rPr>
        <w:t>，</w:t>
      </w:r>
      <w:r>
        <w:rPr>
          <w:rFonts w:hint="eastAsia"/>
          <w:color w:val="auto"/>
          <w:sz w:val="32"/>
          <w:szCs w:val="32"/>
          <w:lang w:val="en-US" w:eastAsia="zh-CN"/>
        </w:rPr>
        <w:t>偏差率：5%，</w:t>
      </w:r>
      <w:r>
        <w:rPr>
          <w:rFonts w:hint="eastAsia" w:ascii="Times New Roman" w:hAnsi="Times New Roman" w:cs="Times New Roman"/>
          <w:color w:val="auto"/>
          <w:sz w:val="32"/>
          <w:szCs w:val="32"/>
        </w:rPr>
        <w:t>偏差原因：</w:t>
      </w:r>
      <w:r>
        <w:rPr>
          <w:rFonts w:hint="eastAsia"/>
          <w:color w:val="auto"/>
          <w:sz w:val="32"/>
          <w:szCs w:val="32"/>
          <w:lang w:val="en-US" w:eastAsia="zh-CN"/>
        </w:rPr>
        <w:t>受益</w:t>
      </w:r>
      <w:r>
        <w:rPr>
          <w:rFonts w:hint="eastAsia"/>
          <w:color w:val="auto"/>
          <w:sz w:val="32"/>
          <w:szCs w:val="32"/>
          <w:lang w:eastAsia="zh-CN"/>
        </w:rPr>
        <w:t>干部</w:t>
      </w:r>
      <w:r>
        <w:rPr>
          <w:rFonts w:hint="eastAsia"/>
          <w:color w:val="auto"/>
          <w:sz w:val="32"/>
          <w:szCs w:val="32"/>
          <w:lang w:val="en-US" w:eastAsia="zh-CN"/>
        </w:rPr>
        <w:t>较满意。</w:t>
      </w:r>
    </w:p>
    <w:p>
      <w:pPr>
        <w:spacing w:line="560" w:lineRule="exact"/>
        <w:rPr>
          <w:rFonts w:hint="eastAsia" w:ascii="Times New Roman" w:hAnsi="Times New Roman" w:eastAsia="黑体" w:cs="Times New Roman"/>
          <w:sz w:val="32"/>
          <w:szCs w:val="32"/>
          <w:highlight w:val="none"/>
          <w:lang w:eastAsia="zh-Hans"/>
        </w:rPr>
      </w:pPr>
      <w:r>
        <w:rPr>
          <w:rFonts w:hint="eastAsia" w:ascii="Times New Roman" w:hAnsi="Times New Roman" w:eastAsia="黑体" w:cs="Times New Roman"/>
          <w:sz w:val="32"/>
          <w:szCs w:val="32"/>
          <w:highlight w:val="none"/>
          <w:lang w:eastAsia="zh-Hans"/>
        </w:rPr>
        <w:t>五、预算执行进度与绩效指标总体完成率偏差</w:t>
      </w:r>
    </w:p>
    <w:p>
      <w:pPr>
        <w:spacing w:line="560" w:lineRule="exact"/>
        <w:ind w:firstLine="320" w:firstLineChars="100"/>
        <w:jc w:val="both"/>
      </w:pPr>
      <w:r>
        <w:rPr>
          <w:rFonts w:hint="eastAsia" w:ascii="Times New Roman" w:hAnsi="Times New Roman" w:cs="Times New Roman"/>
          <w:color w:val="auto"/>
          <w:sz w:val="32"/>
          <w:szCs w:val="32"/>
          <w:lang w:val="en-US" w:eastAsia="zh-CN"/>
        </w:rPr>
        <w:t>2023年卡拉苏社区运转支出及服务群众支出项目年初预算35万元，全年预算35万元，实际支出35万元，预算执行率为100%，项目绩效指标总体完成率为</w:t>
      </w:r>
      <w:r>
        <w:rPr>
          <w:rFonts w:hint="eastAsia" w:cs="Times New Roman"/>
          <w:color w:val="auto"/>
          <w:sz w:val="32"/>
          <w:szCs w:val="32"/>
          <w:lang w:val="en-US" w:eastAsia="zh-CN"/>
        </w:rPr>
        <w:t>100</w:t>
      </w:r>
      <w:r>
        <w:rPr>
          <w:rFonts w:hint="eastAsia" w:ascii="Times New Roman" w:hAnsi="Times New Roman" w:cs="Times New Roman"/>
          <w:color w:val="auto"/>
          <w:sz w:val="32"/>
          <w:szCs w:val="32"/>
          <w:lang w:val="en-US" w:eastAsia="zh-CN"/>
        </w:rPr>
        <w:t>%，</w:t>
      </w:r>
      <w:r>
        <w:rPr>
          <w:rFonts w:hint="eastAsia" w:ascii="Times New Roman" w:hAnsi="Times New Roman" w:cs="Times New Roman"/>
          <w:color w:val="auto"/>
          <w:sz w:val="32"/>
          <w:szCs w:val="32"/>
          <w:lang w:val="en-US" w:eastAsia="zh-Hans"/>
        </w:rPr>
        <w:t>总体</w:t>
      </w:r>
      <w:r>
        <w:rPr>
          <w:rFonts w:hint="eastAsia" w:ascii="Times New Roman" w:hAnsi="Times New Roman" w:cs="Times New Roman"/>
          <w:color w:val="auto"/>
          <w:sz w:val="32"/>
          <w:szCs w:val="32"/>
          <w:lang w:val="en-US" w:eastAsia="zh-CN"/>
        </w:rPr>
        <w:t>偏差率为0%</w:t>
      </w:r>
      <w:r>
        <w:rPr>
          <w:rFonts w:hint="eastAsia" w:cs="Times New Roman"/>
          <w:color w:val="auto"/>
          <w:sz w:val="32"/>
          <w:szCs w:val="32"/>
          <w:lang w:val="en-US" w:eastAsia="zh-CN"/>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eastAsia" w:ascii="Times New Roman" w:hAnsi="Times New Roman" w:eastAsia="仿宋_GB2312"/>
          <w:b w:val="0"/>
          <w:bCs w:val="0"/>
          <w:kern w:val="2"/>
        </w:rPr>
      </w:pPr>
      <w:r>
        <w:rPr>
          <w:rFonts w:hint="eastAsia" w:ascii="Times New Roman" w:hAnsi="Times New Roman" w:eastAsia="仿宋_GB2312"/>
          <w:b w:val="0"/>
          <w:bCs w:val="0"/>
          <w:kern w:val="2"/>
        </w:rPr>
        <w:t>社区服务群众工作围绕“加快建设服务型社区，提高社区服务群众的水平”目标，紧密结合自身实际，高标准开展了一系列群众受益、群众满意的活动，项目实施取得了较好经验及做法：</w:t>
      </w:r>
    </w:p>
    <w:p>
      <w:pPr>
        <w:pStyle w:val="2"/>
        <w:spacing w:before="0" w:after="0" w:line="560" w:lineRule="exact"/>
        <w:ind w:firstLine="640" w:firstLineChars="200"/>
        <w:jc w:val="left"/>
        <w:rPr>
          <w:rFonts w:hint="eastAsia" w:ascii="Times New Roman" w:hAnsi="Times New Roman" w:eastAsia="仿宋_GB2312"/>
          <w:b w:val="0"/>
          <w:bCs w:val="0"/>
          <w:kern w:val="2"/>
        </w:rPr>
      </w:pPr>
      <w:r>
        <w:rPr>
          <w:rFonts w:hint="eastAsia" w:ascii="Times New Roman" w:hAnsi="Times New Roman" w:eastAsia="仿宋_GB2312"/>
          <w:b w:val="0"/>
          <w:bCs w:val="0"/>
          <w:kern w:val="2"/>
        </w:rPr>
        <w:t>（一）履行基层党组织的政治使命，增进党与群众的血肉联系社区党组织从管理型向服务型转变，密切了党群联系；在群众中开展</w:t>
      </w:r>
      <w:r>
        <w:rPr>
          <w:rFonts w:hint="eastAsia" w:ascii="Times New Roman" w:hAnsi="Times New Roman" w:eastAsia="仿宋_GB2312"/>
          <w:b w:val="0"/>
          <w:bCs w:val="0"/>
          <w:kern w:val="2"/>
          <w:lang w:val="en-US" w:eastAsia="zh-CN"/>
        </w:rPr>
        <w:t>各类文艺活动10次</w:t>
      </w:r>
      <w:r>
        <w:rPr>
          <w:rFonts w:hint="eastAsia" w:ascii="Times New Roman" w:hAnsi="Times New Roman" w:eastAsia="仿宋_GB2312"/>
          <w:b w:val="0"/>
          <w:bCs w:val="0"/>
          <w:kern w:val="2"/>
        </w:rPr>
        <w:t>，强化了社区的政治功能，也让群众感受到党建文化的魅力，将党建文化融入人们的日常生活中。</w:t>
      </w:r>
    </w:p>
    <w:p>
      <w:pPr>
        <w:pStyle w:val="2"/>
        <w:spacing w:before="0" w:after="0" w:line="560" w:lineRule="exact"/>
        <w:ind w:firstLine="640" w:firstLineChars="200"/>
        <w:jc w:val="left"/>
      </w:pPr>
      <w:r>
        <w:rPr>
          <w:rFonts w:hint="eastAsia" w:ascii="Times New Roman" w:hAnsi="Times New Roman" w:eastAsia="仿宋_GB2312"/>
          <w:b w:val="0"/>
          <w:bCs w:val="0"/>
          <w:kern w:val="2"/>
        </w:rPr>
        <w:t>（二）共建和谐社区，提升居民幸福指数，自一月以来我街道积极提高居民生活质量，提升了群众的幸福感，</w:t>
      </w:r>
      <w:r>
        <w:rPr>
          <w:rFonts w:hint="eastAsia" w:ascii="Times New Roman" w:hAnsi="Times New Roman" w:eastAsia="仿宋_GB2312"/>
          <w:b w:val="0"/>
          <w:bCs w:val="0"/>
          <w:kern w:val="2"/>
          <w:lang w:val="en-US" w:eastAsia="zh-CN"/>
        </w:rPr>
        <w:t>辖区卫生环境也在持续改善</w:t>
      </w:r>
      <w:r>
        <w:rPr>
          <w:rFonts w:hint="eastAsia" w:ascii="Times New Roman" w:hAnsi="Times New Roman" w:eastAsia="仿宋_GB2312"/>
          <w:b w:val="0"/>
          <w:bCs w:val="0"/>
          <w:kern w:val="2"/>
        </w:rPr>
        <w:t>。</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2.资金使用范围不明确，直接导致社区干部在执行中束手束脚，限制了多种形式服务群众，造成服务群众活动的方式单一化，社区服务项目不够全面。</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sz w:val="22"/>
          <w:szCs w:val="28"/>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pPr>
    </w:p>
    <w:p/>
    <w:p/>
    <w:p>
      <w:pPr>
        <w:pStyle w:val="2"/>
        <w:jc w:val="both"/>
      </w:pPr>
    </w:p>
    <w:p/>
    <w:p>
      <w:pPr>
        <w:pStyle w:val="2"/>
      </w:pPr>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2023年卡拉苏社区运转支出及服务群众支出项目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35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35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90"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35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35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仿宋_GB2312"/>
                <w:lang w:val="en-US" w:eastAsia="zh-CN"/>
              </w:rPr>
            </w:pP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bookmarkStart w:id="22" w:name="_GoBack"/>
            <w:bookmarkEnd w:id="22"/>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仿宋_GB2312"/>
                <w:lang w:val="en-US" w:eastAsia="zh-CN"/>
              </w:rPr>
            </w:pP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44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 xml:space="preserve">根据《关于聚焦社会稳定和长治久安总目标加强自治州城市基层党建工作的实施意见》文件要求，                                                                     目标1：通过开展卡拉苏街道服务群众工作、做好辖区内常住和流动人口的管理工作。                                </w:t>
            </w:r>
          </w:p>
          <w:p>
            <w:pPr>
              <w:jc w:val="left"/>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 xml:space="preserve">目标2：保障卡拉苏街道办事处所属社区的正常运转，发挥社区的职能作用。                                       </w:t>
            </w:r>
          </w:p>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目标3：开展活动、技能培训班等，提高辖区社区为人民群众服务的工作质量和效率，让群众了解社区、提高群众满意度。</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为进一步推进预算绩效管理工作，提高预算资金使用效益，对社区生活环境进行治理，改善居民生活环境、提高居民生活质量，进一步加强基层干部队伍建设，以及保障社区管理和基层党组织管理工作正常运行发挥了重要作用。卡拉苏街道2023年开展民族团结活动、计划生育活动、慰问困难群众活动，就业培训、爱心妈妈服务队、俄语培训班、红歌、六一儿童节、端午节活动、红色故事会、春节活动等，本辖区基层建设社区管理支出经费项目进行预算申报，我街道基层组织经费项目包括社区运转经费、社区服务群众经费两项工作经费共计35万元</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开展各项文艺活动次数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&gt;=10次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参与文艺活动人数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&gt;=20人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20人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开展技能培训次数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&gt;=7次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7次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参与技能培训人数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&gt;=15人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15人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技能培训出勤率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培训人员全员参加</w:t>
            </w: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开展活动的参与率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b w:val="0"/>
                <w:bCs w:val="0"/>
                <w:kern w:val="0"/>
                <w:sz w:val="18"/>
                <w:szCs w:val="18"/>
                <w:lang w:val="en-US" w:eastAsia="zh-CN" w:bidi="ar"/>
              </w:rPr>
            </w:pPr>
            <w:r>
              <w:rPr>
                <w:rFonts w:hint="eastAsia" w:eastAsia="宋体" w:cs="Times New Roman"/>
                <w:b w:val="0"/>
                <w:bCs w:val="0"/>
                <w:kern w:val="0"/>
                <w:sz w:val="18"/>
                <w:szCs w:val="18"/>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活动人员全员参加</w:t>
            </w: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活动按时开展率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活动已按时圆满完成</w:t>
            </w: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Times New Roman" w:hAnsi="Times New Roman" w:eastAsia="宋体" w:cs="Times New Roman"/>
                <w:kern w:val="0"/>
                <w:sz w:val="18"/>
                <w:szCs w:val="18"/>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培训按期举办率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活动已按时完成</w:t>
            </w: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社区运转经费数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&lt;=20万元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20万元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服务群众经费数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&lt;=</w:t>
            </w:r>
            <w:r>
              <w:rPr>
                <w:rFonts w:hint="eastAsia" w:eastAsia="宋体" w:cs="Times New Roman"/>
                <w:kern w:val="0"/>
                <w:sz w:val="18"/>
                <w:szCs w:val="18"/>
                <w:lang w:val="en-US" w:eastAsia="zh-CN" w:bidi="ar"/>
              </w:rPr>
              <w:t>15</w:t>
            </w:r>
            <w:r>
              <w:rPr>
                <w:rFonts w:hint="eastAsia" w:ascii="Times New Roman" w:hAnsi="Times New Roman" w:eastAsia="宋体" w:cs="Times New Roman"/>
                <w:kern w:val="0"/>
                <w:sz w:val="18"/>
                <w:szCs w:val="18"/>
                <w:lang w:bidi="ar"/>
              </w:rPr>
              <w:t>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eastAsia="宋体" w:cs="Times New Roman"/>
                <w:kern w:val="0"/>
                <w:sz w:val="18"/>
                <w:szCs w:val="18"/>
                <w:lang w:val="en-US" w:eastAsia="zh-CN" w:bidi="ar"/>
              </w:rPr>
              <w:t>15</w:t>
            </w:r>
            <w:r>
              <w:rPr>
                <w:rFonts w:hint="eastAsia" w:ascii="Times New Roman" w:hAnsi="Times New Roman" w:eastAsia="宋体" w:cs="Times New Roman"/>
                <w:kern w:val="0"/>
                <w:sz w:val="18"/>
                <w:szCs w:val="18"/>
                <w:lang w:bidi="ar"/>
              </w:rPr>
              <w:t>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r>
              <w:rPr>
                <w:rFonts w:hint="eastAsia" w:ascii="宋体" w:hAnsi="宋体" w:eastAsia="宋体" w:cs="宋体"/>
                <w:i w:val="0"/>
                <w:color w:val="000000"/>
                <w:kern w:val="0"/>
                <w:sz w:val="20"/>
                <w:szCs w:val="20"/>
                <w:u w:val="none"/>
                <w:lang w:val="en-US" w:eastAsia="zh-CN" w:bidi="ar"/>
              </w:rPr>
              <w:t>提高服务群众工作效率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有效提高</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bidi="ar"/>
              </w:rPr>
              <w:t>有效提</w:t>
            </w:r>
            <w:r>
              <w:rPr>
                <w:rFonts w:hint="eastAsia" w:ascii="Times New Roman" w:hAnsi="Times New Roman" w:eastAsia="宋体" w:cs="Times New Roman"/>
                <w:kern w:val="0"/>
                <w:sz w:val="18"/>
                <w:szCs w:val="18"/>
                <w:lang w:val="en-US" w:eastAsia="zh-CN" w:bidi="ar"/>
              </w:rPr>
              <w:t>升</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r>
              <w:rPr>
                <w:rFonts w:hint="eastAsia" w:ascii="宋体" w:hAnsi="宋体" w:eastAsia="宋体" w:cs="宋体"/>
                <w:i w:val="0"/>
                <w:color w:val="000000"/>
                <w:kern w:val="0"/>
                <w:sz w:val="20"/>
                <w:szCs w:val="20"/>
                <w:u w:val="none"/>
                <w:lang w:val="en-US" w:eastAsia="zh-CN" w:bidi="ar"/>
              </w:rPr>
              <w:t>参加活动人员满意度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参加活动人员较满意</w:t>
            </w: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r>
              <w:rPr>
                <w:rFonts w:hint="eastAsia" w:ascii="宋体" w:hAnsi="宋体" w:eastAsia="宋体" w:cs="宋体"/>
                <w:i w:val="0"/>
                <w:color w:val="000000"/>
                <w:kern w:val="0"/>
                <w:sz w:val="20"/>
                <w:szCs w:val="20"/>
                <w:u w:val="none"/>
                <w:lang w:val="en-US" w:eastAsia="zh-CN" w:bidi="ar"/>
              </w:rPr>
              <w:t>受益干部满意度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受益干部较满意</w:t>
            </w: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spacing w:line="560" w:lineRule="exact"/>
        <w:ind w:firstLine="281" w:firstLineChars="100"/>
        <w:jc w:val="both"/>
        <w:rPr>
          <w:sz w:val="28"/>
          <w:szCs w:val="40"/>
        </w:rPr>
      </w:pPr>
      <w:bookmarkStart w:id="20" w:name="_Toc26499_WPSOffice_Level2"/>
      <w:bookmarkStart w:id="21" w:name="_Toc30064_WPSOffice_Level1"/>
      <w:r>
        <w:rPr>
          <w:rFonts w:hint="eastAsia" w:ascii="Times New Roman" w:hAnsi="Times New Roman" w:eastAsia="仿宋_GB2312" w:cs="Times New Roman"/>
          <w:b/>
          <w:bCs/>
          <w:kern w:val="0"/>
          <w:sz w:val="28"/>
          <w:szCs w:val="40"/>
          <w:lang w:val="en-US" w:eastAsia="zh-CN" w:bidi="ar-SA"/>
        </w:rPr>
        <w:t>2023年卡拉苏社区运转支出及服务群众支出项目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cs="Times New Roman"/>
                <w:b/>
                <w:bCs/>
                <w:color w:val="000000"/>
                <w:kern w:val="0"/>
                <w:sz w:val="22"/>
                <w:szCs w:val="22"/>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17433"/>
    <w:multiLevelType w:val="singleLevel"/>
    <w:tmpl w:val="427174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MjI0NGZlMGY4OGVkMWM1ZjEzZjcxNGU1OWU5MjUifQ=="/>
  </w:docVars>
  <w:rsids>
    <w:rsidRoot w:val="007D49C5"/>
    <w:rsid w:val="000D63FA"/>
    <w:rsid w:val="003F23CE"/>
    <w:rsid w:val="005B64E8"/>
    <w:rsid w:val="00614288"/>
    <w:rsid w:val="00670592"/>
    <w:rsid w:val="00792CFE"/>
    <w:rsid w:val="007D49C5"/>
    <w:rsid w:val="008175E0"/>
    <w:rsid w:val="008C631D"/>
    <w:rsid w:val="00A114ED"/>
    <w:rsid w:val="00B24331"/>
    <w:rsid w:val="01583141"/>
    <w:rsid w:val="019B34AA"/>
    <w:rsid w:val="020016FD"/>
    <w:rsid w:val="03321F7E"/>
    <w:rsid w:val="03F86B1C"/>
    <w:rsid w:val="050E411D"/>
    <w:rsid w:val="05253FFE"/>
    <w:rsid w:val="058F525E"/>
    <w:rsid w:val="08C13B04"/>
    <w:rsid w:val="08E27D9B"/>
    <w:rsid w:val="09273D2D"/>
    <w:rsid w:val="0A707149"/>
    <w:rsid w:val="0AC260D6"/>
    <w:rsid w:val="0B46289C"/>
    <w:rsid w:val="0BA7702C"/>
    <w:rsid w:val="0C00224F"/>
    <w:rsid w:val="0C7B2615"/>
    <w:rsid w:val="0DB51DBD"/>
    <w:rsid w:val="0F2A6BF7"/>
    <w:rsid w:val="0F9811B3"/>
    <w:rsid w:val="109627EE"/>
    <w:rsid w:val="11491D43"/>
    <w:rsid w:val="12347AED"/>
    <w:rsid w:val="13707BEB"/>
    <w:rsid w:val="14F33AD1"/>
    <w:rsid w:val="15510782"/>
    <w:rsid w:val="16A14DF1"/>
    <w:rsid w:val="17136327"/>
    <w:rsid w:val="174A5489"/>
    <w:rsid w:val="181871E2"/>
    <w:rsid w:val="19166846"/>
    <w:rsid w:val="19C52A13"/>
    <w:rsid w:val="1A071B90"/>
    <w:rsid w:val="1A0807B9"/>
    <w:rsid w:val="1C414647"/>
    <w:rsid w:val="1D185989"/>
    <w:rsid w:val="1E9B0CC0"/>
    <w:rsid w:val="1ED57D2E"/>
    <w:rsid w:val="1EE51667"/>
    <w:rsid w:val="1F23019F"/>
    <w:rsid w:val="20E92B23"/>
    <w:rsid w:val="21055681"/>
    <w:rsid w:val="22973BF6"/>
    <w:rsid w:val="22AC2218"/>
    <w:rsid w:val="232F1757"/>
    <w:rsid w:val="23564752"/>
    <w:rsid w:val="243C084F"/>
    <w:rsid w:val="26865DB2"/>
    <w:rsid w:val="26B800E3"/>
    <w:rsid w:val="26CB38A2"/>
    <w:rsid w:val="2729052F"/>
    <w:rsid w:val="27D23622"/>
    <w:rsid w:val="28C14634"/>
    <w:rsid w:val="29BA649E"/>
    <w:rsid w:val="2A5F322C"/>
    <w:rsid w:val="2A636B36"/>
    <w:rsid w:val="2AD64618"/>
    <w:rsid w:val="2AFF34EC"/>
    <w:rsid w:val="2CBF3900"/>
    <w:rsid w:val="2D4A7B39"/>
    <w:rsid w:val="2D7050C6"/>
    <w:rsid w:val="2E345F50"/>
    <w:rsid w:val="2EC724D4"/>
    <w:rsid w:val="2EE30257"/>
    <w:rsid w:val="2FCC6F2B"/>
    <w:rsid w:val="30CB573B"/>
    <w:rsid w:val="3186310A"/>
    <w:rsid w:val="31EC5663"/>
    <w:rsid w:val="329F0927"/>
    <w:rsid w:val="332727BB"/>
    <w:rsid w:val="33861883"/>
    <w:rsid w:val="33BB353F"/>
    <w:rsid w:val="34543E4D"/>
    <w:rsid w:val="34607C42"/>
    <w:rsid w:val="34DA27CE"/>
    <w:rsid w:val="34DF68E7"/>
    <w:rsid w:val="358E6A31"/>
    <w:rsid w:val="35B77D36"/>
    <w:rsid w:val="36411DC5"/>
    <w:rsid w:val="36A53B2F"/>
    <w:rsid w:val="36AA1648"/>
    <w:rsid w:val="36B72533"/>
    <w:rsid w:val="38543F62"/>
    <w:rsid w:val="38BD7550"/>
    <w:rsid w:val="39355B41"/>
    <w:rsid w:val="3A6C175A"/>
    <w:rsid w:val="3ADC728C"/>
    <w:rsid w:val="3B286FE0"/>
    <w:rsid w:val="3CD02756"/>
    <w:rsid w:val="3ED100BA"/>
    <w:rsid w:val="3F29769F"/>
    <w:rsid w:val="3F666DF4"/>
    <w:rsid w:val="4057649F"/>
    <w:rsid w:val="407231D7"/>
    <w:rsid w:val="410F6C78"/>
    <w:rsid w:val="42FE6FA4"/>
    <w:rsid w:val="43891ECF"/>
    <w:rsid w:val="450B6AE4"/>
    <w:rsid w:val="46821C9A"/>
    <w:rsid w:val="47722746"/>
    <w:rsid w:val="47A479CC"/>
    <w:rsid w:val="47C63E08"/>
    <w:rsid w:val="484C255F"/>
    <w:rsid w:val="49492F43"/>
    <w:rsid w:val="4A26737E"/>
    <w:rsid w:val="4D84279B"/>
    <w:rsid w:val="4F041DE6"/>
    <w:rsid w:val="50597F0F"/>
    <w:rsid w:val="51C22341"/>
    <w:rsid w:val="51D3611A"/>
    <w:rsid w:val="52873552"/>
    <w:rsid w:val="529E1C09"/>
    <w:rsid w:val="52B358B3"/>
    <w:rsid w:val="54873A1A"/>
    <w:rsid w:val="54AB353D"/>
    <w:rsid w:val="558A0B6B"/>
    <w:rsid w:val="56796849"/>
    <w:rsid w:val="568F383B"/>
    <w:rsid w:val="56925F29"/>
    <w:rsid w:val="57504087"/>
    <w:rsid w:val="57CD4D3F"/>
    <w:rsid w:val="58683912"/>
    <w:rsid w:val="58D345D7"/>
    <w:rsid w:val="5A14189A"/>
    <w:rsid w:val="5BCE2125"/>
    <w:rsid w:val="5BF60D08"/>
    <w:rsid w:val="5D555EEF"/>
    <w:rsid w:val="5D5A3CE7"/>
    <w:rsid w:val="5DA95371"/>
    <w:rsid w:val="5E2E29DB"/>
    <w:rsid w:val="5F555F85"/>
    <w:rsid w:val="5FA56CCD"/>
    <w:rsid w:val="60966616"/>
    <w:rsid w:val="61E16D6F"/>
    <w:rsid w:val="62EC6305"/>
    <w:rsid w:val="63CF256B"/>
    <w:rsid w:val="63E457AC"/>
    <w:rsid w:val="646627A3"/>
    <w:rsid w:val="65273CE0"/>
    <w:rsid w:val="665015E2"/>
    <w:rsid w:val="66DB1226"/>
    <w:rsid w:val="6754505C"/>
    <w:rsid w:val="676D64AD"/>
    <w:rsid w:val="686F7714"/>
    <w:rsid w:val="68E331BF"/>
    <w:rsid w:val="6A862BA8"/>
    <w:rsid w:val="6D944309"/>
    <w:rsid w:val="6DD13495"/>
    <w:rsid w:val="6DFC1C65"/>
    <w:rsid w:val="6E331948"/>
    <w:rsid w:val="6E57295E"/>
    <w:rsid w:val="6E736112"/>
    <w:rsid w:val="6E7D5E6B"/>
    <w:rsid w:val="6EBC193D"/>
    <w:rsid w:val="70457831"/>
    <w:rsid w:val="71752DEB"/>
    <w:rsid w:val="744007B9"/>
    <w:rsid w:val="74793E2D"/>
    <w:rsid w:val="75581C94"/>
    <w:rsid w:val="75FA041F"/>
    <w:rsid w:val="760F49BD"/>
    <w:rsid w:val="7625601A"/>
    <w:rsid w:val="76297DE2"/>
    <w:rsid w:val="76E870A0"/>
    <w:rsid w:val="76F75A14"/>
    <w:rsid w:val="7750356B"/>
    <w:rsid w:val="77B300AC"/>
    <w:rsid w:val="78A61B46"/>
    <w:rsid w:val="790A7749"/>
    <w:rsid w:val="79DC0585"/>
    <w:rsid w:val="79E76E77"/>
    <w:rsid w:val="7A1C2867"/>
    <w:rsid w:val="7AE40DD7"/>
    <w:rsid w:val="7D464C0F"/>
    <w:rsid w:val="7DF40524"/>
    <w:rsid w:val="7EE30820"/>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2024-06-12T03:10:43Z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