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lang w:val="en-US" w:eastAsia="zh-CN"/>
        </w:rPr>
        <w:t>社区运转及服务群众</w:t>
      </w:r>
      <w:r>
        <w:rPr>
          <w:rFonts w:eastAsia="方正小标宋_GBK"/>
          <w:kern w:val="0"/>
          <w:sz w:val="48"/>
          <w:szCs w:val="48"/>
        </w:rPr>
        <w:t>资金项目支出</w:t>
      </w:r>
    </w:p>
    <w:p>
      <w:pPr>
        <w:spacing w:line="540" w:lineRule="exact"/>
        <w:jc w:val="center"/>
        <w:rPr>
          <w:rFonts w:eastAsia="方正小标宋_GBK"/>
          <w:kern w:val="0"/>
          <w:sz w:val="48"/>
          <w:szCs w:val="48"/>
        </w:rPr>
      </w:pPr>
      <w:r>
        <w:rPr>
          <w:rFonts w:eastAsia="方正小标宋_GBK"/>
          <w:kern w:val="0"/>
          <w:sz w:val="48"/>
          <w:szCs w:val="48"/>
        </w:rPr>
        <w:t>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eastAsia="zh-CN"/>
        </w:rPr>
        <w:t>：</w:t>
      </w:r>
      <w:r>
        <w:rPr>
          <w:rFonts w:hint="eastAsia" w:ascii="宋体" w:hAnsi="宋体" w:eastAsia="宋体" w:cs="仿宋_GB2312"/>
          <w:b/>
          <w:bCs/>
          <w:color w:val="000000"/>
          <w:kern w:val="0"/>
          <w:sz w:val="32"/>
          <w:szCs w:val="32"/>
          <w:lang w:val="en-US" w:eastAsia="zh-CN"/>
        </w:rPr>
        <w:t>2023年</w:t>
      </w:r>
      <w:r>
        <w:rPr>
          <w:rFonts w:hint="eastAsia" w:ascii="宋体" w:hAnsi="宋体" w:eastAsia="宋体" w:cs="仿宋_GB2312"/>
          <w:b/>
          <w:bCs/>
          <w:color w:val="000000"/>
          <w:kern w:val="0"/>
          <w:sz w:val="32"/>
          <w:szCs w:val="32"/>
          <w:lang w:eastAsia="zh-CN"/>
        </w:rPr>
        <w:t>社区运转及服务群众支出项目</w:t>
      </w:r>
    </w:p>
    <w:p>
      <w:pPr>
        <w:spacing w:line="560" w:lineRule="exact"/>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霍尔果斯市亚欧西路街道办事处</w:t>
      </w:r>
    </w:p>
    <w:p>
      <w:pPr>
        <w:spacing w:line="560" w:lineRule="exact"/>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市人民政府</w:t>
      </w:r>
    </w:p>
    <w:p>
      <w:pPr>
        <w:spacing w:line="560" w:lineRule="exact"/>
        <w:ind w:firstLine="321" w:firstLineChars="100"/>
        <w:jc w:val="both"/>
        <w:rPr>
          <w:rFonts w:hint="eastAsia" w:ascii="宋体" w:hAnsi="宋体" w:eastAsia="宋体" w:cs="仿宋_GB2312"/>
          <w:b/>
          <w:bCs/>
          <w:color w:val="000000"/>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王雪</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15</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spacing w:line="560" w:lineRule="exact"/>
        <w:ind w:firstLine="640" w:firstLineChars="200"/>
        <w:rPr>
          <w:rFonts w:eastAsia="仿宋_GB2312"/>
          <w:sz w:val="32"/>
          <w:szCs w:val="32"/>
        </w:rPr>
      </w:pPr>
      <w:r>
        <w:rPr>
          <w:rFonts w:hint="eastAsia" w:eastAsia="仿宋_GB2312"/>
          <w:sz w:val="32"/>
          <w:szCs w:val="32"/>
        </w:rPr>
        <w:t>本项目依据《</w:t>
      </w:r>
      <w:r>
        <w:rPr>
          <w:rFonts w:hint="eastAsia"/>
          <w:sz w:val="32"/>
          <w:szCs w:val="32"/>
          <w:lang w:val="en-US" w:eastAsia="zh-CN"/>
        </w:rPr>
        <w:t>自治区党委 自治区人民政府关于进一步规范和加强社区工作的意见</w:t>
      </w:r>
      <w:r>
        <w:rPr>
          <w:rFonts w:hint="eastAsia" w:eastAsia="仿宋_GB2312"/>
          <w:sz w:val="32"/>
          <w:szCs w:val="32"/>
        </w:rPr>
        <w:t>》</w:t>
      </w:r>
      <w:r>
        <w:rPr>
          <w:rFonts w:hint="eastAsia"/>
          <w:sz w:val="32"/>
          <w:szCs w:val="32"/>
          <w:lang w:val="en-US" w:eastAsia="zh-CN"/>
        </w:rPr>
        <w:t>新党发〔2015〕11号文件要求</w:t>
      </w:r>
      <w:r>
        <w:rPr>
          <w:rFonts w:hint="eastAsia" w:eastAsia="仿宋_GB2312"/>
          <w:sz w:val="32"/>
          <w:szCs w:val="32"/>
        </w:rPr>
        <w:t>，</w:t>
      </w:r>
      <w:r>
        <w:rPr>
          <w:rFonts w:hint="eastAsia"/>
          <w:sz w:val="32"/>
          <w:szCs w:val="32"/>
          <w:lang w:val="en-US" w:eastAsia="zh-CN"/>
        </w:rPr>
        <w:t>不断深入基层治理，提升社区公共服务水平，打牢社会稳定和长治久安的基础，就进一步规范和加强社区工作提出建议。</w:t>
      </w:r>
      <w:r>
        <w:rPr>
          <w:rFonts w:hint="eastAsia" w:eastAsia="仿宋_GB2312"/>
          <w:sz w:val="32"/>
          <w:szCs w:val="32"/>
        </w:rPr>
        <w:t>结合</w:t>
      </w:r>
      <w:r>
        <w:rPr>
          <w:rFonts w:hint="eastAsia"/>
          <w:sz w:val="32"/>
          <w:szCs w:val="32"/>
          <w:lang w:val="en-US" w:eastAsia="zh-CN"/>
        </w:rPr>
        <w:t>本</w:t>
      </w:r>
      <w:r>
        <w:rPr>
          <w:rFonts w:hint="eastAsia" w:eastAsia="仿宋_GB2312"/>
          <w:sz w:val="32"/>
          <w:szCs w:val="32"/>
        </w:rPr>
        <w:t>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w:t>
      </w:r>
      <w:r>
        <w:rPr>
          <w:rFonts w:hint="eastAsia" w:eastAsia="仿宋_GB2312"/>
          <w:sz w:val="32"/>
          <w:szCs w:val="32"/>
          <w:lang w:eastAsia="zh-CN"/>
        </w:rPr>
        <w:t>：</w:t>
      </w:r>
      <w:r>
        <w:rPr>
          <w:rFonts w:hint="eastAsia" w:eastAsia="仿宋_GB2312"/>
          <w:sz w:val="32"/>
          <w:szCs w:val="32"/>
        </w:rPr>
        <w:t>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olor w:val="FF0000"/>
          <w:sz w:val="32"/>
          <w:szCs w:val="32"/>
          <w:lang w:val="en-US" w:eastAsia="zh-CN"/>
        </w:rPr>
      </w:pPr>
      <w:r>
        <w:rPr>
          <w:rFonts w:hint="eastAsia" w:ascii="仿宋_GB2312"/>
          <w:sz w:val="32"/>
          <w:szCs w:val="32"/>
        </w:rPr>
        <w:t>主要内容：</w:t>
      </w:r>
      <w:r>
        <w:rPr>
          <w:rFonts w:hint="eastAsia" w:ascii="仿宋_GB2312"/>
          <w:color w:val="000000" w:themeColor="text1"/>
          <w:sz w:val="32"/>
          <w:szCs w:val="32"/>
          <w:lang w:val="en-US" w:eastAsia="zh-CN"/>
          <w14:textFill>
            <w14:solidFill>
              <w14:schemeClr w14:val="tx1"/>
            </w14:solidFill>
          </w14:textFill>
        </w:rPr>
        <w:t>霍尔果斯市亚欧西路街道运转及服务群众经费为保障街道社区日常工作开展，同时开展为民服务、环境整治、治安防控、矛盾化解等相关业务，该项目的实施能够满足居民生产生活、文体活动，党员群众团队的建设、教育培训、组织开展宣传教育活动、对群众的关心关爱等相关支出，对本辖区经济发展、居民安居乐业带来了深远影响。</w:t>
      </w:r>
    </w:p>
    <w:p>
      <w:pPr>
        <w:spacing w:line="560" w:lineRule="exact"/>
        <w:ind w:firstLine="640" w:firstLineChars="200"/>
        <w:rPr>
          <w:rFonts w:hint="eastAsia" w:ascii="仿宋_GB2312"/>
          <w:sz w:val="32"/>
          <w:szCs w:val="32"/>
          <w:lang w:val="en-US" w:eastAsia="zh-CN"/>
        </w:rPr>
      </w:pPr>
      <w:r>
        <w:rPr>
          <w:rFonts w:hint="eastAsia" w:ascii="仿宋_GB2312"/>
          <w:sz w:val="32"/>
          <w:szCs w:val="32"/>
        </w:rPr>
        <w:t>实施情况：</w:t>
      </w:r>
      <w:r>
        <w:rPr>
          <w:rFonts w:hint="eastAsia" w:ascii="仿宋_GB2312"/>
          <w:sz w:val="32"/>
          <w:szCs w:val="32"/>
          <w:lang w:val="en-US" w:eastAsia="zh-CN"/>
        </w:rPr>
        <w:t>亚欧西路街道2023年开展老年康养活动、民族团结活动、计划生育活动、慰问困难群众活动，插花培训、就业培训、礼仪培训、爱心妈妈服务队、俄语培训班、糕点师培训班、八一建军节、七一红歌、六一儿童节、端午节活动、红色故事会、春节活动、教师节活动等，本辖区基层建设社区管理支出经费项目进行预算申报，我街道基层组织经费项目包括社区运转经费、社区服务群众经费两项工作经费共计35万元。</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color w:val="auto"/>
          <w:sz w:val="32"/>
          <w:szCs w:val="32"/>
        </w:rPr>
      </w:pPr>
      <w:r>
        <w:rPr>
          <w:rFonts w:hint="eastAsia"/>
          <w:sz w:val="32"/>
          <w:szCs w:val="32"/>
        </w:rPr>
        <w:t>资金投入情况：</w:t>
      </w:r>
      <w:r>
        <w:rPr>
          <w:rFonts w:hint="eastAsia"/>
          <w:color w:val="auto"/>
          <w:sz w:val="32"/>
          <w:szCs w:val="32"/>
        </w:rPr>
        <w:t>该项目年初预算</w:t>
      </w:r>
      <w:r>
        <w:rPr>
          <w:rFonts w:hint="eastAsia" w:ascii="Times New Roman" w:hAnsi="Times New Roman" w:cs="Times New Roman"/>
          <w:color w:val="auto"/>
          <w:sz w:val="32"/>
          <w:szCs w:val="32"/>
        </w:rPr>
        <w:t>数</w:t>
      </w:r>
      <w:r>
        <w:rPr>
          <w:rFonts w:hint="eastAsia" w:ascii="Times New Roman" w:hAnsi="Times New Roman" w:cs="Times New Roman"/>
          <w:color w:val="auto"/>
          <w:sz w:val="32"/>
          <w:szCs w:val="32"/>
          <w:lang w:val="en-US" w:eastAsia="zh-CN"/>
        </w:rPr>
        <w:t>35</w:t>
      </w:r>
      <w:r>
        <w:rPr>
          <w:rFonts w:hint="eastAsia" w:ascii="Times New Roman" w:hAnsi="Times New Roman" w:cs="Times New Roman"/>
          <w:color w:val="auto"/>
          <w:sz w:val="32"/>
          <w:szCs w:val="32"/>
        </w:rPr>
        <w:t>万元，全年预算数</w:t>
      </w:r>
      <w:r>
        <w:rPr>
          <w:rFonts w:hint="eastAsia" w:ascii="Times New Roman" w:hAnsi="Times New Roman" w:cs="Times New Roman"/>
          <w:color w:val="auto"/>
          <w:sz w:val="32"/>
          <w:szCs w:val="32"/>
          <w:lang w:val="en-US" w:eastAsia="zh-CN"/>
        </w:rPr>
        <w:t>35</w:t>
      </w:r>
      <w:r>
        <w:rPr>
          <w:rFonts w:hint="eastAsia" w:ascii="Times New Roman" w:hAnsi="Times New Roman" w:cs="Times New Roman"/>
          <w:color w:val="auto"/>
          <w:sz w:val="32"/>
          <w:szCs w:val="32"/>
        </w:rPr>
        <w:t>万元，实际总投入</w:t>
      </w:r>
      <w:r>
        <w:rPr>
          <w:rFonts w:hint="eastAsia" w:ascii="Times New Roman" w:hAnsi="Times New Roman" w:cs="Times New Roman"/>
          <w:color w:val="auto"/>
          <w:sz w:val="32"/>
          <w:szCs w:val="32"/>
          <w:lang w:val="en-US" w:eastAsia="zh-CN"/>
        </w:rPr>
        <w:t>35</w:t>
      </w:r>
      <w:r>
        <w:rPr>
          <w:rFonts w:hint="eastAsia" w:ascii="Times New Roman" w:hAnsi="Times New Roman" w:cs="Times New Roman"/>
          <w:color w:val="auto"/>
          <w:sz w:val="32"/>
          <w:szCs w:val="32"/>
        </w:rPr>
        <w:t>万元，该项目资金已全部落实到位，资金来源为</w:t>
      </w:r>
      <w:r>
        <w:rPr>
          <w:rFonts w:hint="eastAsia" w:ascii="Times New Roman" w:hAnsi="Times New Roman" w:cs="Times New Roman"/>
          <w:color w:val="auto"/>
          <w:sz w:val="32"/>
          <w:szCs w:val="32"/>
          <w:lang w:val="en-US" w:eastAsia="zh-CN"/>
        </w:rPr>
        <w:t>当年财政拨款</w:t>
      </w:r>
      <w:r>
        <w:rPr>
          <w:rFonts w:hint="eastAsia" w:ascii="Times New Roman" w:hAnsi="Times New Roman"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sz w:val="32"/>
          <w:szCs w:val="32"/>
        </w:rPr>
        <w:t>资金使用情况：</w:t>
      </w:r>
      <w:r>
        <w:rPr>
          <w:rFonts w:hint="eastAsia" w:ascii="Times New Roman" w:hAnsi="Times New Roman" w:cs="Times New Roman"/>
          <w:color w:val="000000" w:themeColor="text1"/>
          <w:sz w:val="32"/>
          <w:szCs w:val="32"/>
          <w:lang w:val="en-US" w:eastAsia="zh-CN"/>
          <w14:textFill>
            <w14:solidFill>
              <w14:schemeClr w14:val="tx1"/>
            </w14:solidFill>
          </w14:textFill>
        </w:rPr>
        <w:t>该项目年初预算数35万元，全年预算数35万元，全年执行数35万元，预算执行率为100%，主要用于：社区运转经费25万元；服务群众经费20万元。</w:t>
      </w:r>
      <w:bookmarkStart w:id="2" w:name="_Toc68703829"/>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rPr>
      </w:pPr>
      <w:r>
        <w:rPr>
          <w:rFonts w:hint="eastAsia"/>
          <w:color w:val="FF0000"/>
          <w:sz w:val="32"/>
          <w:szCs w:val="32"/>
          <w:lang w:eastAsia="zh-CN"/>
        </w:rPr>
        <w:t>　</w:t>
      </w: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r>
        <w:rPr>
          <w:rFonts w:hint="eastAsia"/>
          <w:color w:val="auto"/>
          <w:sz w:val="32"/>
          <w:szCs w:val="32"/>
        </w:rPr>
        <w:t>我街道将认真贯彻执行党的路线、方针、政策和国家的各项法律、法规；认真负责对待辖区内的群众，落实政策保障民生，维护社会基层稳定，消除安全隐患、对辖区内的公共设施进行维护、对社区生活环境进行治理，改善居民生活环境、提高居民生活质量，进一步加强基层干部队伍建设，积极完善和保障社区管理和基层党组织管理工作。为进一步推进预算管理工作，强化支出责任，提高预算资金使用效率，通过保障社区的正常运转，发挥社区的只能作用，提高辖区社区为人民群众服务的工作质量和效率。</w:t>
      </w:r>
    </w:p>
    <w:p>
      <w:pPr>
        <w:spacing w:line="560" w:lineRule="exact"/>
        <w:rPr>
          <w:rFonts w:hint="eastAsia"/>
          <w:color w:val="FF0000"/>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ascii="Times New Roman" w:hAnsi="Times New Roman" w:eastAsia="仿宋_GB2312" w:cs="Times New Roman"/>
          <w:b w:val="0"/>
          <w:bCs w:val="0"/>
          <w:sz w:val="32"/>
          <w:szCs w:val="32"/>
          <w:lang w:val="en-US" w:eastAsia="zh-CN"/>
        </w:rPr>
        <w:t>我街道202</w:t>
      </w:r>
      <w:r>
        <w:rPr>
          <w:rFonts w:hint="eastAsia" w:ascii="Times New Roman" w:hAnsi="Times New Roman" w:cs="Times New Roman"/>
          <w:b w:val="0"/>
          <w:bCs w:val="0"/>
          <w:sz w:val="32"/>
          <w:szCs w:val="32"/>
          <w:lang w:val="en-US" w:eastAsia="zh-CN"/>
        </w:rPr>
        <w:t>3</w:t>
      </w:r>
      <w:r>
        <w:rPr>
          <w:rFonts w:hint="eastAsia" w:ascii="Times New Roman" w:hAnsi="Times New Roman" w:eastAsia="仿宋_GB2312" w:cs="Times New Roman"/>
          <w:b w:val="0"/>
          <w:bCs w:val="0"/>
          <w:sz w:val="32"/>
          <w:szCs w:val="32"/>
          <w:lang w:val="en-US" w:eastAsia="zh-CN"/>
        </w:rPr>
        <w:t>年认真贯彻执行党路线、方针、政策和国家的各项法律、法规；认真负责对待辖区内的群众，举办文艺活动，落实政策保障民生，维护社会基层稳定，消除安全隐患、对辖区内的公共设施进行维护、对社区生活环境进行治理，持续改善居民生活环境、提高居民生活质量，有效提升基层干部队伍建设，积极完善和保障社区管理和基层党组织管理工作。</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2022年社区运转经费及服务群众经费项目所包含的全部项目内容。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color w:val="000000" w:themeColor="text1"/>
          <w:sz w:val="32"/>
          <w:szCs w:val="32"/>
          <w:lang w:val="en-US" w:eastAsia="zh-CN"/>
          <w14:textFill>
            <w14:solidFill>
              <w14:schemeClr w14:val="tx1"/>
            </w14:solidFill>
          </w14:textFill>
        </w:rPr>
        <w:t>社区运转经费及服务群众经费</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616" w:firstLineChars="200"/>
        <w:rPr>
          <w:rFonts w:eastAsia="仿宋_GB2312"/>
          <w:color w:val="000000"/>
          <w:spacing w:val="-6"/>
          <w:sz w:val="32"/>
          <w:szCs w:val="32"/>
        </w:rPr>
      </w:pPr>
      <w:r>
        <w:rPr>
          <w:rFonts w:eastAsia="仿宋_GB2312"/>
          <w:color w:val="000000"/>
          <w:spacing w:val="-6"/>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0"/>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5"/>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616" w:firstLineChars="200"/>
        <w:rPr>
          <w:rFonts w:hint="eastAsia" w:eastAsia="仿宋_GB2312"/>
          <w:bCs/>
          <w:color w:val="000000" w:themeColor="text1"/>
          <w:spacing w:val="-6"/>
          <w:sz w:val="32"/>
          <w:szCs w:val="32"/>
          <w:lang w:eastAsia="zh-CN"/>
          <w14:textFill>
            <w14:solidFill>
              <w14:schemeClr w14:val="tx1"/>
            </w14:solidFill>
          </w14:textFill>
        </w:rPr>
      </w:pPr>
      <w:r>
        <w:rPr>
          <w:rFonts w:eastAsia="仿宋_GB2312"/>
          <w:color w:val="000000" w:themeColor="text1"/>
          <w:spacing w:val="-6"/>
          <w:sz w:val="32"/>
          <w:szCs w:val="32"/>
          <w14:textFill>
            <w14:solidFill>
              <w14:schemeClr w14:val="tx1"/>
            </w14:solidFill>
          </w14:textFill>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计划标准和历史</w:t>
      </w:r>
      <w:r>
        <w:rPr>
          <w:rFonts w:hint="eastAsia"/>
          <w:bCs/>
          <w:color w:val="000000" w:themeColor="text1"/>
          <w:sz w:val="32"/>
          <w:szCs w:val="32"/>
          <w14:textFill>
            <w14:solidFill>
              <w14:schemeClr w14:val="tx1"/>
            </w14:solidFill>
          </w14:textFill>
        </w:rPr>
        <w:t>标准。</w:t>
      </w:r>
    </w:p>
    <w:p>
      <w:pPr>
        <w:spacing w:line="560" w:lineRule="exact"/>
        <w:ind w:firstLine="640"/>
        <w:rPr>
          <w:rFonts w:hint="eastAsia" w:ascii="Times New Roman" w:hAnsi="Times New Roman" w:cs="Times New Roman"/>
          <w:bCs/>
          <w:color w:val="000000" w:themeColor="text1"/>
          <w:sz w:val="32"/>
          <w:szCs w:val="32"/>
          <w14:textFill>
            <w14:solidFill>
              <w14:schemeClr w14:val="tx1"/>
            </w14:solidFill>
          </w14:textFill>
        </w:rPr>
      </w:pPr>
      <w:r>
        <w:rPr>
          <w:rFonts w:hint="eastAsia" w:ascii="Times New Roman" w:hAnsi="Times New Roman" w:cs="Times New Roman"/>
          <w:bCs/>
          <w:color w:val="000000" w:themeColor="text1"/>
          <w:sz w:val="32"/>
          <w:szCs w:val="32"/>
          <w14:textFill>
            <w14:solidFill>
              <w14:schemeClr w14:val="tx1"/>
            </w14:solidFill>
          </w14:textFill>
        </w:rPr>
        <w:t>（一）计划标准。指以预先制定的目标、计划、预算、定额等作为评价标准。</w:t>
      </w:r>
    </w:p>
    <w:p>
      <w:pPr>
        <w:spacing w:line="560" w:lineRule="exact"/>
        <w:ind w:firstLine="640"/>
        <w:rPr>
          <w:rFonts w:hint="eastAsia" w:ascii="Times New Roman" w:hAnsi="Times New Roman" w:cs="Times New Roman"/>
          <w:bCs/>
          <w:color w:val="000000" w:themeColor="text1"/>
          <w:spacing w:val="-6"/>
          <w:sz w:val="32"/>
          <w:szCs w:val="32"/>
          <w14:textFill>
            <w14:solidFill>
              <w14:schemeClr w14:val="tx1"/>
            </w14:solidFill>
          </w14:textFill>
        </w:rPr>
      </w:pPr>
      <w:r>
        <w:rPr>
          <w:rFonts w:hint="eastAsia" w:ascii="Times New Roman" w:hAnsi="Times New Roman" w:cs="Times New Roman"/>
          <w:bCs/>
          <w:color w:val="000000" w:themeColor="text1"/>
          <w:spacing w:val="-6"/>
          <w:sz w:val="32"/>
          <w:szCs w:val="32"/>
          <w14:textFill>
            <w14:solidFill>
              <w14:schemeClr w14:val="tx1"/>
            </w14:solidFill>
          </w14:textFill>
        </w:rPr>
        <w:t>（</w:t>
      </w:r>
      <w:r>
        <w:rPr>
          <w:rFonts w:hint="eastAsia" w:cs="Times New Roman"/>
          <w:bCs/>
          <w:color w:val="000000" w:themeColor="text1"/>
          <w:spacing w:val="-6"/>
          <w:sz w:val="32"/>
          <w:szCs w:val="32"/>
          <w:lang w:val="en-US" w:eastAsia="zh-CN"/>
          <w14:textFill>
            <w14:solidFill>
              <w14:schemeClr w14:val="tx1"/>
            </w14:solidFill>
          </w14:textFill>
        </w:rPr>
        <w:t>二</w:t>
      </w:r>
      <w:r>
        <w:rPr>
          <w:rFonts w:hint="eastAsia" w:ascii="Times New Roman" w:hAnsi="Times New Roman" w:cs="Times New Roman"/>
          <w:bCs/>
          <w:color w:val="000000" w:themeColor="text1"/>
          <w:spacing w:val="-6"/>
          <w:sz w:val="32"/>
          <w:szCs w:val="32"/>
          <w14:textFill>
            <w14:solidFill>
              <w14:schemeClr w14:val="tx1"/>
            </w14:solidFill>
          </w14:textFill>
        </w:rPr>
        <w:t>）历史标准。指参照历史数据制定的评价标准，为体现绩效改进的原则，在可实现的条件下应当确定相对较高的评价标准。</w:t>
      </w:r>
      <w:bookmarkStart w:id="6" w:name="_Toc68703833"/>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16" w:firstLineChars="200"/>
        <w:textAlignment w:val="auto"/>
        <w:rPr>
          <w:spacing w:val="-6"/>
          <w:sz w:val="32"/>
          <w:szCs w:val="32"/>
        </w:rPr>
      </w:pPr>
      <w:bookmarkStart w:id="7" w:name="_Toc68703834"/>
      <w:r>
        <w:rPr>
          <w:rFonts w:hint="eastAsia" w:eastAsia="仿宋_GB2312"/>
          <w:bCs/>
          <w:spacing w:val="-6"/>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　　</w:t>
      </w:r>
      <w:r>
        <w:rPr>
          <w:rFonts w:hint="eastAsia" w:ascii="Times New Roman" w:hAnsi="Times New Roman" w:eastAsia="仿宋_GB2312" w:cs="Times New Roman"/>
          <w:b w:val="0"/>
          <w:bCs w:val="0"/>
          <w:kern w:val="28"/>
          <w:sz w:val="32"/>
          <w:szCs w:val="32"/>
          <w:lang w:val="en-US" w:eastAsia="zh-CN" w:bidi="ar-SA"/>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cs="Times New Roman"/>
          <w:b w:val="0"/>
          <w:bCs w:val="0"/>
          <w:kern w:val="28"/>
          <w:sz w:val="32"/>
          <w:szCs w:val="32"/>
          <w:lang w:val="en-US" w:eastAsia="zh-CN" w:bidi="ar-SA"/>
        </w:rPr>
        <w:t>10</w:t>
      </w:r>
      <w:r>
        <w:rPr>
          <w:rFonts w:hint="eastAsia" w:ascii="Times New Roman" w:hAnsi="Times New Roman" w:eastAsia="仿宋_GB2312" w:cs="Times New Roman"/>
          <w:b w:val="0"/>
          <w:bCs w:val="0"/>
          <w:kern w:val="28"/>
          <w:sz w:val="32"/>
          <w:szCs w:val="32"/>
          <w:lang w:val="en-US" w:eastAsia="zh-CN" w:bidi="ar-SA"/>
        </w:rPr>
        <w:t>0分，属于“优”。其中，项目决策类指标权重为20分，得分为 20分，得分率为100%。项目过程类指标权重为20分，得分为20分，得分率为100%。项目产出类指标权重为40分，得分为40分，得分率为100%。项目效益类指标权重为20分，得分为20分，得分率为100%。具体打分情况详见：附件1综合评分表。</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cs="Times New Roman"/>
          <w:b w:val="0"/>
          <w:bCs w:val="0"/>
          <w:sz w:val="32"/>
          <w:szCs w:val="32"/>
          <w:lang w:val="en-US" w:eastAsia="zh-CN"/>
        </w:rPr>
      </w:pPr>
      <w:r>
        <w:rPr>
          <w:rFonts w:hint="eastAsia"/>
          <w:b w:val="0"/>
          <w:bCs w:val="0"/>
          <w:sz w:val="32"/>
          <w:szCs w:val="32"/>
          <w:lang w:val="en-US" w:eastAsia="zh-CN"/>
        </w:rPr>
        <w:t>　　项目决策类指标包括项目立项、绩效目标和资金投入三方面的内容，</w:t>
      </w:r>
      <w:r>
        <w:rPr>
          <w:rFonts w:hint="eastAsia" w:ascii="Times New Roman" w:hAnsi="Times New Roman" w:cs="Times New Roman"/>
          <w:b w:val="0"/>
          <w:bCs w:val="0"/>
          <w:sz w:val="32"/>
          <w:szCs w:val="32"/>
          <w:lang w:val="en-US" w:eastAsia="zh-CN"/>
        </w:rPr>
        <w:t>由6个三级指</w:t>
      </w:r>
      <w:r>
        <w:rPr>
          <w:rFonts w:hint="eastAsia"/>
          <w:b w:val="0"/>
          <w:bCs w:val="0"/>
          <w:sz w:val="32"/>
          <w:szCs w:val="32"/>
          <w:lang w:val="en-US" w:eastAsia="zh-CN"/>
        </w:rPr>
        <w:t>标构成，权重分值为20分，</w:t>
      </w:r>
      <w:r>
        <w:rPr>
          <w:rFonts w:hint="eastAsia" w:ascii="Times New Roman" w:hAnsi="Times New Roman" w:cs="Times New Roman"/>
          <w:b w:val="0"/>
          <w:bCs w:val="0"/>
          <w:sz w:val="32"/>
          <w:szCs w:val="32"/>
          <w:lang w:val="en-US" w:eastAsia="zh-CN"/>
        </w:rPr>
        <w:t>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10"/>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三级指标构成，权重分值为20分，实际得分20分，得分率为100%。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本项目总投资35万元，财政资金及时足额到位，到位率100%，预算资金按计划进度执行。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预算编制较为详细，项目资金支出总体能够按照预算执行，预算资金支出35万元，预算执行率为100%。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5"/>
        <w:numPr>
          <w:ilvl w:val="0"/>
          <w:numId w:val="3"/>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个三级指标构成，权重分为</w:t>
      </w:r>
      <w:r>
        <w:rPr>
          <w:rFonts w:hint="eastAsia" w:ascii="仿宋_GB2312" w:hAnsi="仿宋_GB2312" w:cs="仿宋_GB2312"/>
          <w:sz w:val="32"/>
          <w:szCs w:val="32"/>
          <w:lang w:val="en-US" w:eastAsia="zh-CN"/>
        </w:rPr>
        <w:t>60</w:t>
      </w:r>
      <w:r>
        <w:rPr>
          <w:rFonts w:hint="eastAsia" w:ascii="仿宋_GB2312" w:hAnsi="仿宋_GB2312" w:eastAsia="仿宋_GB2312" w:cs="仿宋_GB2312"/>
          <w:sz w:val="32"/>
          <w:szCs w:val="32"/>
          <w:lang w:val="en-US" w:eastAsia="zh-CN"/>
        </w:rPr>
        <w:t>分，实际得分100分，得分率为100%。具体产出指标完成情况如下：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指标1：</w:t>
      </w:r>
      <w:r>
        <w:rPr>
          <w:rFonts w:hint="eastAsia"/>
          <w:color w:val="auto"/>
          <w:sz w:val="32"/>
          <w:szCs w:val="32"/>
          <w:lang w:eastAsia="zh-CN"/>
        </w:rPr>
        <w:t>开展各项文艺活动次数</w:t>
      </w:r>
      <w:r>
        <w:rPr>
          <w:rFonts w:hint="eastAsia"/>
          <w:color w:val="auto"/>
          <w:sz w:val="32"/>
          <w:szCs w:val="32"/>
        </w:rPr>
        <w:t>，指标值：</w:t>
      </w:r>
      <w:r>
        <w:rPr>
          <w:rFonts w:hint="eastAsia"/>
          <w:color w:val="auto"/>
          <w:sz w:val="32"/>
          <w:szCs w:val="32"/>
          <w:lang w:eastAsia="zh-CN"/>
        </w:rPr>
        <w:t>&gt;=10次</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w:t>
      </w:r>
      <w:r>
        <w:rPr>
          <w:rFonts w:hint="eastAsia"/>
          <w:color w:val="auto"/>
          <w:sz w:val="32"/>
          <w:szCs w:val="32"/>
          <w:lang w:eastAsia="zh-CN"/>
        </w:rPr>
        <w:t>：无。</w:t>
      </w:r>
    </w:p>
    <w:p>
      <w:pPr>
        <w:shd w:val="clear"/>
        <w:spacing w:line="600" w:lineRule="exact"/>
        <w:ind w:firstLine="640" w:firstLineChars="200"/>
        <w:outlineLvl w:val="0"/>
        <w:rPr>
          <w:rFonts w:hint="eastAsia" w:eastAsia="仿宋_GB2312"/>
          <w:color w:val="FF0000"/>
          <w:sz w:val="32"/>
          <w:szCs w:val="32"/>
          <w:lang w:eastAsia="zh-CN"/>
        </w:rPr>
      </w:pPr>
      <w:r>
        <w:rPr>
          <w:rFonts w:hint="eastAsia"/>
          <w:color w:val="auto"/>
          <w:sz w:val="32"/>
          <w:szCs w:val="32"/>
        </w:rPr>
        <w:t>指标2：</w:t>
      </w:r>
      <w:r>
        <w:rPr>
          <w:rFonts w:hint="eastAsia"/>
          <w:color w:val="auto"/>
          <w:sz w:val="32"/>
          <w:szCs w:val="32"/>
          <w:lang w:eastAsia="zh-CN"/>
        </w:rPr>
        <w:t>参与文艺活动人数</w:t>
      </w:r>
      <w:r>
        <w:rPr>
          <w:rFonts w:hint="eastAsia"/>
          <w:color w:val="auto"/>
          <w:sz w:val="32"/>
          <w:szCs w:val="32"/>
        </w:rPr>
        <w:t>，指标值：</w:t>
      </w:r>
      <w:r>
        <w:rPr>
          <w:rFonts w:hint="eastAsia"/>
          <w:color w:val="auto"/>
          <w:sz w:val="32"/>
          <w:szCs w:val="32"/>
          <w:lang w:eastAsia="zh-CN"/>
        </w:rPr>
        <w:t>&gt;=20人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20人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w:t>
      </w:r>
      <w:r>
        <w:rPr>
          <w:rFonts w:hint="eastAsia"/>
          <w:color w:val="auto"/>
          <w:sz w:val="32"/>
          <w:szCs w:val="32"/>
          <w:lang w:eastAsia="zh-CN"/>
        </w:rPr>
        <w:t>：无。</w:t>
      </w:r>
    </w:p>
    <w:p>
      <w:pPr>
        <w:shd w:val="clear"/>
        <w:spacing w:line="600" w:lineRule="exact"/>
        <w:ind w:firstLine="640" w:firstLineChars="200"/>
        <w:outlineLvl w:val="0"/>
        <w:rPr>
          <w:rFonts w:hint="eastAsia" w:ascii="Times New Roman" w:hAnsi="Times New Roman" w:cs="Times New Roman"/>
          <w:color w:val="auto"/>
          <w:sz w:val="32"/>
          <w:szCs w:val="32"/>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w:t>
      </w:r>
      <w:r>
        <w:rPr>
          <w:rFonts w:hint="eastAsia"/>
          <w:color w:val="auto"/>
          <w:sz w:val="32"/>
          <w:szCs w:val="32"/>
          <w:lang w:eastAsia="zh-CN"/>
        </w:rPr>
        <w:t>开展技能培训次数</w:t>
      </w:r>
      <w:r>
        <w:rPr>
          <w:rFonts w:hint="eastAsia"/>
          <w:color w:val="auto"/>
          <w:sz w:val="32"/>
          <w:szCs w:val="32"/>
        </w:rPr>
        <w:t>，指标值：</w:t>
      </w:r>
      <w:r>
        <w:rPr>
          <w:rFonts w:hint="eastAsia"/>
          <w:color w:val="auto"/>
          <w:sz w:val="32"/>
          <w:szCs w:val="32"/>
          <w:lang w:eastAsia="zh-CN"/>
        </w:rPr>
        <w:t>&gt;=7次</w:t>
      </w:r>
      <w:r>
        <w:rPr>
          <w:rFonts w:hint="eastAsia"/>
          <w:color w:val="auto"/>
          <w:sz w:val="32"/>
          <w:szCs w:val="32"/>
        </w:rPr>
        <w:t>，实际完成值</w:t>
      </w:r>
      <w:r>
        <w:rPr>
          <w:rFonts w:hint="eastAsia"/>
          <w:color w:val="auto"/>
          <w:sz w:val="32"/>
          <w:szCs w:val="32"/>
          <w:lang w:eastAsia="zh-CN"/>
        </w:rPr>
        <w:t>：</w:t>
      </w:r>
      <w:r>
        <w:rPr>
          <w:rFonts w:hint="eastAsia" w:ascii="Times New Roman" w:hAnsi="Times New Roman" w:cs="Times New Roman"/>
          <w:color w:val="auto"/>
          <w:sz w:val="32"/>
          <w:szCs w:val="32"/>
          <w:lang w:val="en-US" w:eastAsia="zh-CN"/>
        </w:rPr>
        <w:t>7次</w:t>
      </w:r>
      <w:r>
        <w:rPr>
          <w:rFonts w:hint="eastAsia" w:ascii="Times New Roman" w:hAnsi="Times New Roman" w:cs="Times New Roman"/>
          <w:color w:val="auto"/>
          <w:sz w:val="32"/>
          <w:szCs w:val="32"/>
        </w:rPr>
        <w:t>，指标完成率</w:t>
      </w:r>
      <w:r>
        <w:rPr>
          <w:rFonts w:hint="eastAsia" w:ascii="Times New Roman" w:hAnsi="Times New Roman" w:cs="Times New Roman"/>
          <w:color w:val="auto"/>
          <w:sz w:val="32"/>
          <w:szCs w:val="32"/>
          <w:lang w:val="en-US" w:eastAsia="zh-CN"/>
        </w:rPr>
        <w:t>100</w:t>
      </w:r>
      <w:r>
        <w:rPr>
          <w:rFonts w:hint="eastAsia" w:ascii="Times New Roman" w:hAnsi="Times New Roman" w:cs="Times New Roman"/>
          <w:color w:val="auto"/>
          <w:sz w:val="32"/>
          <w:szCs w:val="32"/>
        </w:rPr>
        <w:t>%</w:t>
      </w:r>
      <w:r>
        <w:rPr>
          <w:rFonts w:hint="eastAsia" w:ascii="Times New Roman" w:hAnsi="Times New Roman" w:cs="Times New Roman"/>
          <w:color w:val="auto"/>
          <w:sz w:val="32"/>
          <w:szCs w:val="32"/>
          <w:lang w:eastAsia="zh-CN"/>
        </w:rPr>
        <w:t>，</w:t>
      </w:r>
      <w:r>
        <w:rPr>
          <w:rFonts w:hint="eastAsia"/>
          <w:color w:val="auto"/>
          <w:sz w:val="32"/>
          <w:szCs w:val="32"/>
        </w:rPr>
        <w:t>偏差原因</w:t>
      </w:r>
      <w:r>
        <w:rPr>
          <w:rFonts w:hint="eastAsia"/>
          <w:color w:val="auto"/>
          <w:sz w:val="32"/>
          <w:szCs w:val="32"/>
          <w:lang w:eastAsia="zh-CN"/>
        </w:rPr>
        <w:t>：无。</w:t>
      </w:r>
    </w:p>
    <w:p>
      <w:pPr>
        <w:shd w:val="clear"/>
        <w:spacing w:line="600" w:lineRule="exact"/>
        <w:ind w:firstLine="640" w:firstLineChars="200"/>
        <w:outlineLvl w:val="0"/>
        <w:rPr>
          <w:rFonts w:hint="eastAsia" w:ascii="Times New Roman" w:hAnsi="Times New Roman" w:cs="Times New Roman"/>
          <w:color w:val="auto"/>
          <w:sz w:val="32"/>
          <w:szCs w:val="32"/>
          <w:lang w:val="en-US" w:eastAsia="zh-CN"/>
        </w:rPr>
      </w:pPr>
      <w:r>
        <w:rPr>
          <w:rFonts w:hint="eastAsia" w:ascii="Times New Roman" w:hAnsi="Times New Roman" w:cs="Times New Roman"/>
          <w:color w:val="auto"/>
          <w:sz w:val="32"/>
          <w:szCs w:val="32"/>
          <w:lang w:val="en-US" w:eastAsia="zh-CN"/>
        </w:rPr>
        <w:t>指标4：参与技能培训人数，指标值：&gt;=15人，实际完成值：15人，指标完成率100%，</w:t>
      </w:r>
      <w:r>
        <w:rPr>
          <w:rFonts w:hint="eastAsia"/>
          <w:color w:val="auto"/>
          <w:sz w:val="32"/>
          <w:szCs w:val="32"/>
        </w:rPr>
        <w:t>偏差原因</w:t>
      </w:r>
      <w:r>
        <w:rPr>
          <w:rFonts w:hint="eastAsia"/>
          <w:color w:val="auto"/>
          <w:sz w:val="32"/>
          <w:szCs w:val="32"/>
          <w:lang w:eastAsia="zh-CN"/>
        </w:rPr>
        <w:t>：无。</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shd w:val="clear"/>
        <w:spacing w:line="600" w:lineRule="exact"/>
        <w:ind w:firstLine="640" w:firstLineChars="200"/>
        <w:outlineLvl w:val="0"/>
        <w:rPr>
          <w:rFonts w:hint="eastAsia" w:eastAsia="仿宋_GB2312"/>
          <w:color w:val="auto"/>
          <w:sz w:val="32"/>
          <w:szCs w:val="32"/>
          <w:lang w:eastAsia="zh-CN"/>
        </w:rPr>
      </w:pPr>
      <w:r>
        <w:rPr>
          <w:rFonts w:hint="eastAsia"/>
          <w:color w:val="auto"/>
          <w:sz w:val="32"/>
          <w:szCs w:val="32"/>
        </w:rPr>
        <w:t>指标1：</w:t>
      </w:r>
      <w:r>
        <w:rPr>
          <w:rFonts w:hint="eastAsia"/>
          <w:color w:val="auto"/>
          <w:sz w:val="32"/>
          <w:szCs w:val="32"/>
          <w:lang w:eastAsia="zh-CN"/>
        </w:rPr>
        <w:t>技能培训出勤率</w:t>
      </w:r>
      <w:r>
        <w:rPr>
          <w:rFonts w:hint="eastAsia"/>
          <w:color w:val="auto"/>
          <w:sz w:val="32"/>
          <w:szCs w:val="32"/>
        </w:rPr>
        <w:t>，指标值：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100.26</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w:t>
      </w:r>
      <w:r>
        <w:rPr>
          <w:rFonts w:hint="eastAsia"/>
          <w:color w:val="auto"/>
          <w:sz w:val="32"/>
          <w:szCs w:val="32"/>
          <w:lang w:eastAsia="zh-CN"/>
        </w:rPr>
        <w:t>：无。</w:t>
      </w:r>
    </w:p>
    <w:p>
      <w:pPr>
        <w:shd w:val="clear"/>
        <w:spacing w:line="600" w:lineRule="exact"/>
        <w:ind w:firstLine="640" w:firstLineChars="200"/>
        <w:outlineLvl w:val="0"/>
        <w:rPr>
          <w:rFonts w:hint="eastAsia"/>
          <w:lang w:eastAsia="zh-CN"/>
        </w:rPr>
      </w:pPr>
      <w:r>
        <w:rPr>
          <w:rFonts w:hint="eastAsia"/>
          <w:color w:val="auto"/>
          <w:sz w:val="32"/>
          <w:szCs w:val="32"/>
        </w:rPr>
        <w:t>指标2：</w:t>
      </w:r>
      <w:r>
        <w:rPr>
          <w:rFonts w:hint="eastAsia"/>
          <w:color w:val="auto"/>
          <w:sz w:val="32"/>
          <w:szCs w:val="32"/>
          <w:lang w:eastAsia="zh-CN"/>
        </w:rPr>
        <w:t>开展活动的参与率</w:t>
      </w:r>
      <w:r>
        <w:rPr>
          <w:rFonts w:hint="eastAsia"/>
          <w:color w:val="auto"/>
          <w:sz w:val="32"/>
          <w:szCs w:val="32"/>
        </w:rPr>
        <w:t>，指标值：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105.26</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w:t>
      </w:r>
      <w:r>
        <w:rPr>
          <w:rFonts w:hint="eastAsia"/>
          <w:color w:val="auto"/>
          <w:sz w:val="32"/>
          <w:szCs w:val="32"/>
          <w:lang w:eastAsia="zh-CN"/>
        </w:rPr>
        <w:t>：无。</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eastAsia="仿宋_GB2312"/>
          <w:color w:val="auto"/>
          <w:sz w:val="32"/>
          <w:szCs w:val="32"/>
          <w:lang w:eastAsia="zh-CN"/>
        </w:rPr>
      </w:pPr>
      <w:r>
        <w:rPr>
          <w:rFonts w:hint="eastAsia"/>
          <w:color w:val="auto"/>
          <w:sz w:val="32"/>
          <w:szCs w:val="32"/>
        </w:rPr>
        <w:t>指标1：</w:t>
      </w:r>
      <w:r>
        <w:rPr>
          <w:rFonts w:hint="eastAsia"/>
          <w:color w:val="auto"/>
          <w:sz w:val="32"/>
          <w:szCs w:val="32"/>
          <w:lang w:eastAsia="zh-CN"/>
        </w:rPr>
        <w:t>活动按时开展率</w:t>
      </w:r>
      <w:r>
        <w:rPr>
          <w:rFonts w:hint="eastAsia"/>
          <w:color w:val="auto"/>
          <w:sz w:val="32"/>
          <w:szCs w:val="32"/>
        </w:rPr>
        <w:t>，指标值：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105.26</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w:t>
      </w:r>
      <w:r>
        <w:rPr>
          <w:rFonts w:hint="eastAsia"/>
          <w:color w:val="auto"/>
          <w:sz w:val="32"/>
          <w:szCs w:val="32"/>
          <w:lang w:eastAsia="zh-CN"/>
        </w:rPr>
        <w:t>：无。</w:t>
      </w:r>
    </w:p>
    <w:p>
      <w:pPr>
        <w:shd w:val="clear"/>
        <w:spacing w:line="600" w:lineRule="exact"/>
        <w:ind w:firstLine="640" w:firstLineChars="200"/>
        <w:outlineLvl w:val="0"/>
        <w:rPr>
          <w:rFonts w:hint="eastAsia"/>
          <w:lang w:eastAsia="zh-CN"/>
        </w:rPr>
      </w:pPr>
      <w:r>
        <w:rPr>
          <w:rFonts w:hint="eastAsia"/>
          <w:color w:val="auto"/>
          <w:sz w:val="32"/>
          <w:szCs w:val="32"/>
        </w:rPr>
        <w:t>指标2：</w:t>
      </w:r>
      <w:r>
        <w:rPr>
          <w:rFonts w:hint="eastAsia"/>
          <w:color w:val="auto"/>
          <w:sz w:val="32"/>
          <w:szCs w:val="32"/>
          <w:lang w:eastAsia="zh-CN"/>
        </w:rPr>
        <w:t>培训按期举办率</w:t>
      </w:r>
      <w:r>
        <w:rPr>
          <w:rFonts w:hint="eastAsia"/>
          <w:color w:val="auto"/>
          <w:sz w:val="32"/>
          <w:szCs w:val="32"/>
        </w:rPr>
        <w:t>，指标值：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105.26</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w:t>
      </w:r>
      <w:r>
        <w:rPr>
          <w:rFonts w:hint="eastAsia"/>
          <w:color w:val="auto"/>
          <w:sz w:val="32"/>
          <w:szCs w:val="32"/>
          <w:lang w:eastAsia="zh-CN"/>
        </w:rPr>
        <w:t>：无。</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bookmarkStart w:id="14" w:name="_Toc68703841"/>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shd w:val="clear"/>
        <w:spacing w:line="600" w:lineRule="exact"/>
        <w:ind w:firstLine="640" w:firstLineChars="200"/>
        <w:outlineLvl w:val="0"/>
        <w:rPr>
          <w:rFonts w:hint="eastAsia" w:ascii="Times New Roman" w:hAnsi="Times New Roman" w:cs="Times New Roman"/>
          <w:color w:val="auto"/>
          <w:sz w:val="32"/>
          <w:szCs w:val="32"/>
          <w:lang w:eastAsia="zh-CN"/>
        </w:rPr>
      </w:pPr>
      <w:r>
        <w:rPr>
          <w:rFonts w:hint="eastAsia" w:ascii="Times New Roman" w:hAnsi="Times New Roman" w:cs="Times New Roman"/>
          <w:color w:val="auto"/>
          <w:sz w:val="32"/>
          <w:szCs w:val="32"/>
        </w:rPr>
        <w:t>指标1：</w:t>
      </w:r>
      <w:r>
        <w:rPr>
          <w:rFonts w:hint="eastAsia" w:ascii="Times New Roman" w:hAnsi="Times New Roman" w:cs="Times New Roman"/>
          <w:color w:val="auto"/>
          <w:sz w:val="32"/>
          <w:szCs w:val="32"/>
          <w:lang w:eastAsia="zh-CN"/>
        </w:rPr>
        <w:t>社区运转经费</w:t>
      </w:r>
      <w:r>
        <w:rPr>
          <w:rFonts w:hint="eastAsia" w:ascii="Times New Roman" w:hAnsi="Times New Roman" w:cs="Times New Roman"/>
          <w:color w:val="auto"/>
          <w:sz w:val="32"/>
          <w:szCs w:val="32"/>
        </w:rPr>
        <w:t>，指标值：</w:t>
      </w:r>
      <w:r>
        <w:rPr>
          <w:rFonts w:hint="eastAsia" w:ascii="Times New Roman" w:hAnsi="Times New Roman" w:cs="Times New Roman"/>
          <w:color w:val="auto"/>
          <w:sz w:val="32"/>
          <w:szCs w:val="32"/>
          <w:lang w:eastAsia="zh-CN"/>
        </w:rPr>
        <w:t>&lt;=20万元</w:t>
      </w:r>
      <w:r>
        <w:rPr>
          <w:rFonts w:hint="eastAsia" w:ascii="Times New Roman" w:hAnsi="Times New Roman" w:cs="Times New Roman"/>
          <w:color w:val="auto"/>
          <w:sz w:val="32"/>
          <w:szCs w:val="32"/>
        </w:rPr>
        <w:t>，实际完成值</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20万元</w:t>
      </w:r>
      <w:r>
        <w:rPr>
          <w:rFonts w:hint="eastAsia" w:ascii="Times New Roman" w:hAnsi="Times New Roman" w:cs="Times New Roman"/>
          <w:color w:val="auto"/>
          <w:sz w:val="32"/>
          <w:szCs w:val="32"/>
        </w:rPr>
        <w:t>，指标完成率</w:t>
      </w:r>
      <w:r>
        <w:rPr>
          <w:rFonts w:hint="eastAsia" w:ascii="Times New Roman" w:hAnsi="Times New Roman" w:cs="Times New Roman"/>
          <w:color w:val="auto"/>
          <w:sz w:val="32"/>
          <w:szCs w:val="32"/>
          <w:lang w:val="en-US" w:eastAsia="zh-CN"/>
        </w:rPr>
        <w:t>100</w:t>
      </w:r>
      <w:r>
        <w:rPr>
          <w:rFonts w:hint="eastAsia" w:ascii="Times New Roman" w:hAnsi="Times New Roman" w:cs="Times New Roman"/>
          <w:color w:val="auto"/>
          <w:sz w:val="32"/>
          <w:szCs w:val="32"/>
        </w:rPr>
        <w:t>%</w:t>
      </w:r>
      <w:r>
        <w:rPr>
          <w:rFonts w:hint="eastAsia" w:ascii="Times New Roman" w:hAnsi="Times New Roman" w:cs="Times New Roman"/>
          <w:color w:val="auto"/>
          <w:sz w:val="32"/>
          <w:szCs w:val="32"/>
          <w:lang w:eastAsia="zh-CN"/>
        </w:rPr>
        <w:t>，</w:t>
      </w:r>
      <w:r>
        <w:rPr>
          <w:rFonts w:hint="eastAsia"/>
          <w:color w:val="auto"/>
          <w:sz w:val="32"/>
          <w:szCs w:val="32"/>
        </w:rPr>
        <w:t>偏差原因</w:t>
      </w:r>
      <w:r>
        <w:rPr>
          <w:rFonts w:hint="eastAsia"/>
          <w:color w:val="auto"/>
          <w:sz w:val="32"/>
          <w:szCs w:val="32"/>
          <w:lang w:eastAsia="zh-CN"/>
        </w:rPr>
        <w:t>：无。</w:t>
      </w:r>
    </w:p>
    <w:p>
      <w:pPr>
        <w:shd w:val="clear"/>
        <w:spacing w:line="600" w:lineRule="exact"/>
        <w:ind w:firstLine="640" w:firstLineChars="200"/>
        <w:outlineLvl w:val="0"/>
        <w:rPr>
          <w:rFonts w:hint="eastAsia" w:ascii="Times New Roman" w:hAnsi="Times New Roman" w:cs="Times New Roman"/>
          <w:color w:val="auto"/>
          <w:sz w:val="32"/>
          <w:szCs w:val="32"/>
          <w:lang w:eastAsia="zh-CN"/>
        </w:rPr>
      </w:pPr>
      <w:r>
        <w:rPr>
          <w:rFonts w:hint="eastAsia" w:ascii="Times New Roman" w:hAnsi="Times New Roman" w:cs="Times New Roman"/>
          <w:color w:val="auto"/>
          <w:sz w:val="32"/>
          <w:szCs w:val="32"/>
        </w:rPr>
        <w:t>指标2：</w:t>
      </w:r>
      <w:r>
        <w:rPr>
          <w:rFonts w:hint="eastAsia" w:ascii="Times New Roman" w:hAnsi="Times New Roman" w:cs="Times New Roman"/>
          <w:color w:val="auto"/>
          <w:sz w:val="32"/>
          <w:szCs w:val="32"/>
          <w:lang w:eastAsia="zh-CN"/>
        </w:rPr>
        <w:t>服务群众经费</w:t>
      </w:r>
      <w:r>
        <w:rPr>
          <w:rFonts w:hint="eastAsia" w:ascii="Times New Roman" w:hAnsi="Times New Roman" w:cs="Times New Roman"/>
          <w:color w:val="auto"/>
          <w:sz w:val="32"/>
          <w:szCs w:val="32"/>
        </w:rPr>
        <w:t>，指标值：</w:t>
      </w:r>
      <w:r>
        <w:rPr>
          <w:rFonts w:hint="eastAsia" w:ascii="Times New Roman" w:hAnsi="Times New Roman" w:cs="Times New Roman"/>
          <w:color w:val="auto"/>
          <w:sz w:val="32"/>
          <w:szCs w:val="32"/>
          <w:lang w:eastAsia="zh-CN"/>
        </w:rPr>
        <w:t>&lt;=</w:t>
      </w:r>
      <w:r>
        <w:rPr>
          <w:rFonts w:hint="eastAsia" w:ascii="Times New Roman" w:hAnsi="Times New Roman" w:cs="Times New Roman"/>
          <w:color w:val="auto"/>
          <w:sz w:val="32"/>
          <w:szCs w:val="32"/>
          <w:lang w:val="en-US" w:eastAsia="zh-CN"/>
        </w:rPr>
        <w:t>15</w:t>
      </w:r>
      <w:r>
        <w:rPr>
          <w:rFonts w:hint="eastAsia" w:ascii="Times New Roman" w:hAnsi="Times New Roman" w:cs="Times New Roman"/>
          <w:color w:val="auto"/>
          <w:sz w:val="32"/>
          <w:szCs w:val="32"/>
          <w:lang w:eastAsia="zh-CN"/>
        </w:rPr>
        <w:t>万元</w:t>
      </w:r>
      <w:r>
        <w:rPr>
          <w:rFonts w:hint="eastAsia" w:ascii="Times New Roman" w:hAnsi="Times New Roman" w:cs="Times New Roman"/>
          <w:color w:val="auto"/>
          <w:sz w:val="32"/>
          <w:szCs w:val="32"/>
        </w:rPr>
        <w:t>，实际完成值</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15万元</w:t>
      </w:r>
      <w:r>
        <w:rPr>
          <w:rFonts w:hint="eastAsia" w:ascii="Times New Roman" w:hAnsi="Times New Roman" w:cs="Times New Roman"/>
          <w:color w:val="auto"/>
          <w:sz w:val="32"/>
          <w:szCs w:val="32"/>
        </w:rPr>
        <w:t>，指标完成率</w:t>
      </w:r>
      <w:r>
        <w:rPr>
          <w:rFonts w:hint="eastAsia" w:ascii="Times New Roman" w:hAnsi="Times New Roman" w:cs="Times New Roman"/>
          <w:color w:val="auto"/>
          <w:sz w:val="32"/>
          <w:szCs w:val="32"/>
          <w:lang w:val="en-US" w:eastAsia="zh-CN"/>
        </w:rPr>
        <w:t>100</w:t>
      </w:r>
      <w:r>
        <w:rPr>
          <w:rFonts w:hint="eastAsia" w:ascii="Times New Roman" w:hAnsi="Times New Roman" w:cs="Times New Roman"/>
          <w:color w:val="auto"/>
          <w:sz w:val="32"/>
          <w:szCs w:val="32"/>
        </w:rPr>
        <w:t>%</w:t>
      </w:r>
      <w:r>
        <w:rPr>
          <w:rFonts w:hint="eastAsia" w:ascii="Times New Roman" w:hAnsi="Times New Roman" w:cs="Times New Roman"/>
          <w:color w:val="auto"/>
          <w:sz w:val="32"/>
          <w:szCs w:val="32"/>
          <w:lang w:eastAsia="zh-CN"/>
        </w:rPr>
        <w:t>，</w:t>
      </w:r>
      <w:r>
        <w:rPr>
          <w:rFonts w:hint="eastAsia"/>
          <w:color w:val="auto"/>
          <w:sz w:val="32"/>
          <w:szCs w:val="32"/>
        </w:rPr>
        <w:t>偏差原因</w:t>
      </w:r>
      <w:r>
        <w:rPr>
          <w:rFonts w:hint="eastAsia"/>
          <w:color w:val="auto"/>
          <w:sz w:val="32"/>
          <w:szCs w:val="32"/>
          <w:lang w:eastAsia="zh-CN"/>
        </w:rPr>
        <w:t>：无。</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项目效益类指标包括项目实施效益和满意度两方面的内容，由1个三级指标构成，权重分为20分，实际得分20分，得分率为100%。具体效益指标及满意度指标完成情况如下：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ascii="Times New Roman" w:hAnsi="Times New Roman" w:cs="Times New Roman"/>
          <w:color w:val="auto"/>
          <w:sz w:val="32"/>
          <w:szCs w:val="32"/>
          <w:lang w:eastAsia="zh-CN"/>
        </w:rPr>
      </w:pPr>
      <w:r>
        <w:rPr>
          <w:rFonts w:hint="eastAsia" w:ascii="Times New Roman" w:hAnsi="Times New Roman" w:cs="Times New Roman"/>
          <w:color w:val="auto"/>
          <w:sz w:val="32"/>
          <w:szCs w:val="32"/>
        </w:rPr>
        <w:t>指标1：</w:t>
      </w:r>
      <w:r>
        <w:rPr>
          <w:rFonts w:hint="eastAsia" w:ascii="Times New Roman" w:hAnsi="Times New Roman" w:cs="Times New Roman"/>
          <w:color w:val="auto"/>
          <w:sz w:val="32"/>
          <w:szCs w:val="32"/>
          <w:lang w:eastAsia="zh-CN"/>
        </w:rPr>
        <w:t>提高干部服务群众工作效率</w:t>
      </w:r>
      <w:r>
        <w:rPr>
          <w:rFonts w:hint="eastAsia" w:ascii="Times New Roman" w:hAnsi="Times New Roman" w:cs="Times New Roman"/>
          <w:color w:val="auto"/>
          <w:sz w:val="32"/>
          <w:szCs w:val="32"/>
        </w:rPr>
        <w:t>，指标值：</w:t>
      </w:r>
      <w:r>
        <w:rPr>
          <w:rFonts w:hint="eastAsia" w:ascii="Times New Roman" w:hAnsi="Times New Roman" w:cs="Times New Roman"/>
          <w:color w:val="auto"/>
          <w:sz w:val="32"/>
          <w:szCs w:val="32"/>
          <w:lang w:eastAsia="zh-CN"/>
        </w:rPr>
        <w:t>有效提高</w:t>
      </w:r>
      <w:r>
        <w:rPr>
          <w:rFonts w:hint="eastAsia" w:ascii="Times New Roman" w:hAnsi="Times New Roman" w:cs="Times New Roman"/>
          <w:color w:val="auto"/>
          <w:sz w:val="32"/>
          <w:szCs w:val="32"/>
        </w:rPr>
        <w:t>，实际完成值</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有效提高</w:t>
      </w:r>
      <w:r>
        <w:rPr>
          <w:rFonts w:hint="eastAsia" w:ascii="Times New Roman" w:hAnsi="Times New Roman" w:cs="Times New Roman"/>
          <w:color w:val="auto"/>
          <w:sz w:val="32"/>
          <w:szCs w:val="32"/>
        </w:rPr>
        <w:t>，指标完成率</w:t>
      </w:r>
      <w:r>
        <w:rPr>
          <w:rFonts w:hint="eastAsia" w:ascii="Times New Roman" w:hAnsi="Times New Roman" w:cs="Times New Roman"/>
          <w:color w:val="auto"/>
          <w:sz w:val="32"/>
          <w:szCs w:val="32"/>
          <w:lang w:val="en-US" w:eastAsia="zh-CN"/>
        </w:rPr>
        <w:t>100</w:t>
      </w:r>
      <w:r>
        <w:rPr>
          <w:rFonts w:hint="eastAsia" w:ascii="Times New Roman" w:hAnsi="Times New Roman" w:cs="Times New Roman"/>
          <w:color w:val="auto"/>
          <w:sz w:val="32"/>
          <w:szCs w:val="32"/>
        </w:rPr>
        <w:t>%</w:t>
      </w:r>
      <w:r>
        <w:rPr>
          <w:rFonts w:hint="eastAsia" w:ascii="Times New Roman" w:hAnsi="Times New Roman" w:cs="Times New Roman"/>
          <w:color w:val="auto"/>
          <w:sz w:val="32"/>
          <w:szCs w:val="32"/>
          <w:lang w:eastAsia="zh-CN"/>
        </w:rPr>
        <w:t>，</w:t>
      </w:r>
      <w:r>
        <w:rPr>
          <w:rFonts w:hint="eastAsia"/>
          <w:color w:val="auto"/>
          <w:sz w:val="32"/>
          <w:szCs w:val="32"/>
        </w:rPr>
        <w:t>偏差原因</w:t>
      </w:r>
      <w:r>
        <w:rPr>
          <w:rFonts w:hint="eastAsia"/>
          <w:color w:val="auto"/>
          <w:sz w:val="32"/>
          <w:szCs w:val="32"/>
          <w:lang w:eastAsia="zh-CN"/>
        </w:rPr>
        <w:t>：无。</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①满意度指标：</w:t>
      </w:r>
    </w:p>
    <w:p>
      <w:pPr>
        <w:shd w:val="clear"/>
        <w:spacing w:line="600" w:lineRule="exact"/>
        <w:ind w:firstLine="640" w:firstLineChars="200"/>
        <w:outlineLvl w:val="0"/>
        <w:rPr>
          <w:rFonts w:hint="eastAsia" w:ascii="Times New Roman" w:hAnsi="Times New Roman" w:cs="Times New Roman"/>
          <w:color w:val="auto"/>
          <w:sz w:val="32"/>
          <w:szCs w:val="32"/>
          <w:lang w:eastAsia="zh-CN"/>
        </w:rPr>
      </w:pPr>
      <w:r>
        <w:rPr>
          <w:rFonts w:hint="eastAsia" w:ascii="Times New Roman" w:hAnsi="Times New Roman" w:cs="Times New Roman"/>
          <w:color w:val="auto"/>
          <w:sz w:val="32"/>
          <w:szCs w:val="32"/>
        </w:rPr>
        <w:t>指标1：</w:t>
      </w:r>
      <w:r>
        <w:rPr>
          <w:rFonts w:hint="eastAsia" w:ascii="Times New Roman" w:hAnsi="Times New Roman" w:cs="Times New Roman"/>
          <w:color w:val="auto"/>
          <w:sz w:val="32"/>
          <w:szCs w:val="32"/>
          <w:lang w:eastAsia="zh-CN"/>
        </w:rPr>
        <w:t>参加活动人员满意度</w:t>
      </w:r>
      <w:r>
        <w:rPr>
          <w:rFonts w:hint="eastAsia" w:ascii="Times New Roman" w:hAnsi="Times New Roman" w:cs="Times New Roman"/>
          <w:color w:val="auto"/>
          <w:sz w:val="32"/>
          <w:szCs w:val="32"/>
        </w:rPr>
        <w:t>，</w:t>
      </w:r>
      <w:r>
        <w:rPr>
          <w:rFonts w:hint="eastAsia"/>
          <w:color w:val="auto"/>
          <w:sz w:val="32"/>
          <w:szCs w:val="32"/>
        </w:rPr>
        <w:t>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105.26</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w:t>
      </w:r>
      <w:r>
        <w:rPr>
          <w:rFonts w:hint="eastAsia"/>
          <w:color w:val="auto"/>
          <w:sz w:val="32"/>
          <w:szCs w:val="32"/>
          <w:lang w:eastAsia="zh-CN"/>
        </w:rPr>
        <w:t>：无。</w:t>
      </w:r>
    </w:p>
    <w:p>
      <w:pPr>
        <w:shd w:val="clear"/>
        <w:spacing w:line="600" w:lineRule="exact"/>
        <w:ind w:firstLine="640" w:firstLineChars="200"/>
        <w:outlineLvl w:val="0"/>
        <w:rPr>
          <w:rFonts w:hint="default"/>
          <w:lang w:val="en-US" w:eastAsia="zh-CN"/>
        </w:rPr>
      </w:pPr>
      <w:r>
        <w:rPr>
          <w:rFonts w:hint="eastAsia" w:ascii="Times New Roman" w:hAnsi="Times New Roman" w:cs="Times New Roman"/>
          <w:color w:val="auto"/>
          <w:sz w:val="32"/>
          <w:szCs w:val="32"/>
        </w:rPr>
        <w:t>指标2：</w:t>
      </w:r>
      <w:r>
        <w:rPr>
          <w:rFonts w:hint="eastAsia" w:ascii="Times New Roman" w:hAnsi="Times New Roman" w:cs="Times New Roman"/>
          <w:color w:val="auto"/>
          <w:sz w:val="32"/>
          <w:szCs w:val="32"/>
          <w:lang w:eastAsia="zh-CN"/>
        </w:rPr>
        <w:t>受益干部满意度</w:t>
      </w:r>
      <w:r>
        <w:rPr>
          <w:rFonts w:hint="eastAsia" w:ascii="Times New Roman" w:hAnsi="Times New Roman" w:cs="Times New Roman"/>
          <w:color w:val="auto"/>
          <w:sz w:val="32"/>
          <w:szCs w:val="32"/>
        </w:rPr>
        <w:t>，</w:t>
      </w:r>
      <w:r>
        <w:rPr>
          <w:rFonts w:hint="eastAsia"/>
          <w:color w:val="auto"/>
          <w:sz w:val="32"/>
          <w:szCs w:val="32"/>
        </w:rPr>
        <w:t>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105.26</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w:t>
      </w:r>
      <w:r>
        <w:rPr>
          <w:rFonts w:hint="eastAsia"/>
          <w:color w:val="auto"/>
          <w:sz w:val="32"/>
          <w:szCs w:val="32"/>
          <w:lang w:eastAsia="zh-CN"/>
        </w:rPr>
        <w:t>：无。</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pPr>
      <w:r>
        <w:rPr>
          <w:rFonts w:hint="eastAsia" w:ascii="仿宋_GB2312" w:hAnsi="仿宋_GB2312" w:eastAsia="仿宋_GB2312" w:cs="仿宋_GB2312"/>
          <w:color w:val="auto"/>
          <w:kern w:val="2"/>
          <w:sz w:val="32"/>
          <w:szCs w:val="32"/>
          <w:lang w:val="en-US" w:eastAsia="zh-CN" w:bidi="ar-SA"/>
        </w:rPr>
        <w:t>社区运转经费及服务群众经费</w:t>
      </w:r>
      <w:r>
        <w:rPr>
          <w:rFonts w:hint="eastAsia" w:ascii="仿宋_GB2312" w:hAnsi="仿宋_GB2312" w:eastAsia="仿宋_GB2312" w:cs="仿宋_GB2312"/>
          <w:kern w:val="2"/>
          <w:sz w:val="32"/>
          <w:szCs w:val="32"/>
          <w:lang w:val="en-US" w:eastAsia="zh-CN" w:bidi="ar-SA"/>
        </w:rPr>
        <w:t>项目年初</w:t>
      </w:r>
      <w:r>
        <w:rPr>
          <w:rFonts w:hint="eastAsia" w:ascii="仿宋_GB2312" w:hAnsi="仿宋_GB2312" w:eastAsia="仿宋_GB2312" w:cs="仿宋_GB2312"/>
          <w:color w:val="auto"/>
          <w:kern w:val="2"/>
          <w:sz w:val="32"/>
          <w:szCs w:val="32"/>
          <w:lang w:val="en-US" w:eastAsia="zh-CN" w:bidi="ar-SA"/>
        </w:rPr>
        <w:t>预35万元，全年预算35万元，实际支出35万元，预算执行率为100%，项目绩效指标总体完成率为</w:t>
      </w:r>
      <w:r>
        <w:rPr>
          <w:rFonts w:hint="eastAsia" w:ascii="仿宋_GB2312" w:hAnsi="仿宋_GB2312" w:cs="仿宋_GB2312"/>
          <w:color w:val="auto"/>
          <w:kern w:val="2"/>
          <w:sz w:val="32"/>
          <w:szCs w:val="32"/>
          <w:lang w:val="en-US" w:eastAsia="zh-CN" w:bidi="ar-SA"/>
        </w:rPr>
        <w:t>102.43</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2.43</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偏差</w:t>
      </w:r>
      <w:r>
        <w:rPr>
          <w:rFonts w:hint="eastAsia" w:ascii="仿宋_GB2312" w:hAnsi="仿宋_GB2312" w:eastAsia="仿宋_GB2312" w:cs="仿宋_GB2312"/>
          <w:color w:val="auto"/>
          <w:kern w:val="2"/>
          <w:sz w:val="32"/>
          <w:szCs w:val="32"/>
          <w:lang w:val="en-US" w:eastAsia="zh-CN" w:bidi="ar-SA"/>
        </w:rPr>
        <w:t>原因无，</w:t>
      </w:r>
      <w:r>
        <w:rPr>
          <w:rFonts w:hint="eastAsia" w:ascii="仿宋_GB2312" w:hAnsi="仿宋_GB2312" w:eastAsia="仿宋_GB2312" w:cs="仿宋_GB2312"/>
          <w:color w:val="auto"/>
          <w:kern w:val="2"/>
          <w:sz w:val="32"/>
          <w:szCs w:val="32"/>
          <w:lang w:val="en-US" w:eastAsia="zh-Hans" w:bidi="ar-SA"/>
        </w:rPr>
        <w:t>改进</w:t>
      </w:r>
      <w:r>
        <w:rPr>
          <w:rFonts w:hint="eastAsia" w:ascii="仿宋_GB2312" w:hAnsi="仿宋_GB2312" w:eastAsia="仿宋_GB2312" w:cs="仿宋_GB2312"/>
          <w:color w:val="auto"/>
          <w:kern w:val="2"/>
          <w:sz w:val="32"/>
          <w:szCs w:val="32"/>
          <w:lang w:val="en-US" w:eastAsia="zh-CN" w:bidi="ar-SA"/>
        </w:rPr>
        <w:t>措施无。</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sz w:val="22"/>
          <w:szCs w:val="28"/>
        </w:rPr>
      </w:pP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widowControl w:val="0"/>
        <w:kinsoku/>
        <w:wordWrap/>
        <w:overflowPunct/>
        <w:topLinePunct w:val="0"/>
        <w:autoSpaceDE/>
        <w:autoSpaceDN/>
        <w:bidi w:val="0"/>
        <w:adjustRightInd/>
        <w:snapToGrid/>
        <w:spacing w:line="560" w:lineRule="exact"/>
        <w:textAlignment w:val="auto"/>
        <w:outlineLvl w:val="9"/>
        <w:rPr>
          <w:rFonts w:ascii="宋体" w:hAnsi="宋体" w:eastAsia="宋体"/>
          <w:sz w:val="32"/>
          <w:szCs w:val="32"/>
        </w:rPr>
      </w:pPr>
      <w:bookmarkStart w:id="19" w:name="_Toc68703846"/>
      <w:r>
        <w:rPr>
          <w:rFonts w:hint="eastAsia" w:ascii="宋体" w:hAnsi="宋体" w:eastAsia="宋体"/>
          <w:sz w:val="32"/>
          <w:szCs w:val="32"/>
          <w:lang w:eastAsia="zh-CN"/>
        </w:rPr>
        <w:t>八</w:t>
      </w:r>
      <w:r>
        <w:rPr>
          <w:rFonts w:hint="eastAsia" w:ascii="宋体" w:hAnsi="宋体" w:eastAsia="宋体"/>
          <w:sz w:val="32"/>
          <w:szCs w:val="32"/>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Pr>
        <w:pStyle w:val="2"/>
        <w:ind w:left="0" w:leftChars="0" w:firstLine="0" w:firstLineChars="0"/>
      </w:pPr>
      <w:bookmarkStart w:id="22" w:name="_GoBack"/>
      <w:bookmarkEnd w:id="22"/>
    </w:p>
    <w:p/>
    <w:p>
      <w:pPr>
        <w:pStyle w:val="2"/>
      </w:pPr>
    </w:p>
    <w:tbl>
      <w:tblPr>
        <w:tblStyle w:val="11"/>
        <w:tblW w:w="8834" w:type="dxa"/>
        <w:tblInd w:w="0" w:type="dxa"/>
        <w:tblLayout w:type="fixed"/>
        <w:tblCellMar>
          <w:top w:w="0" w:type="dxa"/>
          <w:left w:w="0" w:type="dxa"/>
          <w:bottom w:w="0" w:type="dxa"/>
          <w:right w:w="0" w:type="dxa"/>
        </w:tblCellMar>
      </w:tblPr>
      <w:tblGrid>
        <w:gridCol w:w="695"/>
        <w:gridCol w:w="695"/>
        <w:gridCol w:w="694"/>
        <w:gridCol w:w="695"/>
        <w:gridCol w:w="647"/>
        <w:gridCol w:w="405"/>
        <w:gridCol w:w="967"/>
        <w:gridCol w:w="859"/>
        <w:gridCol w:w="560"/>
        <w:gridCol w:w="502"/>
        <w:gridCol w:w="570"/>
        <w:gridCol w:w="395"/>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项目名称</w:t>
            </w:r>
          </w:p>
        </w:tc>
        <w:tc>
          <w:tcPr>
            <w:tcW w:w="7444"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2023年西路街道社区运转及服务群众支出项目</w:t>
            </w:r>
          </w:p>
        </w:tc>
      </w:tr>
      <w:tr>
        <w:tblPrEx>
          <w:tblLayout w:type="fixed"/>
          <w:tblCellMar>
            <w:top w:w="0" w:type="dxa"/>
            <w:left w:w="0" w:type="dxa"/>
            <w:bottom w:w="0" w:type="dxa"/>
            <w:right w:w="0" w:type="dxa"/>
          </w:tblCellMar>
        </w:tblPrEx>
        <w:trPr>
          <w:trHeight w:val="276" w:hRule="atLeast"/>
        </w:trPr>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主管部门</w:t>
            </w:r>
          </w:p>
        </w:tc>
        <w:tc>
          <w:tcPr>
            <w:tcW w:w="340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霍尔果斯市亚欧西路街道办事处</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霍尔果斯市亚欧西路街道办事处</w:t>
            </w:r>
          </w:p>
        </w:tc>
      </w:tr>
      <w:tr>
        <w:tblPrEx>
          <w:tblLayout w:type="fixed"/>
          <w:tblCellMar>
            <w:top w:w="0" w:type="dxa"/>
            <w:left w:w="0" w:type="dxa"/>
            <w:bottom w:w="0" w:type="dxa"/>
            <w:right w:w="0" w:type="dxa"/>
          </w:tblCellMar>
        </w:tblPrEx>
        <w:trPr>
          <w:trHeight w:val="276" w:hRule="atLeast"/>
        </w:trPr>
        <w:tc>
          <w:tcPr>
            <w:tcW w:w="13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全年执行数</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分值</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年度资金总额</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iCs w:val="0"/>
                <w:color w:val="000000"/>
                <w:kern w:val="0"/>
                <w:sz w:val="20"/>
                <w:szCs w:val="20"/>
                <w:u w:val="none"/>
                <w:lang w:val="en-US" w:eastAsia="zh-CN" w:bidi="ar"/>
              </w:rPr>
              <w:t>35.00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iCs w:val="0"/>
                <w:color w:val="000000"/>
                <w:kern w:val="0"/>
                <w:sz w:val="20"/>
                <w:szCs w:val="20"/>
                <w:u w:val="none"/>
                <w:lang w:val="en-US" w:eastAsia="zh-CN" w:bidi="ar"/>
              </w:rPr>
              <w:t>35</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iCs w:val="0"/>
                <w:color w:val="000000"/>
                <w:kern w:val="0"/>
                <w:sz w:val="20"/>
                <w:szCs w:val="20"/>
                <w:u w:val="none"/>
                <w:lang w:val="en-US" w:eastAsia="zh-CN" w:bidi="ar"/>
              </w:rPr>
              <w:t>35.00</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10.00分</w:t>
            </w:r>
          </w:p>
        </w:tc>
      </w:tr>
      <w:tr>
        <w:tblPrEx>
          <w:tblLayout w:type="fixed"/>
          <w:tblCellMar>
            <w:top w:w="0" w:type="dxa"/>
            <w:left w:w="0" w:type="dxa"/>
            <w:bottom w:w="0" w:type="dxa"/>
            <w:right w:w="0" w:type="dxa"/>
          </w:tblCellMar>
        </w:tblPrEx>
        <w:trPr>
          <w:trHeight w:val="638"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其中：当年财政拨款</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35</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35</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35</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0.00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 xml:space="preserve">根据根据《关于聚焦社会稳定和长治久安总目标加强自治州城市基层党建工作的实施意见》文件要求，                                                                     目标1：通过开展亚欧西路街道服务群众工作、做好辖区内常住和流动人口的管理工作。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目标2：保障亚欧西路街道办事处所属社区的正常运转，发挥社区的职能作用。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目标3：开展活动、技能培训班等，提高辖区社区为人民群众服务的工作质量和效率，让群众了解社区、提高群众满意度。</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为进一步推进预算绩效管理工作，提高预算资金使用效益，对社区生活环境进行治理，改善居民生活环境、提高居民生活质量，进一步加强基层干部队伍建设，以及保障社区管理和基层党组织管理工作正常运行发挥了重要作用。亚欧西路街道2023年开展老年康养活动、民族团结活动、计划生育生育活动、慰问困难群众活动，插花培训、就业培训、礼仪培训、爱心妈妈服务队、俄语培训班、糕点师培训班、八一建军节、七一红歌、六一儿童节、端午节活动、红色故事会、春节活动、教师节活动、等，本辖区基层建设社区管理支出经费项目进行预算申报，我街道基层组织经费项目包括社区运转经费、社区服务群众经费两项工作经费共计35万元</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一级指标</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二级指标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实际完成值</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分值</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产出指标</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开展各项文艺活动次数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&gt;=10次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10次</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08"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参与文艺活动人数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&gt;=20人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20人</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08"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开展技能培训次数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&gt;=7次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7次</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08"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参与技能培训人数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&gt;=15人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15人</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质量指标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技能培训出勤率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培训全员参加，出勤率为100%</w:t>
            </w: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开展活动的参与率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活动全员参加，出勤率为100%</w:t>
            </w: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时效指标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活动按时开展率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活动全员参加，出勤率为100%</w:t>
            </w: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时效指标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培训按期举办率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培训全员参加，出勤率为100%</w:t>
            </w: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restart"/>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成本指标</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经济成本指标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社区运转经费</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&lt;=20万元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20万元</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经济成本指标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服务群众经费</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&lt;=15万元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15万元</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效益指标</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提高干部服务群众工作效率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有效提高</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提有效高</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参加活动人员满意度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项目按时圆满完成满意度为100%</w:t>
            </w: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受益干部满意度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项目按时圆满完成满意度为100%</w:t>
            </w: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p>
    <w:p>
      <w:pPr>
        <w:pStyle w:val="20"/>
        <w:ind w:firstLine="562"/>
        <w:jc w:val="center"/>
        <w:rPr>
          <w:sz w:val="28"/>
          <w:szCs w:val="40"/>
        </w:rPr>
      </w:pPr>
      <w:bookmarkStart w:id="20" w:name="_Toc30064_WPSOffice_Level1"/>
      <w:bookmarkStart w:id="21" w:name="_Toc26499_WPSOffice_Level2"/>
      <w:r>
        <w:rPr>
          <w:rFonts w:hint="eastAsia" w:ascii="Times New Roman" w:hAnsi="Times New Roman" w:cs="Times New Roman"/>
          <w:b/>
          <w:bCs/>
          <w:sz w:val="28"/>
          <w:szCs w:val="40"/>
          <w:lang w:val="en-US" w:eastAsia="zh-CN"/>
        </w:rPr>
        <w:t>2023年西路街道社区运转及服务群众支出项目</w:t>
      </w:r>
      <w:r>
        <w:rPr>
          <w:rFonts w:hint="eastAsia"/>
          <w:b/>
          <w:bCs/>
          <w:sz w:val="28"/>
          <w:szCs w:val="40"/>
        </w:rPr>
        <w:t>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rFonts w:hint="eastAsia" w:eastAsia="仿宋_GB2312"/>
                <w:b/>
                <w:bCs/>
                <w:color w:val="000000"/>
                <w:kern w:val="0"/>
                <w:sz w:val="22"/>
                <w:szCs w:val="22"/>
                <w:lang w:eastAsia="zh-CN"/>
              </w:rPr>
            </w:pPr>
            <w:r>
              <w:rPr>
                <w:rFonts w:hint="eastAsia"/>
                <w:b/>
                <w:bCs/>
                <w:color w:val="000000"/>
                <w:kern w:val="0"/>
                <w:sz w:val="22"/>
                <w:szCs w:val="22"/>
                <w:lang w:val="en-US" w:eastAsia="zh-CN"/>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pgBorders>
        <w:top w:val="none" w:sz="0" w:space="0"/>
        <w:left w:val="none" w:sz="0" w:space="0"/>
        <w:bottom w:val="none" w:sz="0" w:space="0"/>
        <w:right w:val="none" w:sz="0" w:space="0"/>
      </w:pgBorders>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OWUyZGFiNWY0YjQ3ZTA0OTc1YWNhYTkwNGNiMTIifQ=="/>
  </w:docVars>
  <w:rsids>
    <w:rsidRoot w:val="007D49C5"/>
    <w:rsid w:val="000D63FA"/>
    <w:rsid w:val="005B64E8"/>
    <w:rsid w:val="00614288"/>
    <w:rsid w:val="00670592"/>
    <w:rsid w:val="00792CFE"/>
    <w:rsid w:val="007D49C5"/>
    <w:rsid w:val="008175E0"/>
    <w:rsid w:val="008C631D"/>
    <w:rsid w:val="00A114ED"/>
    <w:rsid w:val="00B24331"/>
    <w:rsid w:val="00F648DA"/>
    <w:rsid w:val="01583141"/>
    <w:rsid w:val="05253FFE"/>
    <w:rsid w:val="0EC266A4"/>
    <w:rsid w:val="0F2A6BF7"/>
    <w:rsid w:val="109627EE"/>
    <w:rsid w:val="14327E28"/>
    <w:rsid w:val="17136327"/>
    <w:rsid w:val="181871E2"/>
    <w:rsid w:val="18DB3F9B"/>
    <w:rsid w:val="19166846"/>
    <w:rsid w:val="1A976C37"/>
    <w:rsid w:val="1FFF2555"/>
    <w:rsid w:val="20A903D8"/>
    <w:rsid w:val="20E92B23"/>
    <w:rsid w:val="22AC2218"/>
    <w:rsid w:val="2729052F"/>
    <w:rsid w:val="28C14634"/>
    <w:rsid w:val="2C534988"/>
    <w:rsid w:val="2EC724D4"/>
    <w:rsid w:val="2EE30257"/>
    <w:rsid w:val="2F0B154A"/>
    <w:rsid w:val="34DA27CE"/>
    <w:rsid w:val="36411DC5"/>
    <w:rsid w:val="36B72533"/>
    <w:rsid w:val="3A2B446D"/>
    <w:rsid w:val="3B855F6A"/>
    <w:rsid w:val="4057649F"/>
    <w:rsid w:val="4075621D"/>
    <w:rsid w:val="426D36AA"/>
    <w:rsid w:val="450B6AE4"/>
    <w:rsid w:val="46BA0870"/>
    <w:rsid w:val="4867221E"/>
    <w:rsid w:val="48690A10"/>
    <w:rsid w:val="4CF906D1"/>
    <w:rsid w:val="4F0B7A65"/>
    <w:rsid w:val="53A662D0"/>
    <w:rsid w:val="54873A1A"/>
    <w:rsid w:val="55DD4083"/>
    <w:rsid w:val="56796849"/>
    <w:rsid w:val="568F383B"/>
    <w:rsid w:val="577A63ED"/>
    <w:rsid w:val="57A90924"/>
    <w:rsid w:val="5B8C523D"/>
    <w:rsid w:val="5D3F048D"/>
    <w:rsid w:val="5D555EEF"/>
    <w:rsid w:val="5DA95371"/>
    <w:rsid w:val="5E3208F3"/>
    <w:rsid w:val="5EF502D9"/>
    <w:rsid w:val="5FE552B9"/>
    <w:rsid w:val="636F7068"/>
    <w:rsid w:val="63E37DC4"/>
    <w:rsid w:val="65957777"/>
    <w:rsid w:val="686F7714"/>
    <w:rsid w:val="69561F5E"/>
    <w:rsid w:val="6A862BA8"/>
    <w:rsid w:val="6DFC1C65"/>
    <w:rsid w:val="6F2D283B"/>
    <w:rsid w:val="71881FAB"/>
    <w:rsid w:val="75FA041F"/>
    <w:rsid w:val="760F49BD"/>
    <w:rsid w:val="76E870A0"/>
    <w:rsid w:val="7ABC4A73"/>
    <w:rsid w:val="7AE40DD7"/>
    <w:rsid w:val="7DDC076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footer"/>
    <w:basedOn w:val="1"/>
    <w:link w:val="19"/>
    <w:semiHidden/>
    <w:unhideWhenUsed/>
    <w:qFormat/>
    <w:uiPriority w:val="99"/>
    <w:pPr>
      <w:tabs>
        <w:tab w:val="center" w:pos="4153"/>
        <w:tab w:val="right" w:pos="8306"/>
      </w:tabs>
      <w:snapToGrid w:val="0"/>
      <w:jc w:val="left"/>
    </w:pPr>
    <w:rPr>
      <w:sz w:val="18"/>
      <w:szCs w:val="18"/>
    </w:rPr>
  </w:style>
  <w:style w:type="paragraph" w:styleId="7">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7"/>
    <w:semiHidden/>
    <w:qFormat/>
    <w:uiPriority w:val="99"/>
    <w:rPr>
      <w:rFonts w:ascii="Times New Roman" w:hAnsi="Times New Roman" w:eastAsia="仿宋_GB2312" w:cs="Times New Roman"/>
      <w:sz w:val="18"/>
      <w:szCs w:val="18"/>
    </w:rPr>
  </w:style>
  <w:style w:type="character" w:customStyle="1" w:styleId="19">
    <w:name w:val="页脚 Char"/>
    <w:basedOn w:val="12"/>
    <w:link w:val="6"/>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3</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2024-06-12T03:18:27Z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B8CBFFE934804CC0B561FD0FF5A72FEE_13</vt:lpwstr>
  </property>
</Properties>
</file>