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hint="eastAsia" w:eastAsia="方正小标宋_GBK"/>
          <w:kern w:val="0"/>
          <w:sz w:val="48"/>
          <w:szCs w:val="48"/>
          <w:lang w:val="en-US" w:eastAsia="zh-CN"/>
        </w:rPr>
      </w:pPr>
    </w:p>
    <w:p>
      <w:pPr>
        <w:spacing w:line="540" w:lineRule="exact"/>
        <w:jc w:val="center"/>
        <w:rPr>
          <w:rFonts w:hint="eastAsia" w:eastAsia="方正小标宋_GBK"/>
          <w:kern w:val="0"/>
          <w:sz w:val="48"/>
          <w:szCs w:val="48"/>
          <w:lang w:val="en-US" w:eastAsia="zh-CN"/>
        </w:rPr>
      </w:pPr>
      <w:r>
        <w:rPr>
          <w:rFonts w:hint="eastAsia" w:eastAsia="方正小标宋_GBK"/>
          <w:kern w:val="0"/>
          <w:sz w:val="48"/>
          <w:szCs w:val="48"/>
          <w:lang w:val="en-US" w:eastAsia="zh-CN"/>
        </w:rPr>
        <w:t>征地补偿款资金项目支出绩效评价</w:t>
      </w:r>
    </w:p>
    <w:p>
      <w:pPr>
        <w:spacing w:line="540" w:lineRule="exact"/>
        <w:jc w:val="center"/>
        <w:rPr>
          <w:rFonts w:hint="eastAsia" w:eastAsia="方正小标宋_GBK"/>
          <w:kern w:val="0"/>
          <w:sz w:val="48"/>
          <w:szCs w:val="48"/>
          <w:lang w:val="en-US" w:eastAsia="zh-CN"/>
        </w:rPr>
      </w:pPr>
      <w:r>
        <w:rPr>
          <w:rFonts w:hint="eastAsia" w:eastAsia="方正小标宋_GBK"/>
          <w:kern w:val="0"/>
          <w:sz w:val="48"/>
          <w:szCs w:val="48"/>
          <w:lang w:val="en-US" w:eastAsia="zh-CN"/>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征地补偿款</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国营果尔国斯市莫乎尔牧场</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国营果尔国斯市莫乎尔牧场</w:t>
      </w: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杨红印</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val="en-US" w:eastAsia="zh-CN"/>
        </w:rPr>
        <w:t>2024年4月15日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本项目依据《中共中央 国务院关于全面实施预算绩效管理的意见》（中发〔2018〕</w:t>
      </w:r>
      <w:r>
        <w:rPr>
          <w:rFonts w:ascii="仿宋_GB2312" w:hAnsi="仿宋"/>
          <w:color w:val="auto"/>
          <w:sz w:val="32"/>
          <w:szCs w:val="32"/>
        </w:rPr>
        <w:t>34</w:t>
      </w:r>
      <w:r>
        <w:rPr>
          <w:rFonts w:hint="eastAsia" w:ascii="仿宋_GB2312" w:hAnsi="仿宋"/>
          <w:color w:val="auto"/>
          <w:sz w:val="32"/>
          <w:szCs w:val="32"/>
        </w:rPr>
        <w:t>号）、《关于印发&lt;乌鲁木齐市本级部门预算绩效目标管理暂行办法</w:t>
      </w:r>
      <w:r>
        <w:rPr>
          <w:rFonts w:ascii="仿宋_GB2312" w:hAnsi="仿宋"/>
          <w:color w:val="auto"/>
          <w:sz w:val="32"/>
          <w:szCs w:val="32"/>
        </w:rPr>
        <w:t>&gt;</w:t>
      </w:r>
      <w:r>
        <w:rPr>
          <w:rFonts w:hint="eastAsia" w:ascii="仿宋_GB2312" w:hAnsi="仿宋"/>
          <w:color w:val="auto"/>
          <w:sz w:val="32"/>
          <w:szCs w:val="32"/>
        </w:rPr>
        <w:t>的通知》（乌财预</w:t>
      </w:r>
      <w:bookmarkStart w:id="2" w:name="_Hlk67566397"/>
      <w:r>
        <w:rPr>
          <w:rFonts w:hint="eastAsia" w:ascii="仿宋_GB2312" w:hAnsi="仿宋"/>
          <w:color w:val="auto"/>
          <w:sz w:val="32"/>
          <w:szCs w:val="32"/>
        </w:rPr>
        <w:t>〔2018〕</w:t>
      </w:r>
      <w:r>
        <w:rPr>
          <w:rFonts w:ascii="仿宋_GB2312" w:hAnsi="仿宋"/>
          <w:color w:val="auto"/>
          <w:sz w:val="32"/>
          <w:szCs w:val="32"/>
        </w:rPr>
        <w:t>5</w:t>
      </w:r>
      <w:r>
        <w:rPr>
          <w:rFonts w:hint="eastAsia" w:ascii="仿宋_GB2312" w:hAnsi="仿宋"/>
          <w:color w:val="auto"/>
          <w:sz w:val="32"/>
          <w:szCs w:val="32"/>
        </w:rPr>
        <w:t>6号</w:t>
      </w:r>
      <w:bookmarkEnd w:id="2"/>
      <w:r>
        <w:rPr>
          <w:rFonts w:hint="eastAsia" w:ascii="仿宋_GB2312" w:hAnsi="仿宋"/>
          <w:color w:val="auto"/>
          <w:sz w:val="32"/>
          <w:szCs w:val="32"/>
        </w:rPr>
        <w:t>）、《关于做好2</w:t>
      </w:r>
      <w:r>
        <w:rPr>
          <w:rFonts w:ascii="仿宋_GB2312" w:hAnsi="仿宋"/>
          <w:color w:val="auto"/>
          <w:sz w:val="32"/>
          <w:szCs w:val="32"/>
        </w:rPr>
        <w:t>019</w:t>
      </w:r>
      <w:r>
        <w:rPr>
          <w:rFonts w:hint="eastAsia" w:ascii="仿宋_GB2312" w:hAnsi="仿宋"/>
          <w:color w:val="auto"/>
          <w:sz w:val="32"/>
          <w:szCs w:val="32"/>
        </w:rPr>
        <w:t>年部门预算项目支出绩效目标管理有关事宜的通知》（乌财预〔20</w:t>
      </w:r>
      <w:r>
        <w:rPr>
          <w:rFonts w:ascii="仿宋_GB2312" w:hAnsi="仿宋"/>
          <w:color w:val="auto"/>
          <w:sz w:val="32"/>
          <w:szCs w:val="32"/>
        </w:rPr>
        <w:t>18</w:t>
      </w:r>
      <w:r>
        <w:rPr>
          <w:rFonts w:hint="eastAsia" w:ascii="仿宋_GB2312" w:hAnsi="仿宋"/>
          <w:color w:val="auto"/>
          <w:sz w:val="32"/>
          <w:szCs w:val="32"/>
        </w:rPr>
        <w:t>〕</w:t>
      </w:r>
      <w:r>
        <w:rPr>
          <w:rFonts w:ascii="仿宋_GB2312" w:hAnsi="仿宋"/>
          <w:color w:val="auto"/>
          <w:sz w:val="32"/>
          <w:szCs w:val="32"/>
        </w:rPr>
        <w:t>76</w:t>
      </w:r>
      <w:r>
        <w:rPr>
          <w:rFonts w:hint="eastAsia" w:ascii="仿宋_GB2312" w:hAnsi="仿宋"/>
          <w:color w:val="auto"/>
          <w:sz w:val="32"/>
          <w:szCs w:val="32"/>
        </w:rPr>
        <w:t>号）和《项目支出绩效评价管理办法》（财预〔20</w:t>
      </w:r>
      <w:r>
        <w:rPr>
          <w:rFonts w:ascii="仿宋_GB2312" w:hAnsi="仿宋"/>
          <w:color w:val="auto"/>
          <w:sz w:val="32"/>
          <w:szCs w:val="32"/>
        </w:rPr>
        <w:t>20</w:t>
      </w:r>
      <w:r>
        <w:rPr>
          <w:rFonts w:hint="eastAsia" w:ascii="仿宋_GB2312" w:hAnsi="仿宋"/>
          <w:color w:val="auto"/>
          <w:sz w:val="32"/>
          <w:szCs w:val="32"/>
        </w:rPr>
        <w:t>〕</w:t>
      </w:r>
      <w:r>
        <w:rPr>
          <w:rFonts w:ascii="仿宋_GB2312" w:hAnsi="仿宋"/>
          <w:color w:val="auto"/>
          <w:sz w:val="32"/>
          <w:szCs w:val="32"/>
        </w:rPr>
        <w:t>10</w:t>
      </w:r>
      <w:r>
        <w:rPr>
          <w:rFonts w:hint="eastAsia" w:ascii="仿宋_GB2312" w:hAnsi="仿宋"/>
          <w:color w:val="auto"/>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FF0000"/>
          <w:sz w:val="32"/>
          <w:szCs w:val="32"/>
          <w:lang w:val="en-US" w:eastAsia="zh-CN"/>
        </w:rPr>
      </w:pPr>
      <w:r>
        <w:rPr>
          <w:rFonts w:hint="eastAsia" w:ascii="仿宋_GB2312"/>
          <w:sz w:val="32"/>
          <w:szCs w:val="32"/>
        </w:rPr>
        <w:t>主要内容：</w:t>
      </w:r>
      <w:r>
        <w:rPr>
          <w:rFonts w:hint="eastAsia" w:ascii="仿宋_GB2312"/>
          <w:color w:val="auto"/>
          <w:sz w:val="32"/>
          <w:szCs w:val="32"/>
        </w:rPr>
        <w:t>根据霍市政发【2021】1号《关于公布实施霍尔果斯市征收农用地区片综合地价》的通知，保障群众利益，项目顺利进行，及时发放征迁款。为了保证霍尔果斯市南部工业园区所有基础设施建设工程能够顺利实施，并保证被征地农牧民的合法权益不受侵犯，按时足额拨付被征地农牧民的安置补偿款</w:t>
      </w:r>
      <w:r>
        <w:rPr>
          <w:rFonts w:hint="eastAsia" w:ascii="仿宋_GB2312" w:hAnsi="仿宋"/>
          <w:color w:val="auto"/>
          <w:sz w:val="32"/>
          <w:szCs w:val="32"/>
        </w:rPr>
        <w:t>。</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3940.75</w:t>
      </w:r>
      <w:r>
        <w:rPr>
          <w:rFonts w:hint="eastAsia"/>
          <w:color w:val="auto"/>
          <w:sz w:val="32"/>
          <w:szCs w:val="32"/>
        </w:rPr>
        <w:t>万元，全年预算数</w:t>
      </w:r>
      <w:r>
        <w:rPr>
          <w:rFonts w:hint="eastAsia"/>
          <w:color w:val="auto"/>
          <w:sz w:val="32"/>
          <w:szCs w:val="32"/>
          <w:lang w:val="en-US" w:eastAsia="zh-CN"/>
        </w:rPr>
        <w:t>3940.75</w:t>
      </w:r>
      <w:r>
        <w:rPr>
          <w:rFonts w:hint="eastAsia"/>
          <w:color w:val="auto"/>
          <w:sz w:val="32"/>
          <w:szCs w:val="32"/>
        </w:rPr>
        <w:t>万元，实际总投入3940.75万元，该项目资金已全部落实到位，资金来源为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3940.75</w:t>
      </w:r>
      <w:r>
        <w:rPr>
          <w:rFonts w:hint="eastAsia"/>
          <w:color w:val="auto"/>
          <w:sz w:val="32"/>
          <w:szCs w:val="32"/>
        </w:rPr>
        <w:t>万元，全年预算数</w:t>
      </w:r>
      <w:r>
        <w:rPr>
          <w:rFonts w:hint="eastAsia"/>
          <w:color w:val="auto"/>
          <w:sz w:val="32"/>
          <w:szCs w:val="32"/>
          <w:lang w:val="en-US" w:eastAsia="zh-CN"/>
        </w:rPr>
        <w:t>3940.75</w:t>
      </w:r>
      <w:r>
        <w:rPr>
          <w:rFonts w:hint="eastAsia"/>
          <w:color w:val="auto"/>
          <w:sz w:val="32"/>
          <w:szCs w:val="32"/>
        </w:rPr>
        <w:t>万元，全年执行数</w:t>
      </w:r>
      <w:r>
        <w:rPr>
          <w:rFonts w:hint="eastAsia"/>
          <w:color w:val="auto"/>
          <w:sz w:val="32"/>
          <w:szCs w:val="32"/>
          <w:lang w:val="en-US" w:eastAsia="zh-CN"/>
        </w:rPr>
        <w:t>3940.75</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用于：霍尔果斯市南部工业园区所有基础设施建设工程能够顺利实施，并保证被征地农牧民的合法权益不受侵犯，按时足额拨付被征地农牧民的安置补偿款</w:t>
      </w:r>
      <w:r>
        <w:rPr>
          <w:rFonts w:hint="eastAsia"/>
          <w:color w:val="auto"/>
          <w:sz w:val="32"/>
          <w:szCs w:val="32"/>
          <w:lang w:val="en-US" w:eastAsia="zh-CN"/>
        </w:rPr>
        <w:t>3940.75</w:t>
      </w:r>
      <w:r>
        <w:rPr>
          <w:rFonts w:hint="eastAsia"/>
          <w:color w:val="auto"/>
          <w:sz w:val="32"/>
          <w:szCs w:val="32"/>
        </w:rPr>
        <w:t>万元。</w:t>
      </w:r>
      <w:bookmarkStart w:id="3"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color w:val="auto"/>
          <w:sz w:val="32"/>
          <w:szCs w:val="32"/>
        </w:rPr>
        <w:t>根据霍市政发【2021】1号《关于公布实施霍尔果斯市征收农用地区片综合地价》的通知，保障群众利益，项目顺利进行，及时发放征迁款。为了保证霍尔果斯市南部工业园区所有基础设施建设工程能够顺利实施，并保证被征地农牧民的合法权益不受侵犯，按时足额拨付被征地农牧民的安置补偿款</w:t>
      </w:r>
      <w:r>
        <w:rPr>
          <w:rFonts w:hint="eastAsia" w:ascii="仿宋_GB2312" w:hAnsi="仿宋"/>
          <w:color w:val="auto"/>
          <w:sz w:val="32"/>
          <w:szCs w:val="32"/>
        </w:rPr>
        <w:t>。</w:t>
      </w:r>
    </w:p>
    <w:p>
      <w:pPr>
        <w:pStyle w:val="22"/>
        <w:spacing w:line="560" w:lineRule="exact"/>
        <w:ind w:firstLine="640" w:firstLineChars="200"/>
        <w:rPr>
          <w:rFonts w:hint="default" w:eastAsia="仿宋_GB2312"/>
          <w:color w:val="FF0000"/>
          <w:sz w:val="32"/>
          <w:szCs w:val="32"/>
          <w:lang w:val="en-US" w:eastAsia="zh-CN"/>
        </w:rPr>
      </w:pPr>
      <w:r>
        <w:rPr>
          <w:rFonts w:hint="eastAsia" w:ascii="Times New Roman" w:hAnsi="Times New Roman" w:eastAsia="仿宋_GB2312" w:cs="Times New Roman"/>
          <w:b w:val="0"/>
          <w:bCs w:val="0"/>
          <w:sz w:val="32"/>
          <w:szCs w:val="32"/>
          <w:lang w:val="en-US" w:eastAsia="zh-CN"/>
        </w:rPr>
        <w:t>2.阶段性目标：</w:t>
      </w:r>
      <w:bookmarkStart w:id="4" w:name="_Toc68703830"/>
      <w:r>
        <w:rPr>
          <w:rFonts w:hint="eastAsia" w:hAnsi="仿宋_GB2312" w:cs="仿宋_GB2312"/>
          <w:b w:val="0"/>
          <w:color w:val="auto"/>
          <w:highlight w:val="none"/>
        </w:rPr>
        <w:t>202</w:t>
      </w:r>
      <w:r>
        <w:rPr>
          <w:rFonts w:hint="eastAsia" w:hAnsi="仿宋_GB2312" w:cs="仿宋_GB2312"/>
          <w:b w:val="0"/>
          <w:color w:val="auto"/>
          <w:highlight w:val="none"/>
          <w:lang w:val="en-US" w:eastAsia="zh-CN"/>
        </w:rPr>
        <w:t>3年4月20日确定征迁项目及范围。</w:t>
      </w:r>
      <w:r>
        <w:rPr>
          <w:rFonts w:hint="eastAsia" w:hAnsi="仿宋_GB2312" w:cs="仿宋_GB2312"/>
          <w:b w:val="0"/>
          <w:color w:val="auto"/>
          <w:highlight w:val="none"/>
        </w:rPr>
        <w:t>202</w:t>
      </w:r>
      <w:r>
        <w:rPr>
          <w:rFonts w:hint="eastAsia" w:hAnsi="仿宋_GB2312" w:cs="仿宋_GB2312"/>
          <w:b w:val="0"/>
          <w:color w:val="auto"/>
          <w:highlight w:val="none"/>
          <w:lang w:val="en-US" w:eastAsia="zh-CN"/>
        </w:rPr>
        <w:t>3年5月16日对施工项目涉及范围进行勘测及丈量。</w:t>
      </w:r>
      <w:r>
        <w:rPr>
          <w:rFonts w:hint="eastAsia" w:hAnsi="仿宋_GB2312" w:cs="仿宋_GB2312"/>
          <w:b w:val="0"/>
          <w:color w:val="auto"/>
          <w:highlight w:val="none"/>
        </w:rPr>
        <w:t>202</w:t>
      </w:r>
      <w:r>
        <w:rPr>
          <w:rFonts w:hint="eastAsia" w:hAnsi="仿宋_GB2312" w:cs="仿宋_GB2312"/>
          <w:b w:val="0"/>
          <w:color w:val="auto"/>
          <w:highlight w:val="none"/>
          <w:lang w:val="en-US" w:eastAsia="zh-CN"/>
        </w:rPr>
        <w:t>3年5月16日</w:t>
      </w:r>
      <w:r>
        <w:rPr>
          <w:rFonts w:hint="eastAsia" w:hAnsi="仿宋_GB2312" w:cs="仿宋_GB2312"/>
          <w:b w:val="0"/>
          <w:color w:val="auto"/>
          <w:highlight w:val="none"/>
        </w:rPr>
        <w:t>对</w:t>
      </w:r>
      <w:r>
        <w:rPr>
          <w:rFonts w:hint="eastAsia" w:hAnsi="仿宋_GB2312" w:cs="仿宋_GB2312"/>
          <w:b w:val="0"/>
          <w:color w:val="auto"/>
          <w:highlight w:val="none"/>
          <w:lang w:val="en-US" w:eastAsia="zh-CN"/>
        </w:rPr>
        <w:t>涉及征迁范围内的土地性质进行分析研判，同时向农牧民开征迁推进会。</w:t>
      </w:r>
      <w:r>
        <w:rPr>
          <w:rFonts w:hint="eastAsia" w:hAnsi="仿宋_GB2312" w:cs="仿宋_GB2312"/>
          <w:b w:val="0"/>
          <w:color w:val="auto"/>
          <w:highlight w:val="none"/>
        </w:rPr>
        <w:t>202</w:t>
      </w:r>
      <w:r>
        <w:rPr>
          <w:rFonts w:hint="eastAsia" w:hAnsi="仿宋_GB2312" w:cs="仿宋_GB2312"/>
          <w:b w:val="0"/>
          <w:color w:val="auto"/>
          <w:highlight w:val="none"/>
          <w:lang w:val="en-US" w:eastAsia="zh-CN"/>
        </w:rPr>
        <w:t>3年5月30日对</w:t>
      </w:r>
      <w:r>
        <w:rPr>
          <w:rFonts w:hint="eastAsia" w:hAnsi="仿宋_GB2312" w:cs="仿宋_GB2312"/>
          <w:b w:val="0"/>
          <w:color w:val="auto"/>
          <w:highlight w:val="none"/>
        </w:rPr>
        <w:t>对</w:t>
      </w:r>
      <w:r>
        <w:rPr>
          <w:rFonts w:hint="eastAsia" w:hAnsi="仿宋_GB2312" w:cs="仿宋_GB2312"/>
          <w:b w:val="0"/>
          <w:color w:val="auto"/>
          <w:highlight w:val="none"/>
          <w:lang w:val="en-US" w:eastAsia="zh-CN"/>
        </w:rPr>
        <w:t>涉及征迁范围内的土地涉及的农牧民进行政策讲解并对征迁款发放进行前期准备。</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4"/>
    </w:p>
    <w:p>
      <w:pPr>
        <w:numPr>
          <w:ilvl w:val="0"/>
          <w:numId w:val="0"/>
        </w:numPr>
        <w:spacing w:line="560" w:lineRule="exact"/>
        <w:rPr>
          <w:rFonts w:hint="eastAsia" w:ascii="Times New Roman" w:hAnsi="Times New Roman" w:eastAsia="楷体_GB2312" w:cs="Times New Roman"/>
          <w:b/>
          <w:bCs/>
          <w:sz w:val="32"/>
          <w:szCs w:val="32"/>
          <w:lang w:eastAsia="zh-CN"/>
        </w:rPr>
      </w:pPr>
      <w:bookmarkStart w:id="5" w:name="_Toc68703831"/>
      <w:r>
        <w:rPr>
          <w:rFonts w:hint="eastAsia" w:ascii="Times New Roman" w:hAnsi="Times New Roman" w:eastAsia="楷体_GB2312" w:cs="Times New Roman"/>
          <w:b/>
          <w:bCs/>
          <w:sz w:val="32"/>
          <w:szCs w:val="32"/>
          <w:lang w:val="en-US" w:eastAsia="zh-CN"/>
        </w:rPr>
        <w:t>（一）绩效评价目的、对象和范围</w:t>
      </w:r>
      <w:bookmarkEnd w:id="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1"/>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征地补偿款</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highlight w:val="none"/>
        </w:rPr>
        <w:t>征地补偿款</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7"/>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auto"/>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auto"/>
          <w:sz w:val="32"/>
          <w:szCs w:val="32"/>
        </w:rPr>
        <w:t>计划标准</w:t>
      </w:r>
      <w:r>
        <w:rPr>
          <w:rFonts w:hint="eastAsia"/>
          <w:bCs/>
          <w:color w:val="auto"/>
          <w:sz w:val="32"/>
          <w:szCs w:val="32"/>
          <w:lang w:val="en-US" w:eastAsia="zh-CN"/>
        </w:rPr>
        <w:t>对项目进行评价</w:t>
      </w:r>
      <w:r>
        <w:rPr>
          <w:rFonts w:hint="eastAsia"/>
          <w:bCs/>
          <w:color w:val="auto"/>
          <w:sz w:val="32"/>
          <w:szCs w:val="32"/>
        </w:rPr>
        <w:t>。</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auto"/>
          <w:sz w:val="32"/>
          <w:szCs w:val="32"/>
          <w:lang w:val="en-US" w:eastAsia="zh-CN"/>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7" w:name="_Toc68703833"/>
      <w:r>
        <w:rPr>
          <w:rFonts w:hint="eastAsia" w:ascii="Times New Roman" w:hAnsi="Times New Roman" w:eastAsia="楷体_GB2312" w:cs="Times New Roman"/>
          <w:b/>
          <w:bCs/>
          <w:kern w:val="2"/>
          <w:sz w:val="32"/>
          <w:szCs w:val="32"/>
          <w:lang w:val="en-US" w:eastAsia="zh-CN" w:bidi="ar-SA"/>
        </w:rPr>
        <w:t>（三）绩效评价工作过程</w:t>
      </w:r>
      <w:bookmarkEnd w:id="7"/>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8"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8"/>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5"/>
      <w:r>
        <w:rPr>
          <w:rFonts w:hint="eastAsia" w:ascii="Times New Roman" w:hAnsi="Times New Roman" w:eastAsia="楷体_GB2312" w:cs="Times New Roman"/>
          <w:b/>
          <w:bCs/>
          <w:kern w:val="2"/>
          <w:sz w:val="32"/>
          <w:szCs w:val="32"/>
          <w:lang w:val="en-US" w:eastAsia="zh-CN" w:bidi="ar-SA"/>
        </w:rPr>
        <w:t>（一）综合评价情况</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0" w:name="_Toc68703836"/>
      <w:r>
        <w:rPr>
          <w:rFonts w:hint="eastAsia" w:ascii="Times New Roman" w:hAnsi="Times New Roman" w:eastAsia="楷体_GB2312" w:cs="Times New Roman"/>
          <w:b/>
          <w:bCs/>
          <w:kern w:val="2"/>
          <w:sz w:val="32"/>
          <w:szCs w:val="32"/>
          <w:lang w:val="en-US" w:eastAsia="zh-CN" w:bidi="ar-SA"/>
        </w:rPr>
        <w:t>（二）评价结论</w:t>
      </w:r>
      <w:bookmarkEnd w:id="10"/>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%。项目过程类指标权重为20分，得分为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%。项目产出类指标权重为40分，得分为 </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%。项目效益类指标权重为20分，得分为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1" w:name="_Toc68703837"/>
      <w:r>
        <w:rPr>
          <w:rFonts w:hint="eastAsia" w:ascii="Times New Roman" w:hAnsi="Times New Roman" w:eastAsia="黑体" w:cs="Times New Roman"/>
          <w:bCs/>
          <w:sz w:val="32"/>
          <w:szCs w:val="32"/>
          <w:lang w:val="en-US" w:eastAsia="zh-CN"/>
        </w:rPr>
        <w:t>四、绩效评价指标分析</w:t>
      </w:r>
      <w:bookmarkEnd w:id="11"/>
    </w:p>
    <w:p>
      <w:pPr>
        <w:spacing w:line="560" w:lineRule="exact"/>
        <w:rPr>
          <w:rFonts w:hint="eastAsia" w:ascii="Times New Roman" w:hAnsi="Times New Roman" w:eastAsia="楷体_GB2312" w:cs="Times New Roman"/>
          <w:b/>
          <w:bCs/>
          <w:kern w:val="2"/>
          <w:sz w:val="32"/>
          <w:szCs w:val="32"/>
          <w:lang w:val="en-US" w:eastAsia="zh-CN" w:bidi="ar-SA"/>
        </w:rPr>
      </w:pPr>
      <w:bookmarkStart w:id="12" w:name="_Toc68703838"/>
      <w:r>
        <w:rPr>
          <w:rFonts w:hint="eastAsia" w:ascii="Times New Roman" w:hAnsi="Times New Roman" w:eastAsia="楷体_GB2312" w:cs="Times New Roman"/>
          <w:b/>
          <w:bCs/>
          <w:kern w:val="2"/>
          <w:sz w:val="32"/>
          <w:szCs w:val="32"/>
          <w:lang w:val="en-US" w:eastAsia="zh-CN" w:bidi="ar-SA"/>
        </w:rPr>
        <w:t>（一）项目决策情况</w:t>
      </w:r>
      <w:bookmarkEnd w:id="12"/>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w:t>
      </w:r>
      <w:r>
        <w:rPr>
          <w:rFonts w:hint="eastAsia"/>
          <w:b w:val="0"/>
          <w:bCs w:val="0"/>
          <w:color w:val="000000" w:themeColor="text1"/>
          <w:sz w:val="32"/>
          <w:szCs w:val="32"/>
          <w:highlight w:val="none"/>
          <w:lang w:val="en-US" w:eastAsia="zh-CN"/>
          <w14:textFill>
            <w14:solidFill>
              <w14:schemeClr w14:val="tx1"/>
            </w14:solidFill>
          </w14:textFill>
        </w:rPr>
        <w:t>6</w:t>
      </w:r>
      <w:r>
        <w:rPr>
          <w:rFonts w:hint="eastAsia"/>
          <w:b w:val="0"/>
          <w:bCs w:val="0"/>
          <w:sz w:val="32"/>
          <w:szCs w:val="32"/>
          <w:lang w:val="en-US" w:eastAsia="zh-CN"/>
        </w:rPr>
        <w:t>个三级指标构成，权重分值为20分，实际得分</w:t>
      </w:r>
      <w:r>
        <w:rPr>
          <w:rFonts w:hint="eastAsia"/>
          <w:b w:val="0"/>
          <w:bCs w:val="0"/>
          <w:color w:val="auto"/>
          <w:sz w:val="32"/>
          <w:szCs w:val="32"/>
          <w:lang w:val="en-US" w:eastAsia="zh-CN"/>
        </w:rPr>
        <w:t>20</w:t>
      </w:r>
      <w:r>
        <w:rPr>
          <w:rFonts w:hint="eastAsia"/>
          <w:b w:val="0"/>
          <w:bCs w:val="0"/>
          <w:sz w:val="32"/>
          <w:szCs w:val="32"/>
          <w:lang w:val="en-US" w:eastAsia="zh-CN"/>
        </w:rPr>
        <w:t>分，得分率为</w:t>
      </w:r>
      <w:r>
        <w:rPr>
          <w:rFonts w:hint="eastAsia"/>
          <w:b w:val="0"/>
          <w:bCs w:val="0"/>
          <w:color w:val="auto"/>
          <w:sz w:val="32"/>
          <w:szCs w:val="32"/>
          <w:lang w:val="en-US" w:eastAsia="zh-CN"/>
        </w:rPr>
        <w:t>100</w:t>
      </w:r>
      <w:r>
        <w:rPr>
          <w:rFonts w:hint="eastAsia"/>
          <w:b w:val="0"/>
          <w:bCs w:val="0"/>
          <w:sz w:val="32"/>
          <w:szCs w:val="32"/>
          <w:lang w:val="en-US" w:eastAsia="zh-CN"/>
        </w:rPr>
        <w:t>%。</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3"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3"/>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总投资3940.75万元，财政资金及时足额到位，到位率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预算编制较为详细，项目资金支出总体能够按照预算执行，预算资金支出3940.75万元，预算执行率为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bookmarkStart w:id="14" w:name="_Toc68703840"/>
    </w:p>
    <w:p>
      <w:pPr>
        <w:shd w:val="clear"/>
        <w:spacing w:line="600" w:lineRule="exact"/>
        <w:ind w:firstLine="643" w:firstLineChars="200"/>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（三）项目产出情况</w:t>
      </w:r>
      <w:bookmarkEnd w:id="14"/>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拆迁补偿农牧民户数</w:t>
      </w:r>
      <w:r>
        <w:rPr>
          <w:rFonts w:hint="eastAsia"/>
          <w:color w:val="auto"/>
          <w:sz w:val="32"/>
          <w:szCs w:val="32"/>
        </w:rPr>
        <w:t>，指标值：</w:t>
      </w:r>
      <w:r>
        <w:rPr>
          <w:rFonts w:hint="eastAsia"/>
          <w:color w:val="auto"/>
          <w:sz w:val="32"/>
          <w:szCs w:val="32"/>
          <w:lang w:eastAsia="zh-CN"/>
        </w:rPr>
        <w:t>&gt;=140人</w:t>
      </w:r>
      <w:r>
        <w:rPr>
          <w:rFonts w:hint="eastAsia"/>
          <w:color w:val="auto"/>
          <w:sz w:val="32"/>
          <w:szCs w:val="32"/>
        </w:rPr>
        <w:t>，实际完成值</w:t>
      </w:r>
      <w:r>
        <w:rPr>
          <w:rFonts w:hint="eastAsia"/>
          <w:color w:val="auto"/>
          <w:sz w:val="32"/>
          <w:szCs w:val="32"/>
          <w:lang w:eastAsia="zh-CN"/>
        </w:rPr>
        <w:t>：140人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ascii="仿宋_GB2312" w:hAnsi="仿宋"/>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eastAsia="zh-CN"/>
        </w:rPr>
      </w:pPr>
      <w:r>
        <w:rPr>
          <w:rFonts w:hint="eastAsia"/>
          <w:color w:val="auto"/>
          <w:sz w:val="32"/>
          <w:szCs w:val="32"/>
        </w:rPr>
        <w:t>指标2：</w:t>
      </w:r>
      <w:r>
        <w:rPr>
          <w:rFonts w:hint="eastAsia"/>
          <w:color w:val="auto"/>
          <w:sz w:val="32"/>
          <w:szCs w:val="32"/>
          <w:lang w:eastAsia="zh-CN"/>
        </w:rPr>
        <w:t>拆迁补偿项目数量</w:t>
      </w:r>
      <w:r>
        <w:rPr>
          <w:rFonts w:hint="eastAsia"/>
          <w:color w:val="auto"/>
          <w:sz w:val="32"/>
          <w:szCs w:val="32"/>
        </w:rPr>
        <w:t>，指标值：</w:t>
      </w:r>
      <w:r>
        <w:rPr>
          <w:rFonts w:hint="eastAsia"/>
          <w:color w:val="auto"/>
          <w:sz w:val="32"/>
          <w:szCs w:val="32"/>
          <w:lang w:eastAsia="zh-CN"/>
        </w:rPr>
        <w:t>&gt;=4个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4个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ascii="仿宋_GB2312" w:hAnsi="仿宋"/>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color w:val="auto"/>
          <w:sz w:val="32"/>
          <w:szCs w:val="32"/>
        </w:rPr>
        <w:t>指标1：</w:t>
      </w:r>
      <w:r>
        <w:rPr>
          <w:rFonts w:hint="eastAsia"/>
          <w:color w:val="auto"/>
          <w:sz w:val="32"/>
          <w:szCs w:val="32"/>
          <w:lang w:eastAsia="zh-CN"/>
        </w:rPr>
        <w:t>资金到位足额率</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ascii="仿宋_GB2312" w:hAnsi="仿宋"/>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指标2：</w:t>
      </w:r>
      <w:r>
        <w:rPr>
          <w:rFonts w:hint="eastAsia"/>
          <w:color w:val="auto"/>
          <w:sz w:val="32"/>
          <w:szCs w:val="32"/>
          <w:lang w:eastAsia="zh-CN"/>
        </w:rPr>
        <w:t>安置补贴达标率</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ascii="仿宋_GB2312" w:hAnsi="仿宋"/>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bookmarkStart w:id="15" w:name="_Toc68703841"/>
      <w:r>
        <w:rPr>
          <w:rFonts w:hint="eastAsia"/>
          <w:color w:val="auto"/>
          <w:sz w:val="32"/>
          <w:szCs w:val="32"/>
        </w:rPr>
        <w:t>指标1：</w:t>
      </w:r>
      <w:r>
        <w:rPr>
          <w:rFonts w:hint="eastAsia"/>
          <w:color w:val="auto"/>
          <w:sz w:val="32"/>
          <w:szCs w:val="32"/>
          <w:lang w:eastAsia="zh-CN"/>
        </w:rPr>
        <w:t>资金到位及时性</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ascii="仿宋_GB2312" w:hAnsi="仿宋"/>
          <w:color w:val="auto"/>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5"/>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lang w:val="en-US" w:eastAsia="zh-CN"/>
        </w:rPr>
        <w:t>个三级指标构成，权重分为20分，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w:t>
      </w:r>
      <w:r>
        <w:rPr>
          <w:rFonts w:hint="eastAsia" w:ascii="仿宋_GB2312" w:hAnsi="仿宋_GB2312" w:eastAsia="仿宋_GB2312" w:cs="仿宋_GB2312"/>
          <w:sz w:val="32"/>
          <w:szCs w:val="32"/>
          <w:lang w:val="en-US" w:eastAsia="zh-CN"/>
        </w:rPr>
        <w:t>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eastAsia="zh-CN"/>
        </w:rPr>
        <w:t>农牧民有足够经济实力进城购房定居</w:t>
      </w:r>
      <w:r>
        <w:rPr>
          <w:rFonts w:hint="eastAsia"/>
          <w:color w:val="auto"/>
          <w:sz w:val="32"/>
          <w:szCs w:val="32"/>
        </w:rPr>
        <w:t>，指标值：</w:t>
      </w:r>
      <w:r>
        <w:rPr>
          <w:rFonts w:hint="eastAsia"/>
          <w:color w:val="auto"/>
          <w:sz w:val="32"/>
          <w:szCs w:val="32"/>
          <w:lang w:eastAsia="zh-CN"/>
        </w:rPr>
        <w:t>有利于</w:t>
      </w:r>
      <w:r>
        <w:rPr>
          <w:rFonts w:hint="eastAsia"/>
          <w:color w:val="auto"/>
          <w:sz w:val="32"/>
          <w:szCs w:val="32"/>
        </w:rPr>
        <w:t>，实际完成值</w:t>
      </w:r>
      <w:r>
        <w:rPr>
          <w:rFonts w:hint="eastAsia"/>
          <w:color w:val="auto"/>
          <w:sz w:val="32"/>
          <w:szCs w:val="32"/>
          <w:lang w:eastAsia="zh-CN"/>
        </w:rPr>
        <w:t>：有利于</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ascii="仿宋_GB2312" w:hAnsi="仿宋"/>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eastAsia="zh-CN"/>
        </w:rPr>
        <w:t>征迁户满意度</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ascii="仿宋_GB2312" w:hAnsi="仿宋"/>
          <w:color w:val="auto"/>
          <w:sz w:val="32"/>
          <w:szCs w:val="32"/>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1"/>
        <w:spacing w:line="560" w:lineRule="exact"/>
        <w:ind w:firstLine="640"/>
        <w:rPr>
          <w:color w:val="auto"/>
        </w:rPr>
      </w:pPr>
      <w:r>
        <w:rPr>
          <w:rFonts w:hint="eastAsia" w:ascii="仿宋_GB2312" w:hAnsi="仿宋_GB2312" w:eastAsia="仿宋_GB2312" w:cs="仿宋_GB2312"/>
          <w:color w:val="auto"/>
          <w:kern w:val="2"/>
          <w:sz w:val="32"/>
          <w:szCs w:val="32"/>
          <w:lang w:val="en-US" w:eastAsia="zh-CN" w:bidi="ar-SA"/>
        </w:rPr>
        <w:t>征地补偿款项目年初预算3940.75万元，全年预算3940.75万元，实际支出3940.75万元，预算执行率为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无</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w:t>
      </w:r>
      <w:r>
        <w:rPr>
          <w:rFonts w:hint="eastAsia" w:ascii="仿宋_GB2312" w:hAnsi="仿宋_GB2312" w:cs="仿宋_GB2312"/>
          <w:color w:val="auto"/>
          <w:kern w:val="2"/>
          <w:sz w:val="32"/>
          <w:szCs w:val="32"/>
          <w:lang w:val="en-US" w:eastAsia="zh-CN" w:bidi="ar-SA"/>
        </w:rPr>
        <w:t>加强预算执行</w:t>
      </w:r>
      <w:r>
        <w:rPr>
          <w:rFonts w:hint="eastAsia" w:ascii="仿宋_GB2312" w:hAnsi="仿宋_GB2312" w:eastAsia="仿宋_GB2312" w:cs="仿宋_GB2312"/>
          <w:color w:val="auto"/>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6"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6"/>
    </w:p>
    <w:p>
      <w:pPr>
        <w:spacing w:line="560" w:lineRule="exact"/>
        <w:rPr>
          <w:rFonts w:hint="eastAsia" w:ascii="Times New Roman" w:hAnsi="Times New Roman" w:eastAsia="楷体_GB2312" w:cs="Times New Roman"/>
          <w:b/>
          <w:bCs/>
          <w:kern w:val="2"/>
          <w:sz w:val="32"/>
          <w:szCs w:val="32"/>
          <w:lang w:val="en-US" w:eastAsia="zh-CN" w:bidi="ar-SA"/>
        </w:rPr>
      </w:pPr>
      <w:bookmarkStart w:id="17" w:name="_Toc68703843"/>
      <w:r>
        <w:rPr>
          <w:rFonts w:hint="eastAsia" w:ascii="Times New Roman" w:hAnsi="Times New Roman" w:eastAsia="楷体_GB2312" w:cs="Times New Roman"/>
          <w:b/>
          <w:bCs/>
          <w:kern w:val="2"/>
          <w:sz w:val="32"/>
          <w:szCs w:val="32"/>
          <w:lang w:val="en-US" w:eastAsia="zh-CN" w:bidi="ar-SA"/>
        </w:rPr>
        <w:t>（一）主要经验及做法</w:t>
      </w:r>
      <w:bookmarkEnd w:id="17"/>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8"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8"/>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9"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9"/>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20"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20"/>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jc w:val="both"/>
      </w:pPr>
    </w:p>
    <w:p/>
    <w:p>
      <w:pPr>
        <w:pStyle w:val="2"/>
      </w:pPr>
    </w:p>
    <w:p/>
    <w:p>
      <w:pPr>
        <w:pStyle w:val="2"/>
      </w:pPr>
      <w:bookmarkStart w:id="23" w:name="_GoBack"/>
      <w:bookmarkEnd w:id="23"/>
    </w:p>
    <w:tbl>
      <w:tblPr>
        <w:tblStyle w:val="12"/>
        <w:tblW w:w="8834" w:type="dxa"/>
        <w:tblInd w:w="0" w:type="dxa"/>
        <w:tblLayout w:type="fixed"/>
        <w:tblCellMar>
          <w:top w:w="0" w:type="dxa"/>
          <w:left w:w="0" w:type="dxa"/>
          <w:bottom w:w="0" w:type="dxa"/>
          <w:right w:w="0" w:type="dxa"/>
        </w:tblCellMar>
      </w:tblPr>
      <w:tblGrid>
        <w:gridCol w:w="695"/>
        <w:gridCol w:w="531"/>
        <w:gridCol w:w="859"/>
        <w:gridCol w:w="695"/>
        <w:gridCol w:w="816"/>
        <w:gridCol w:w="23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征地补偿款</w:t>
            </w:r>
          </w:p>
        </w:tc>
      </w:tr>
      <w:tr>
        <w:tblPrEx>
          <w:tblLayout w:type="fixed"/>
          <w:tblCellMar>
            <w:top w:w="0" w:type="dxa"/>
            <w:left w:w="0" w:type="dxa"/>
            <w:bottom w:w="0" w:type="dxa"/>
            <w:right w:w="0" w:type="dxa"/>
          </w:tblCellMar>
        </w:tblPrEx>
        <w:trPr>
          <w:trHeight w:val="593"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国营果尔国斯市莫乎尔牧场</w:t>
            </w:r>
          </w:p>
          <w:p>
            <w:pPr>
              <w:jc w:val="center"/>
              <w:rPr>
                <w:rFonts w:ascii="Times New Roman" w:hAnsi="Times New Roman" w:eastAsia="宋体" w:cs="Times New Roman"/>
                <w:kern w:val="0"/>
                <w:sz w:val="18"/>
                <w:szCs w:val="18"/>
                <w:lang w:bidi="ar"/>
              </w:rPr>
            </w:pP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国营果尔国斯市莫乎尔牧场</w:t>
            </w:r>
          </w:p>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项目资金</w:t>
            </w:r>
          </w:p>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3940.75</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3940.75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3940.75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3940.75</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3940.75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3940.75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为了保证霍尔果斯市南部工业园区所有基础设施建设工程能够顺利实施，并保证被征地农牧民的合法权益不受侵犯，按时足额拨付被征地农牧民的安置140人的补偿款，请市级财政于2023年以前完成对农牧民所有征地补偿共计3940.75万元的拨付，届时群众的满意度达95%以上。</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已完成保证霍尔果斯市南部工业园区所有基础设施建设工程能够顺利实施，并保证被征地农牧民的合法权益不受侵犯，已按时足额拨付被征地农牧民的安置140人的补偿款，市级财政已于2023年以前完成对农牧民所有征地补偿共计3940.75万元的拨付，项目完成后群众的满意度达95%以上。</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拆迁补偿农牧民户数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&gt;=140人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140人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Times New Roman" w:hAnsi="Times New Roman" w:eastAsia="仿宋_GB2312" w:cs="Times New Roman"/>
                <w:kern w:val="2"/>
                <w:sz w:val="30"/>
                <w:szCs w:val="24"/>
                <w:lang w:val="en-US" w:eastAsia="zh-CN" w:bidi="ar-SA"/>
              </w:rPr>
            </w:pPr>
            <w:r>
              <w:rPr>
                <w:rFonts w:hint="eastAsia" w:ascii="宋体" w:hAnsi="宋体" w:eastAsia="宋体" w:cs="宋体"/>
                <w:i w:val="0"/>
                <w:color w:val="000000"/>
                <w:kern w:val="0"/>
                <w:sz w:val="20"/>
                <w:szCs w:val="20"/>
                <w:u w:val="none"/>
                <w:lang w:val="en-US" w:eastAsia="zh-CN" w:bidi="ar"/>
              </w:rPr>
              <w:t>拆迁补偿项目数量</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bidi="ar"/>
              </w:rPr>
              <w:t>&gt;=4个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4个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仿宋_GB2312" w:cs="Times New Roman"/>
                <w:kern w:val="2"/>
                <w:sz w:val="30"/>
                <w:szCs w:val="24"/>
                <w:lang w:val="en-US" w:eastAsia="zh-CN" w:bidi="ar-SA"/>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Times New Roman" w:hAnsi="Times New Roman" w:eastAsia="仿宋_GB2312" w:cs="Times New Roman"/>
                <w:kern w:val="2"/>
                <w:sz w:val="30"/>
                <w:szCs w:val="24"/>
                <w:lang w:val="en-US" w:eastAsia="zh-CN" w:bidi="ar-SA"/>
              </w:rPr>
            </w:pPr>
            <w:r>
              <w:rPr>
                <w:rFonts w:hint="eastAsia" w:ascii="宋体" w:hAnsi="宋体" w:eastAsia="宋体" w:cs="宋体"/>
                <w:i w:val="0"/>
                <w:color w:val="000000"/>
                <w:kern w:val="0"/>
                <w:sz w:val="20"/>
                <w:szCs w:val="20"/>
                <w:u w:val="none"/>
                <w:lang w:val="en-US" w:eastAsia="zh-CN" w:bidi="ar"/>
              </w:rPr>
              <w:t>资金到位足额率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仿宋_GB2312" w:cs="Times New Roman"/>
                <w:kern w:val="2"/>
                <w:sz w:val="30"/>
                <w:szCs w:val="24"/>
                <w:lang w:val="en-US" w:eastAsia="zh-CN" w:bidi="ar-SA"/>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安置补贴达标率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资金到位及时性</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生态环境成本指标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农牧民有足够经济实力进城购房定居</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有利于</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有利于</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30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30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r>
              <w:rPr>
                <w:rFonts w:hint="eastAsia" w:ascii="宋体" w:hAnsi="宋体" w:eastAsia="宋体" w:cs="宋体"/>
                <w:i w:val="0"/>
                <w:color w:val="000000"/>
                <w:kern w:val="0"/>
                <w:sz w:val="20"/>
                <w:szCs w:val="20"/>
                <w:u w:val="none"/>
                <w:lang w:val="en-US" w:eastAsia="zh-CN" w:bidi="ar"/>
              </w:rPr>
              <w:t>征迁户满意度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1"/>
        <w:ind w:firstLine="562"/>
        <w:jc w:val="center"/>
        <w:rPr>
          <w:sz w:val="28"/>
          <w:szCs w:val="40"/>
        </w:rPr>
      </w:pPr>
      <w:bookmarkStart w:id="21" w:name="_Toc30064_WPSOffice_Level1"/>
      <w:bookmarkStart w:id="22" w:name="_Toc26499_WPSOffice_Level2"/>
      <w:r>
        <w:rPr>
          <w:rFonts w:hint="eastAsia"/>
          <w:b/>
          <w:bCs/>
          <w:sz w:val="28"/>
          <w:szCs w:val="40"/>
          <w:highlight w:val="none"/>
          <w:lang w:val="en-US" w:eastAsia="zh-CN"/>
        </w:rPr>
        <w:t>征地补偿款</w:t>
      </w:r>
      <w:r>
        <w:rPr>
          <w:rFonts w:hint="eastAsia"/>
          <w:b/>
          <w:bCs/>
          <w:sz w:val="28"/>
          <w:szCs w:val="40"/>
        </w:rPr>
        <w:t>绩效评价指标体系及综合评分表</w:t>
      </w:r>
      <w:bookmarkEnd w:id="21"/>
      <w:bookmarkEnd w:id="22"/>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①项目立项是否符合国家法律法规、国民经济发展规划和相关政策；</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②项目立项是否符合行业发展规划和政策要求；</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③项目立项是否与部门职责范围相符，属于部门履职所需；</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④项目是否属于公共财政支持范围，是否符合中央、地方事权支出责任划分原则；</w:t>
            </w:r>
          </w:p>
          <w:p>
            <w:pPr>
              <w:widowControl/>
              <w:spacing w:line="0" w:lineRule="atLeast"/>
              <w:jc w:val="left"/>
              <w:rPr>
                <w:color w:val="000000"/>
                <w:kern w:val="0"/>
                <w:sz w:val="22"/>
                <w:szCs w:val="22"/>
              </w:rPr>
            </w:pP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①项目是否按照规定的程序申请设立；</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②审批文件、材料是否符合相关要求；</w:t>
            </w:r>
          </w:p>
          <w:p>
            <w:pPr>
              <w:widowControl/>
              <w:spacing w:line="0" w:lineRule="atLeast"/>
              <w:jc w:val="left"/>
              <w:rPr>
                <w:color w:val="000000"/>
                <w:kern w:val="0"/>
                <w:sz w:val="22"/>
                <w:szCs w:val="22"/>
              </w:rPr>
            </w:pP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①项目是否有绩效目标；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②项目绩效目标与实际工作内容是否具有相关性；</w:t>
            </w:r>
          </w:p>
          <w:p>
            <w:pPr>
              <w:widowControl/>
              <w:spacing w:line="0" w:lineRule="atLeast"/>
              <w:jc w:val="left"/>
              <w:rPr>
                <w:color w:val="000000"/>
                <w:kern w:val="0"/>
                <w:sz w:val="22"/>
                <w:szCs w:val="22"/>
              </w:rPr>
            </w:pP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①是否将项目绩效目标细化分解为具体的绩效指标；</w:t>
            </w:r>
          </w:p>
          <w:p>
            <w:pPr>
              <w:widowControl/>
              <w:spacing w:line="0" w:lineRule="atLeast"/>
              <w:rPr>
                <w:rFonts w:hint="eastAsia" w:eastAsia="仿宋_GB2312"/>
                <w:color w:val="000000"/>
                <w:kern w:val="0"/>
                <w:sz w:val="22"/>
                <w:szCs w:val="22"/>
                <w:lang w:eastAsia="zh-CN"/>
              </w:rPr>
            </w:pPr>
            <w:r>
              <w:rPr>
                <w:color w:val="000000"/>
                <w:kern w:val="0"/>
                <w:sz w:val="22"/>
                <w:szCs w:val="22"/>
              </w:rPr>
              <w:t>②是否通过清晰、可衡量的指标值予以体现；</w:t>
            </w:r>
          </w:p>
          <w:p>
            <w:pPr>
              <w:widowControl/>
              <w:spacing w:line="0" w:lineRule="atLeast"/>
              <w:rPr>
                <w:rFonts w:hint="eastAsia" w:eastAsia="仿宋_GB2312"/>
                <w:color w:val="000000"/>
                <w:kern w:val="0"/>
                <w:sz w:val="22"/>
                <w:szCs w:val="22"/>
                <w:lang w:eastAsia="zh-CN"/>
              </w:rPr>
            </w:pPr>
            <w:r>
              <w:rPr>
                <w:color w:val="000000"/>
                <w:kern w:val="0"/>
                <w:sz w:val="22"/>
                <w:szCs w:val="22"/>
              </w:rPr>
              <w:t>③是否与项目目标任务数或计划数相对应。</w:t>
            </w:r>
          </w:p>
          <w:p>
            <w:pPr>
              <w:pStyle w:val="2"/>
              <w:rPr>
                <w:rFonts w:hint="eastAsia"/>
                <w:lang w:eastAsia="zh-CN"/>
              </w:rPr>
            </w:pP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①预算编制是否经过科学论证；</w:t>
            </w:r>
          </w:p>
          <w:p>
            <w:pPr>
              <w:widowControl/>
              <w:spacing w:line="0" w:lineRule="atLeast"/>
              <w:rPr>
                <w:rFonts w:hint="eastAsia" w:eastAsia="仿宋_GB2312"/>
                <w:color w:val="000000"/>
                <w:kern w:val="0"/>
                <w:sz w:val="22"/>
                <w:szCs w:val="22"/>
                <w:lang w:eastAsia="zh-CN"/>
              </w:rPr>
            </w:pPr>
            <w:r>
              <w:rPr>
                <w:color w:val="000000"/>
                <w:kern w:val="0"/>
                <w:sz w:val="22"/>
                <w:szCs w:val="22"/>
              </w:rPr>
              <w:t>②预算内容与项目内容是否匹配；</w:t>
            </w:r>
          </w:p>
          <w:p>
            <w:pPr>
              <w:widowControl/>
              <w:spacing w:line="0" w:lineRule="atLeast"/>
              <w:rPr>
                <w:rFonts w:hint="eastAsia" w:eastAsia="仿宋_GB2312"/>
                <w:color w:val="000000"/>
                <w:kern w:val="0"/>
                <w:sz w:val="22"/>
                <w:szCs w:val="22"/>
                <w:lang w:eastAsia="zh-CN"/>
              </w:rPr>
            </w:pPr>
            <w:r>
              <w:rPr>
                <w:color w:val="000000"/>
                <w:kern w:val="0"/>
                <w:sz w:val="22"/>
                <w:szCs w:val="22"/>
              </w:rPr>
              <w:t>③预算额度测算依据是否充分，是否按照标准编制；</w:t>
            </w:r>
          </w:p>
          <w:p>
            <w:pPr>
              <w:widowControl/>
              <w:spacing w:line="0" w:lineRule="atLeast"/>
              <w:rPr>
                <w:color w:val="000000"/>
                <w:kern w:val="0"/>
                <w:sz w:val="22"/>
                <w:szCs w:val="22"/>
              </w:rPr>
            </w:pP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①预算资金分配依据是否充分；</w:t>
            </w:r>
          </w:p>
          <w:p>
            <w:pPr>
              <w:widowControl/>
              <w:spacing w:line="0" w:lineRule="atLeast"/>
              <w:rPr>
                <w:color w:val="000000"/>
                <w:kern w:val="0"/>
                <w:sz w:val="22"/>
                <w:szCs w:val="22"/>
              </w:rPr>
            </w:pP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①是否符合国家财经法规和财务管理制度以及有关专项资金管理办法的规定；</w:t>
            </w:r>
          </w:p>
          <w:p>
            <w:pPr>
              <w:widowControl/>
              <w:spacing w:line="0" w:lineRule="atLeast"/>
              <w:rPr>
                <w:rFonts w:hint="eastAsia" w:eastAsia="仿宋_GB2312"/>
                <w:color w:val="000000"/>
                <w:kern w:val="0"/>
                <w:sz w:val="22"/>
                <w:szCs w:val="22"/>
                <w:lang w:eastAsia="zh-CN"/>
              </w:rPr>
            </w:pPr>
            <w:r>
              <w:rPr>
                <w:color w:val="000000"/>
                <w:kern w:val="0"/>
                <w:sz w:val="22"/>
                <w:szCs w:val="22"/>
              </w:rPr>
              <w:t>②资金的拨付是否有完整的审批程序和手续；</w:t>
            </w:r>
          </w:p>
          <w:p>
            <w:pPr>
              <w:widowControl/>
              <w:spacing w:line="0" w:lineRule="atLeast"/>
              <w:rPr>
                <w:rFonts w:hint="eastAsia" w:eastAsia="仿宋_GB2312"/>
                <w:color w:val="000000"/>
                <w:kern w:val="0"/>
                <w:sz w:val="22"/>
                <w:szCs w:val="22"/>
                <w:lang w:eastAsia="zh-CN"/>
              </w:rPr>
            </w:pPr>
            <w:r>
              <w:rPr>
                <w:color w:val="000000"/>
                <w:kern w:val="0"/>
                <w:sz w:val="22"/>
                <w:szCs w:val="22"/>
              </w:rPr>
              <w:t>③是否符合项目预算批复或合同规定的用途；</w:t>
            </w:r>
          </w:p>
          <w:p>
            <w:pPr>
              <w:widowControl/>
              <w:spacing w:line="0" w:lineRule="atLeast"/>
              <w:rPr>
                <w:color w:val="000000"/>
                <w:kern w:val="0"/>
                <w:sz w:val="22"/>
                <w:szCs w:val="22"/>
              </w:rPr>
            </w:pP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①是否已制定或具有相应的财务和业务管理制度；</w:t>
            </w:r>
          </w:p>
          <w:p>
            <w:pPr>
              <w:widowControl/>
              <w:spacing w:line="0" w:lineRule="atLeast"/>
              <w:rPr>
                <w:color w:val="000000"/>
                <w:kern w:val="0"/>
                <w:sz w:val="22"/>
                <w:szCs w:val="22"/>
              </w:rPr>
            </w:pP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①是否遵守相关法律法规和相关管理规定；</w:t>
            </w:r>
          </w:p>
          <w:p>
            <w:pPr>
              <w:widowControl/>
              <w:spacing w:line="0" w:lineRule="atLeast"/>
              <w:rPr>
                <w:rFonts w:hint="eastAsia" w:eastAsia="仿宋_GB2312"/>
                <w:color w:val="000000"/>
                <w:kern w:val="0"/>
                <w:sz w:val="22"/>
                <w:szCs w:val="22"/>
                <w:lang w:eastAsia="zh-CN"/>
              </w:rPr>
            </w:pPr>
            <w:r>
              <w:rPr>
                <w:color w:val="000000"/>
                <w:kern w:val="0"/>
                <w:sz w:val="22"/>
                <w:szCs w:val="22"/>
              </w:rPr>
              <w:t>②项目调整及支出调整手续是否完备；</w:t>
            </w:r>
          </w:p>
          <w:p>
            <w:pPr>
              <w:widowControl/>
              <w:spacing w:line="0" w:lineRule="atLeast"/>
              <w:rPr>
                <w:rFonts w:hint="eastAsia" w:eastAsia="仿宋_GB2312"/>
                <w:color w:val="000000"/>
                <w:kern w:val="0"/>
                <w:sz w:val="22"/>
                <w:szCs w:val="22"/>
                <w:lang w:eastAsia="zh-CN"/>
              </w:rPr>
            </w:pPr>
            <w:r>
              <w:rPr>
                <w:color w:val="000000"/>
                <w:kern w:val="0"/>
                <w:sz w:val="22"/>
                <w:szCs w:val="22"/>
              </w:rPr>
              <w:t>③项目合同书、验收报告、技术鉴定等资料是否齐全并及时归档；</w:t>
            </w:r>
          </w:p>
          <w:p>
            <w:pPr>
              <w:widowControl/>
              <w:spacing w:line="0" w:lineRule="atLeast"/>
              <w:rPr>
                <w:color w:val="000000"/>
                <w:kern w:val="0"/>
                <w:sz w:val="22"/>
                <w:szCs w:val="22"/>
              </w:rPr>
            </w:pP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仿宋_GB2312"/>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p>
          <w:p>
            <w:pPr>
              <w:widowControl/>
              <w:spacing w:line="0" w:lineRule="atLeast"/>
              <w:rPr>
                <w:rFonts w:hint="eastAsia" w:eastAsia="仿宋_GB2312"/>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仿宋_GB2312"/>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5572727"/>
    <w:rsid w:val="0F2A6BF7"/>
    <w:rsid w:val="109627EE"/>
    <w:rsid w:val="17136327"/>
    <w:rsid w:val="181871E2"/>
    <w:rsid w:val="19166846"/>
    <w:rsid w:val="1AD70FE4"/>
    <w:rsid w:val="20E92B23"/>
    <w:rsid w:val="22AC2218"/>
    <w:rsid w:val="2729052F"/>
    <w:rsid w:val="28C14634"/>
    <w:rsid w:val="2EC724D4"/>
    <w:rsid w:val="2EE30257"/>
    <w:rsid w:val="2F3A733C"/>
    <w:rsid w:val="34DA27CE"/>
    <w:rsid w:val="36411DC5"/>
    <w:rsid w:val="36B72533"/>
    <w:rsid w:val="3C8B2132"/>
    <w:rsid w:val="4057649F"/>
    <w:rsid w:val="4071152C"/>
    <w:rsid w:val="4268465A"/>
    <w:rsid w:val="450B6AE4"/>
    <w:rsid w:val="54873A1A"/>
    <w:rsid w:val="56796849"/>
    <w:rsid w:val="568F383B"/>
    <w:rsid w:val="5B6025A1"/>
    <w:rsid w:val="5D555EEF"/>
    <w:rsid w:val="5DA95371"/>
    <w:rsid w:val="672829FE"/>
    <w:rsid w:val="686F7714"/>
    <w:rsid w:val="6A862BA8"/>
    <w:rsid w:val="6DFC1C65"/>
    <w:rsid w:val="75FA041F"/>
    <w:rsid w:val="760F49BD"/>
    <w:rsid w:val="76E870A0"/>
    <w:rsid w:val="7AE40DD7"/>
    <w:rsid w:val="7B7D6FC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 w:type="paragraph" w:customStyle="1" w:styleId="22">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2024-06-12T03:31:15Z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4CEFCD0548F24ADCBB0F33E9B5D9916B_13</vt:lpwstr>
  </property>
</Properties>
</file>