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政府法律顾问</w:t>
      </w:r>
      <w:r>
        <w:rPr>
          <w:rFonts w:eastAsia="方正小标宋_GBK"/>
          <w:kern w:val="0"/>
          <w:sz w:val="48"/>
          <w:szCs w:val="48"/>
        </w:rPr>
        <w:t>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政府法律顾问</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霍尔果斯市司法局</w:t>
      </w:r>
    </w:p>
    <w:p>
      <w:pPr>
        <w:spacing w:line="560" w:lineRule="exact"/>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霍尔果斯市人民政府</w:t>
      </w: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郑金龙</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月 </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b w:val="0"/>
          <w:bCs w:val="0"/>
          <w:sz w:val="32"/>
          <w:szCs w:val="32"/>
          <w:lang w:eastAsia="zh-CN"/>
        </w:rPr>
      </w:pPr>
      <w:r>
        <w:rPr>
          <w:rFonts w:hint="eastAsia" w:ascii="仿宋_GB2312" w:hAnsi="仿宋"/>
          <w:color w:val="auto"/>
          <w:sz w:val="32"/>
          <w:szCs w:val="32"/>
        </w:rPr>
        <w:t>本项目依据《关于推进法律顾问制度和公职律师公司律师制度的意见》（中办发〔2016〕30号）</w:t>
      </w:r>
      <w:r>
        <w:rPr>
          <w:rFonts w:hint="eastAsia" w:ascii="仿宋_GB2312" w:hAnsi="仿宋"/>
          <w:color w:val="auto"/>
          <w:sz w:val="32"/>
          <w:szCs w:val="32"/>
          <w:lang w:eastAsia="zh-CN"/>
        </w:rPr>
        <w:t>以及自治区司法厅、财政厅关于印发《关于健全完善自治区各级国家机关购买法律服务工作机制的实施意见》的通知</w:t>
      </w:r>
      <w:r>
        <w:rPr>
          <w:rFonts w:hint="eastAsia" w:ascii="仿宋_GB2312" w:hAnsi="仿宋"/>
          <w:color w:val="auto"/>
          <w:sz w:val="32"/>
          <w:szCs w:val="32"/>
        </w:rPr>
        <w:t>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主要内容：司法局政府法律顾问项目年度法律服务顾问费为</w:t>
      </w:r>
      <w:r>
        <w:rPr>
          <w:rFonts w:hint="eastAsia" w:ascii="仿宋_GB2312"/>
          <w:sz w:val="32"/>
          <w:szCs w:val="32"/>
          <w:lang w:val="en-US" w:eastAsia="zh-CN"/>
        </w:rPr>
        <w:t>20</w:t>
      </w:r>
      <w:r>
        <w:rPr>
          <w:rFonts w:hint="eastAsia" w:ascii="仿宋_GB2312"/>
          <w:sz w:val="32"/>
          <w:szCs w:val="32"/>
        </w:rPr>
        <w:t>万元整</w:t>
      </w:r>
      <w:r>
        <w:rPr>
          <w:rFonts w:hint="eastAsia" w:ascii="仿宋_GB2312"/>
          <w:sz w:val="32"/>
          <w:szCs w:val="32"/>
          <w:lang w:eastAsia="zh-CN"/>
        </w:rPr>
        <w:t>，预算批复</w:t>
      </w:r>
      <w:r>
        <w:rPr>
          <w:rFonts w:hint="eastAsia" w:ascii="仿宋_GB2312"/>
          <w:sz w:val="32"/>
          <w:szCs w:val="32"/>
          <w:lang w:val="en-US" w:eastAsia="zh-CN"/>
        </w:rPr>
        <w:t>15万元整，按照合同规定期一次性完成支付。</w:t>
      </w:r>
      <w:r>
        <w:rPr>
          <w:rFonts w:hint="eastAsia" w:ascii="仿宋_GB2312"/>
          <w:sz w:val="32"/>
          <w:szCs w:val="32"/>
        </w:rPr>
        <w:t>本项目是完善法治政府重要措施，项目的实施对提升行政决策水平具有重要意义。</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w:t>
      </w:r>
      <w:r>
        <w:rPr>
          <w:rFonts w:hint="eastAsia"/>
          <w:sz w:val="32"/>
          <w:szCs w:val="32"/>
          <w:lang w:eastAsia="zh-CN"/>
        </w:rPr>
        <w:t>考核机制</w:t>
      </w:r>
      <w:r>
        <w:rPr>
          <w:rFonts w:eastAsia="仿宋_GB2312"/>
          <w:sz w:val="32"/>
          <w:szCs w:val="32"/>
        </w:rPr>
        <w:t>，</w:t>
      </w:r>
      <w:r>
        <w:rPr>
          <w:rFonts w:hint="eastAsia"/>
          <w:sz w:val="32"/>
          <w:szCs w:val="32"/>
          <w:lang w:eastAsia="zh-CN"/>
        </w:rPr>
        <w:t>加强政府法律顾问管理，</w:t>
      </w:r>
      <w:r>
        <w:rPr>
          <w:rFonts w:eastAsia="仿宋_GB2312"/>
          <w:sz w:val="32"/>
          <w:szCs w:val="32"/>
        </w:rPr>
        <w:t>保证项目实施各阶段</w:t>
      </w:r>
      <w:r>
        <w:rPr>
          <w:rFonts w:hint="eastAsia"/>
          <w:sz w:val="32"/>
          <w:szCs w:val="32"/>
          <w:lang w:eastAsia="zh-CN"/>
        </w:rPr>
        <w:t>有效</w:t>
      </w:r>
      <w:r>
        <w:rPr>
          <w:rFonts w:eastAsia="仿宋_GB2312"/>
          <w:sz w:val="32"/>
          <w:szCs w:val="32"/>
        </w:rPr>
        <w:t>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 w:val="32"/>
          <w:szCs w:val="32"/>
        </w:rPr>
      </w:pPr>
      <w:r>
        <w:rPr>
          <w:rFonts w:hint="eastAsia" w:ascii="Times New Roman" w:hAnsi="Times New Roman" w:cs="Times New Roman"/>
          <w:sz w:val="32"/>
          <w:szCs w:val="32"/>
        </w:rPr>
        <w:t>资金投入情况：该项目年初预算数</w:t>
      </w:r>
      <w:r>
        <w:rPr>
          <w:rFonts w:hint="eastAsia" w:ascii="Times New Roman" w:hAnsi="Times New Roman" w:cs="Times New Roman"/>
          <w:sz w:val="32"/>
          <w:szCs w:val="32"/>
          <w:lang w:val="en-US" w:eastAsia="zh-CN"/>
        </w:rPr>
        <w:t>20</w:t>
      </w:r>
      <w:r>
        <w:rPr>
          <w:rFonts w:hint="eastAsia" w:ascii="Times New Roman" w:hAnsi="Times New Roman" w:cs="Times New Roman"/>
          <w:sz w:val="32"/>
          <w:szCs w:val="32"/>
        </w:rPr>
        <w:t>万元，全年预算数</w:t>
      </w:r>
      <w:r>
        <w:rPr>
          <w:rFonts w:hint="eastAsia" w:ascii="Times New Roman" w:hAnsi="Times New Roman" w:cs="Times New Roman"/>
          <w:sz w:val="32"/>
          <w:szCs w:val="32"/>
          <w:lang w:val="en-US" w:eastAsia="zh-CN"/>
        </w:rPr>
        <w:t>20</w:t>
      </w:r>
      <w:r>
        <w:rPr>
          <w:rFonts w:hint="eastAsia" w:ascii="Times New Roman" w:hAnsi="Times New Roman" w:cs="Times New Roman"/>
          <w:sz w:val="32"/>
          <w:szCs w:val="32"/>
        </w:rPr>
        <w:t>万元，实际总投入</w:t>
      </w:r>
      <w:r>
        <w:rPr>
          <w:rFonts w:hint="eastAsia" w:ascii="Times New Roman" w:hAnsi="Times New Roman" w:cs="Times New Roman"/>
          <w:sz w:val="32"/>
          <w:szCs w:val="32"/>
          <w:lang w:val="en-US" w:eastAsia="zh-CN"/>
        </w:rPr>
        <w:t>15</w:t>
      </w:r>
      <w:r>
        <w:rPr>
          <w:rFonts w:hint="eastAsia" w:ascii="Times New Roman" w:hAnsi="Times New Roman" w:cs="Times New Roman"/>
          <w:sz w:val="32"/>
          <w:szCs w:val="32"/>
        </w:rPr>
        <w:t>万元，该项目资金已全部落实到位，资金来源为</w:t>
      </w:r>
      <w:r>
        <w:rPr>
          <w:rFonts w:hint="eastAsia" w:ascii="Times New Roman" w:hAnsi="Times New Roman" w:cs="Times New Roman"/>
          <w:sz w:val="32"/>
          <w:szCs w:val="32"/>
          <w:lang w:val="en-US" w:eastAsia="zh-CN"/>
        </w:rPr>
        <w:t>当年财政拨款</w:t>
      </w:r>
      <w:r>
        <w:rPr>
          <w:rFonts w:hint="eastAsia" w:ascii="Times New Roman" w:hAnsi="Times New Roman"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cs="Times New Roman"/>
          <w:sz w:val="32"/>
          <w:szCs w:val="32"/>
        </w:rPr>
        <w:t>资金使用情况：该项目年初预算数</w:t>
      </w:r>
      <w:r>
        <w:rPr>
          <w:rFonts w:hint="eastAsia" w:ascii="Times New Roman" w:hAnsi="Times New Roman" w:cs="Times New Roman"/>
          <w:sz w:val="32"/>
          <w:szCs w:val="32"/>
          <w:lang w:val="en-US" w:eastAsia="zh-CN"/>
        </w:rPr>
        <w:t>20</w:t>
      </w:r>
      <w:r>
        <w:rPr>
          <w:rFonts w:hint="eastAsia" w:ascii="Times New Roman" w:hAnsi="Times New Roman" w:cs="Times New Roman"/>
          <w:sz w:val="32"/>
          <w:szCs w:val="32"/>
        </w:rPr>
        <w:t>万元，全年预算数</w:t>
      </w:r>
      <w:r>
        <w:rPr>
          <w:rFonts w:hint="eastAsia" w:ascii="Times New Roman" w:hAnsi="Times New Roman" w:cs="Times New Roman"/>
          <w:sz w:val="32"/>
          <w:szCs w:val="32"/>
          <w:lang w:val="en-US" w:eastAsia="zh-CN"/>
        </w:rPr>
        <w:t>20</w:t>
      </w:r>
      <w:r>
        <w:rPr>
          <w:rFonts w:hint="eastAsia" w:ascii="Times New Roman" w:hAnsi="Times New Roman" w:cs="Times New Roman"/>
          <w:sz w:val="32"/>
          <w:szCs w:val="32"/>
        </w:rPr>
        <w:t>万元，全年执行数</w:t>
      </w:r>
      <w:r>
        <w:rPr>
          <w:rFonts w:hint="eastAsia" w:ascii="Times New Roman" w:hAnsi="Times New Roman" w:cs="Times New Roman"/>
          <w:sz w:val="32"/>
          <w:szCs w:val="32"/>
          <w:lang w:val="en-US" w:eastAsia="zh-CN"/>
        </w:rPr>
        <w:t>15</w:t>
      </w:r>
      <w:r>
        <w:rPr>
          <w:rFonts w:hint="eastAsia" w:ascii="Times New Roman" w:hAnsi="Times New Roman" w:cs="Times New Roman"/>
          <w:sz w:val="32"/>
          <w:szCs w:val="32"/>
        </w:rPr>
        <w:t>万元，预算执行率为</w:t>
      </w:r>
      <w:r>
        <w:rPr>
          <w:rFonts w:hint="eastAsia" w:ascii="Times New Roman" w:hAnsi="Times New Roman" w:cs="Times New Roman"/>
          <w:sz w:val="32"/>
          <w:szCs w:val="32"/>
          <w:lang w:val="en-US" w:eastAsia="zh-CN"/>
        </w:rPr>
        <w:t>75</w:t>
      </w:r>
      <w:r>
        <w:rPr>
          <w:rFonts w:hint="eastAsia" w:ascii="Times New Roman" w:hAnsi="Times New Roman" w:cs="Times New Roman"/>
          <w:sz w:val="32"/>
          <w:szCs w:val="32"/>
        </w:rPr>
        <w:t>%，</w:t>
      </w:r>
      <w:r>
        <w:rPr>
          <w:rFonts w:hint="eastAsia" w:ascii="Times New Roman" w:hAnsi="Times New Roman" w:cs="Times New Roman"/>
          <w:sz w:val="32"/>
          <w:szCs w:val="32"/>
          <w:lang w:eastAsia="zh-CN"/>
        </w:rPr>
        <w:t>主要</w:t>
      </w:r>
      <w:r>
        <w:rPr>
          <w:rFonts w:hint="eastAsia" w:ascii="Times New Roman" w:hAnsi="Times New Roman" w:cs="Times New Roman"/>
          <w:sz w:val="32"/>
          <w:szCs w:val="32"/>
        </w:rPr>
        <w:t>用于：</w:t>
      </w:r>
      <w:r>
        <w:rPr>
          <w:rFonts w:hint="eastAsia" w:ascii="Times New Roman" w:hAnsi="Times New Roman" w:cs="Times New Roman"/>
          <w:sz w:val="32"/>
          <w:szCs w:val="32"/>
          <w:lang w:eastAsia="zh-CN"/>
        </w:rPr>
        <w:t>一次性支付政府法律顾问费用</w:t>
      </w:r>
      <w:r>
        <w:rPr>
          <w:rFonts w:hint="eastAsia" w:ascii="Times New Roman" w:hAnsi="Times New Roman" w:cs="Times New Roman"/>
          <w:sz w:val="32"/>
          <w:szCs w:val="32"/>
          <w:lang w:val="en-US" w:eastAsia="zh-CN"/>
        </w:rPr>
        <w:t>15</w:t>
      </w:r>
      <w:r>
        <w:rPr>
          <w:rFonts w:hint="eastAsia" w:ascii="Times New Roman" w:hAnsi="Times New Roman" w:cs="Times New Roman"/>
          <w:sz w:val="32"/>
          <w:szCs w:val="32"/>
        </w:rPr>
        <w:t>万元。</w:t>
      </w:r>
      <w:bookmarkStart w:id="2" w:name="_Toc68703829"/>
    </w:p>
    <w:p>
      <w:p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s="Times New Roman"/>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cs="Times New Roman"/>
          <w:sz w:val="32"/>
          <w:szCs w:val="32"/>
        </w:rPr>
        <w:t>为着力提升法治政府建设水平，加快推进市域社会治理现代化，霍尔果斯市人民政府严格落实《关于推进法律顾问制度和公职律师公司律师制度的意见》文件精神，聘请常年法律顾问，加强政府法律顾问日常管理，切实促进政府法律顾问在重大行政决策、重大行政行为进行合法性审核，提供法律意见；对政府起草或者拟发布的规范性文件，从法律方面提出修改和补充建议的作用；参与处理涉及政府的尚未形成诉讼的民事纠纷、经济纠纷、行政纠纷和其他重大纠纷；代理政府参加诉讼，维护政府依法行使行政职权和维护政府机关的合法权益等方面发挥作用，为切实加强法治政府建设，提升依法执政、依法行政能力和水平提供法治保障。不断加强霍尔果斯法治建设研究深度，推进政府工作在法治轨道上运行。</w:t>
      </w:r>
    </w:p>
    <w:p>
      <w:pPr>
        <w:spacing w:line="560" w:lineRule="exact"/>
        <w:ind w:firstLine="640"/>
        <w:rPr>
          <w:rFonts w:hint="eastAsia"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sz w:val="32"/>
          <w:szCs w:val="32"/>
          <w:lang w:val="en-US" w:eastAsia="zh-CN"/>
        </w:rPr>
        <w:t>加强值班律师日常考勤等管理，对政府法律顾问每季度开展一次考核，同时开展全市执法单位法治督查，从各单位工作开展中考量政府法律顾问作用发挥效益。</w:t>
      </w:r>
    </w:p>
    <w:p>
      <w:pPr>
        <w:spacing w:line="560" w:lineRule="exact"/>
        <w:ind w:firstLine="64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ascii="仿宋_GB2312" w:hAnsi="仿宋_GB2312" w:cs="仿宋_GB2312"/>
          <w:sz w:val="32"/>
          <w:szCs w:val="32"/>
          <w:lang w:eastAsia="zh-CN"/>
        </w:rPr>
        <w:t>政府法律顾问</w:t>
      </w:r>
      <w:r>
        <w:rPr>
          <w:rFonts w:hint="eastAsia" w:ascii="仿宋_GB2312" w:hAnsi="仿宋_GB2312" w:eastAsia="仿宋_GB2312" w:cs="仿宋_GB2312"/>
          <w:sz w:val="32"/>
          <w:szCs w:val="32"/>
        </w:rPr>
        <w:t>项目所包含的全部项目内容</w:t>
      </w:r>
      <w:r>
        <w:rPr>
          <w:rFonts w:hint="eastAsia" w:ascii="仿宋_GB2312" w:hAnsi="仿宋_GB2312" w:cs="仿宋_GB2312"/>
          <w:sz w:val="32"/>
          <w:szCs w:val="32"/>
          <w:lang w:eastAsia="zh-CN"/>
        </w:rPr>
        <w:t>。</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政府法律顾问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sz w:val="32"/>
          <w:szCs w:val="32"/>
        </w:rPr>
      </w:pPr>
      <w:r>
        <w:rPr>
          <w:rFonts w:hint="eastAsia"/>
        </w:rPr>
        <w:t>2、</w:t>
      </w:r>
      <w:r>
        <w:rPr>
          <w:rFonts w:hint="eastAsia"/>
          <w:sz w:val="32"/>
          <w:szCs w:val="32"/>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w:t>
      </w:r>
      <w:r>
        <w:rPr>
          <w:rFonts w:hint="eastAsia"/>
          <w:color w:val="000000"/>
          <w:spacing w:val="17"/>
          <w:sz w:val="32"/>
          <w:szCs w:val="32"/>
          <w:lang w:val="en-US" w:eastAsia="zh-CN"/>
        </w:rPr>
        <w:t>19</w:t>
      </w:r>
      <w:r>
        <w:rPr>
          <w:rFonts w:eastAsia="仿宋_GB2312"/>
          <w:color w:val="000000"/>
          <w:spacing w:val="17"/>
          <w:sz w:val="32"/>
          <w:szCs w:val="32"/>
        </w:rPr>
        <w:t>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rPr>
      </w:pPr>
      <w:r>
        <w:rPr>
          <w:rFonts w:ascii="Times New Roman" w:hAnsi="Times New Roman" w:eastAsia="仿宋_GB2312"/>
          <w:b w:val="0"/>
          <w:bCs w:val="0"/>
          <w:color w:val="000000"/>
          <w:spacing w:val="17"/>
        </w:rPr>
        <w:t>具体评价指标体系详情见附件1</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2"/>
          <w:szCs w:val="32"/>
        </w:rPr>
      </w:pPr>
      <w:r>
        <w:rPr>
          <w:rFonts w:hint="eastAsia"/>
          <w:sz w:val="32"/>
          <w:szCs w:val="32"/>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eastAsia="仿宋_GB2312"/>
          <w:bCs/>
          <w:color w:val="000000" w:themeColor="text1"/>
          <w:sz w:val="32"/>
          <w:szCs w:val="32"/>
          <w:lang w:eastAsia="zh-CN"/>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eastAsia="zh-CN"/>
          <w14:textFill>
            <w14:solidFill>
              <w14:schemeClr w14:val="tx1"/>
            </w14:solidFill>
          </w14:textFill>
        </w:rPr>
        <w:t>计划标准。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0"/>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cs="Times New Roman"/>
          <w:b w:val="0"/>
          <w:bCs w:val="0"/>
        </w:rPr>
        <w:t xml:space="preserve">总得分为 </w:t>
      </w:r>
      <w:r>
        <w:rPr>
          <w:rFonts w:hint="eastAsia" w:ascii="Times New Roman" w:hAnsi="Times New Roman" w:eastAsia="仿宋_GB2312" w:cs="Times New Roman"/>
          <w:b w:val="0"/>
          <w:bCs w:val="0"/>
          <w:lang w:val="en-US" w:eastAsia="zh-CN"/>
        </w:rPr>
        <w:t>95.5</w:t>
      </w:r>
      <w:r>
        <w:rPr>
          <w:rFonts w:hint="eastAsia" w:ascii="Times New Roman" w:hAnsi="Times New Roman" w:eastAsia="仿宋_GB2312" w:cs="Times New Roman"/>
          <w:b w:val="0"/>
          <w:bCs w:val="0"/>
        </w:rPr>
        <w:t xml:space="preserve">分，属于“优”。其中，项目决策类指标权重为20分，得分为 </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18</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90</w:t>
      </w:r>
      <w:r>
        <w:rPr>
          <w:rFonts w:hint="eastAsia"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37.5</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93.75</w:t>
      </w:r>
      <w:r>
        <w:rPr>
          <w:rFonts w:hint="eastAsia"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eastAsia"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eastAsia" w:ascii="Times New Roman" w:hAnsi="Times New Roman" w:eastAsia="仿宋_GB2312" w:cs="Times New Roman"/>
          <w:b w:val="0"/>
          <w:bCs w:val="0"/>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37.5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95.5</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w:t>
      </w:r>
      <w:r>
        <w:rPr>
          <w:rFonts w:hint="eastAsia" w:ascii="仿宋_GB2312" w:hAnsi="仿宋_GB2312" w:eastAsia="仿宋_GB2312" w:cs="仿宋_GB2312"/>
          <w:sz w:val="32"/>
          <w:szCs w:val="32"/>
          <w:lang w:val="en-US" w:eastAsia="zh-CN"/>
        </w:rPr>
        <w:t>指标构成，权重分值为20分，实际得分</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val="en-US" w:eastAsia="zh-CN"/>
        </w:rPr>
        <w:t>%。</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三级指标构成，权重分值为20分，实际得分1</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90</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w:t>
      </w:r>
      <w:r>
        <w:rPr>
          <w:rFonts w:hint="eastAsia" w:ascii="仿宋_GB2312" w:hAnsi="仿宋_GB2312" w:cs="仿宋_GB2312"/>
          <w:sz w:val="32"/>
          <w:szCs w:val="32"/>
          <w:lang w:val="en-US" w:eastAsia="zh-CN"/>
        </w:rPr>
        <w:t>预算20万元，</w:t>
      </w:r>
      <w:r>
        <w:rPr>
          <w:rFonts w:hint="eastAsia" w:ascii="仿宋_GB2312" w:hAnsi="仿宋_GB2312" w:eastAsia="仿宋_GB2312" w:cs="仿宋_GB2312"/>
          <w:sz w:val="32"/>
          <w:szCs w:val="32"/>
          <w:lang w:val="en-US" w:eastAsia="zh-CN"/>
        </w:rPr>
        <w:t>投资</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lang w:val="en-US" w:eastAsia="zh-CN"/>
        </w:rPr>
        <w:t>万元，财政资金</w:t>
      </w:r>
      <w:r>
        <w:rPr>
          <w:rFonts w:hint="eastAsia" w:ascii="仿宋_GB2312" w:hAnsi="仿宋_GB2312" w:cs="仿宋_GB2312"/>
          <w:sz w:val="32"/>
          <w:szCs w:val="32"/>
          <w:lang w:val="en-US" w:eastAsia="zh-CN"/>
        </w:rPr>
        <w:t>未能</w:t>
      </w:r>
      <w:r>
        <w:rPr>
          <w:rFonts w:hint="eastAsia" w:ascii="仿宋_GB2312" w:hAnsi="仿宋_GB2312" w:eastAsia="仿宋_GB2312" w:cs="仿宋_GB2312"/>
          <w:sz w:val="32"/>
          <w:szCs w:val="32"/>
          <w:lang w:val="en-US" w:eastAsia="zh-CN"/>
        </w:rPr>
        <w:t>及时足额到位，到位率</w:t>
      </w:r>
      <w:r>
        <w:rPr>
          <w:rFonts w:hint="eastAsia" w:ascii="仿宋_GB2312" w:hAnsi="仿宋_GB2312" w:cs="仿宋_GB2312"/>
          <w:sz w:val="32"/>
          <w:szCs w:val="32"/>
          <w:lang w:val="en-US" w:eastAsia="zh-CN"/>
        </w:rPr>
        <w:t>75</w:t>
      </w:r>
      <w:r>
        <w:rPr>
          <w:rFonts w:hint="eastAsia" w:ascii="仿宋_GB2312" w:hAnsi="仿宋_GB2312" w:eastAsia="仿宋_GB2312" w:cs="仿宋_GB2312"/>
          <w:sz w:val="32"/>
          <w:szCs w:val="32"/>
          <w:lang w:val="en-US" w:eastAsia="zh-CN"/>
        </w:rPr>
        <w:t>%，预算资金</w:t>
      </w:r>
      <w:r>
        <w:rPr>
          <w:rFonts w:hint="eastAsia" w:ascii="仿宋_GB2312" w:hAnsi="仿宋_GB2312" w:cs="仿宋_GB2312"/>
          <w:sz w:val="32"/>
          <w:szCs w:val="32"/>
          <w:lang w:val="en-US" w:eastAsia="zh-CN"/>
        </w:rPr>
        <w:t>未能完全</w:t>
      </w:r>
      <w:r>
        <w:rPr>
          <w:rFonts w:hint="eastAsia" w:ascii="仿宋_GB2312" w:hAnsi="仿宋_GB2312" w:eastAsia="仿宋_GB2312" w:cs="仿宋_GB2312"/>
          <w:sz w:val="32"/>
          <w:szCs w:val="32"/>
          <w:lang w:val="en-US" w:eastAsia="zh-CN"/>
        </w:rPr>
        <w:t>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w:t>
      </w:r>
      <w:r>
        <w:rPr>
          <w:rFonts w:hint="eastAsia" w:ascii="仿宋_GB2312" w:hAnsi="仿宋_GB2312" w:cs="仿宋_GB2312"/>
          <w:sz w:val="32"/>
          <w:szCs w:val="32"/>
          <w:lang w:val="en-US" w:eastAsia="zh-CN"/>
        </w:rPr>
        <w:t>未</w:t>
      </w:r>
      <w:r>
        <w:rPr>
          <w:rFonts w:hint="eastAsia" w:ascii="仿宋_GB2312" w:hAnsi="仿宋_GB2312" w:eastAsia="仿宋_GB2312" w:cs="仿宋_GB2312"/>
          <w:sz w:val="32"/>
          <w:szCs w:val="32"/>
          <w:lang w:val="en-US" w:eastAsia="zh-CN"/>
        </w:rPr>
        <w:t>能够按照预算执行，预算资金支出</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5万元，预算执行率为</w:t>
      </w:r>
      <w:r>
        <w:rPr>
          <w:rFonts w:hint="eastAsia" w:ascii="仿宋_GB2312" w:hAnsi="仿宋_GB2312" w:cs="仿宋_GB2312"/>
          <w:sz w:val="32"/>
          <w:szCs w:val="32"/>
          <w:lang w:val="en-US" w:eastAsia="zh-CN"/>
        </w:rPr>
        <w:t>75</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项目产出类指标包括产出数量、产出质量、产出时效、产出成本四方面的内容，由8个三级指标构成，权重分为40分，实际得分</w:t>
      </w:r>
      <w:r>
        <w:rPr>
          <w:rFonts w:hint="eastAsia" w:ascii="仿宋_GB2312" w:hAnsi="仿宋_GB2312" w:cs="仿宋_GB2312"/>
          <w:sz w:val="32"/>
          <w:szCs w:val="32"/>
          <w:lang w:val="en-US" w:eastAsia="zh-CN"/>
        </w:rPr>
        <w:t>37.5</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93.75</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：合作律师事务所数量</w:t>
      </w:r>
      <w:r>
        <w:rPr>
          <w:rFonts w:hint="eastAsia"/>
          <w:color w:val="auto"/>
          <w:sz w:val="32"/>
          <w:szCs w:val="32"/>
        </w:rPr>
        <w:t>，指标值：</w:t>
      </w:r>
      <w:r>
        <w:rPr>
          <w:rFonts w:hint="eastAsia"/>
          <w:color w:val="auto"/>
          <w:sz w:val="32"/>
          <w:szCs w:val="32"/>
          <w:lang w:eastAsia="zh-CN"/>
        </w:rPr>
        <w:t xml:space="preserve"> =1个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w:t>
      </w:r>
      <w:r>
        <w:rPr>
          <w:rFonts w:hint="eastAsia"/>
          <w:color w:val="auto"/>
          <w:sz w:val="32"/>
          <w:szCs w:val="32"/>
          <w:lang w:eastAsia="zh-CN"/>
        </w:rPr>
        <w:t>服务政府职能部门单位数量</w:t>
      </w:r>
      <w:r>
        <w:rPr>
          <w:rFonts w:hint="eastAsia"/>
          <w:color w:val="auto"/>
          <w:sz w:val="32"/>
          <w:szCs w:val="32"/>
        </w:rPr>
        <w:t>，指标值：</w:t>
      </w:r>
      <w:r>
        <w:rPr>
          <w:rFonts w:hint="eastAsia"/>
          <w:color w:val="auto"/>
          <w:sz w:val="32"/>
          <w:szCs w:val="32"/>
          <w:lang w:eastAsia="zh-CN"/>
        </w:rPr>
        <w:t>≥32个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36个</w:t>
      </w:r>
      <w:r>
        <w:rPr>
          <w:rFonts w:hint="eastAsia"/>
          <w:color w:val="auto"/>
          <w:sz w:val="32"/>
          <w:szCs w:val="32"/>
        </w:rPr>
        <w:t>，指标完成率</w:t>
      </w:r>
      <w:r>
        <w:rPr>
          <w:rFonts w:hint="eastAsia"/>
          <w:color w:val="auto"/>
          <w:sz w:val="32"/>
          <w:szCs w:val="32"/>
          <w:lang w:val="en-US" w:eastAsia="zh-CN"/>
        </w:rPr>
        <w:t>112.5</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Times New Roman" w:hAnsi="Times New Roman" w:cs="Times New Roman"/>
          <w:color w:val="auto"/>
          <w:sz w:val="32"/>
          <w:szCs w:val="32"/>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lang w:eastAsia="zh-CN"/>
        </w:rPr>
        <w:t>为政府职能部门提供法律服务时间</w:t>
      </w:r>
      <w:r>
        <w:rPr>
          <w:rFonts w:hint="eastAsia"/>
          <w:color w:val="auto"/>
          <w:sz w:val="32"/>
          <w:szCs w:val="32"/>
        </w:rPr>
        <w:t>，指标值：</w:t>
      </w:r>
      <w:r>
        <w:rPr>
          <w:rFonts w:hint="eastAsia"/>
          <w:color w:val="auto"/>
          <w:sz w:val="32"/>
          <w:szCs w:val="32"/>
          <w:lang w:eastAsia="zh-CN"/>
        </w:rPr>
        <w:t>12个月</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12个月</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咨询服务合格率</w:t>
      </w:r>
      <w:r>
        <w:rPr>
          <w:rFonts w:hint="eastAsia"/>
          <w:color w:val="auto"/>
          <w:sz w:val="32"/>
          <w:szCs w:val="32"/>
        </w:rPr>
        <w:t>，指标值：</w:t>
      </w:r>
      <w:r>
        <w:rPr>
          <w:rFonts w:hint="eastAsia"/>
          <w:color w:val="auto"/>
          <w:sz w:val="32"/>
          <w:szCs w:val="32"/>
          <w:lang w:eastAsia="zh-CN"/>
        </w:rPr>
        <w:t>≥98%</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102</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指标2：</w:t>
      </w:r>
      <w:r>
        <w:rPr>
          <w:rFonts w:hint="eastAsia"/>
          <w:color w:val="auto"/>
          <w:sz w:val="32"/>
          <w:szCs w:val="32"/>
          <w:lang w:eastAsia="zh-CN"/>
        </w:rPr>
        <w:t>完成委托交办工作事项及时率</w:t>
      </w:r>
      <w:r>
        <w:rPr>
          <w:rFonts w:hint="eastAsia"/>
          <w:color w:val="auto"/>
          <w:sz w:val="32"/>
          <w:szCs w:val="32"/>
        </w:rPr>
        <w:t>，指标值：</w:t>
      </w:r>
      <w:r>
        <w:rPr>
          <w:rFonts w:hint="eastAsia"/>
          <w:color w:val="auto"/>
          <w:sz w:val="32"/>
          <w:szCs w:val="32"/>
          <w:lang w:eastAsia="zh-CN"/>
        </w:rPr>
        <w:t>≥9</w:t>
      </w:r>
      <w:r>
        <w:rPr>
          <w:rFonts w:hint="eastAsia"/>
          <w:color w:val="auto"/>
          <w:sz w:val="32"/>
          <w:szCs w:val="32"/>
          <w:lang w:val="en-US" w:eastAsia="zh-CN"/>
        </w:rPr>
        <w:t>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4" w:name="_Toc68703841"/>
      <w:r>
        <w:rPr>
          <w:rFonts w:hint="eastAsia"/>
          <w:color w:val="auto"/>
          <w:sz w:val="32"/>
          <w:szCs w:val="32"/>
        </w:rPr>
        <w:t>指标1：</w:t>
      </w:r>
      <w:r>
        <w:rPr>
          <w:rFonts w:hint="eastAsia"/>
          <w:color w:val="auto"/>
          <w:sz w:val="32"/>
          <w:szCs w:val="32"/>
          <w:lang w:eastAsia="zh-CN"/>
        </w:rPr>
        <w:t>资金支付及时率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75%</w:t>
      </w:r>
      <w:r>
        <w:rPr>
          <w:rFonts w:hint="eastAsia"/>
          <w:color w:val="auto"/>
          <w:sz w:val="32"/>
          <w:szCs w:val="32"/>
        </w:rPr>
        <w:t>，指标完成率</w:t>
      </w:r>
      <w:r>
        <w:rPr>
          <w:rFonts w:hint="eastAsia"/>
          <w:color w:val="auto"/>
          <w:sz w:val="32"/>
          <w:szCs w:val="32"/>
          <w:lang w:val="en-US" w:eastAsia="zh-CN"/>
        </w:rPr>
        <w:t>75</w:t>
      </w:r>
      <w:r>
        <w:rPr>
          <w:rFonts w:hint="eastAsia"/>
          <w:color w:val="auto"/>
          <w:sz w:val="32"/>
          <w:szCs w:val="32"/>
        </w:rPr>
        <w:t>%</w:t>
      </w:r>
      <w:r>
        <w:rPr>
          <w:rFonts w:hint="eastAsia"/>
          <w:color w:val="auto"/>
          <w:sz w:val="32"/>
          <w:szCs w:val="32"/>
          <w:lang w:eastAsia="zh-CN"/>
        </w:rPr>
        <w:t>。</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①</w:t>
      </w:r>
      <w:r>
        <w:rPr>
          <w:rFonts w:hint="eastAsia" w:ascii="仿宋_GB2312" w:hAnsi="仿宋_GB2312" w:eastAsia="仿宋_GB2312" w:cs="仿宋_GB2312"/>
          <w:sz w:val="32"/>
          <w:szCs w:val="32"/>
          <w:highlight w:val="none"/>
          <w:lang w:val="en-US" w:eastAsia="zh-CN"/>
        </w:rPr>
        <w:t>社会效益指标指标：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eastAsia="zh-CN"/>
        </w:rPr>
        <w:t>提升霍尔果斯市法治政府建设水平</w:t>
      </w:r>
      <w:r>
        <w:rPr>
          <w:rFonts w:hint="eastAsia"/>
          <w:color w:val="auto"/>
          <w:sz w:val="32"/>
          <w:szCs w:val="32"/>
        </w:rPr>
        <w:t>，指标值</w:t>
      </w:r>
      <w:r>
        <w:rPr>
          <w:rFonts w:hint="eastAsia"/>
          <w:color w:val="auto"/>
          <w:sz w:val="32"/>
          <w:szCs w:val="32"/>
          <w:lang w:eastAsia="zh-CN"/>
        </w:rPr>
        <w:t>：有效提升</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eastAsia="zh-CN"/>
        </w:rPr>
        <w:t>政府职能部门满意度</w:t>
      </w:r>
      <w:r>
        <w:rPr>
          <w:rFonts w:hint="eastAsia"/>
          <w:color w:val="auto"/>
          <w:sz w:val="32"/>
          <w:szCs w:val="32"/>
        </w:rPr>
        <w:t>，指标值</w:t>
      </w:r>
      <w:r>
        <w:rPr>
          <w:rFonts w:hint="eastAsia"/>
          <w:color w:val="auto"/>
          <w:sz w:val="32"/>
          <w:szCs w:val="32"/>
          <w:lang w:eastAsia="zh-CN"/>
        </w:rPr>
        <w:t>：≥93%</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highlight w:val="none"/>
          <w:lang w:eastAsia="zh-Hans"/>
        </w:rPr>
      </w:pPr>
      <w:r>
        <w:rPr>
          <w:rFonts w:hint="eastAsia" w:ascii="Times New Roman" w:hAnsi="Times New Roman" w:eastAsia="黑体" w:cs="Times New Roman"/>
          <w:sz w:val="32"/>
          <w:szCs w:val="32"/>
          <w:lang w:eastAsia="zh-Hans"/>
        </w:rPr>
        <w:t>五、预</w:t>
      </w:r>
      <w:r>
        <w:rPr>
          <w:rFonts w:hint="eastAsia" w:ascii="Times New Roman" w:hAnsi="Times New Roman" w:eastAsia="黑体" w:cs="Times New Roman"/>
          <w:sz w:val="32"/>
          <w:szCs w:val="32"/>
          <w:highlight w:val="none"/>
          <w:lang w:eastAsia="zh-Hans"/>
        </w:rPr>
        <w:t>算执行进度与绩效指标总体完成率偏差</w:t>
      </w:r>
    </w:p>
    <w:p>
      <w:pPr>
        <w:pStyle w:val="20"/>
        <w:spacing w:line="560" w:lineRule="exact"/>
        <w:ind w:firstLine="640"/>
      </w:pPr>
      <w:r>
        <w:rPr>
          <w:rFonts w:hint="eastAsia" w:ascii="Times New Roman" w:hAnsi="Times New Roman" w:eastAsia="仿宋_GB2312" w:cs="Times New Roman"/>
          <w:kern w:val="2"/>
          <w:sz w:val="32"/>
          <w:szCs w:val="32"/>
          <w:highlight w:val="none"/>
          <w:lang w:val="en-US" w:eastAsia="zh-CN" w:bidi="ar-SA"/>
        </w:rPr>
        <w:t>政府法律顾问项目年初预算20万元，全年预算20万元，实际支出15万元，预算执行率为75%，项目绩效指标总体完成率为</w:t>
      </w:r>
      <w:r>
        <w:rPr>
          <w:rFonts w:hint="eastAsia" w:cs="Times New Roman"/>
          <w:kern w:val="2"/>
          <w:sz w:val="32"/>
          <w:szCs w:val="32"/>
          <w:highlight w:val="none"/>
          <w:lang w:val="en-US" w:eastAsia="zh-CN" w:bidi="ar-SA"/>
        </w:rPr>
        <w:t>100</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w:t>
      </w:r>
      <w:r>
        <w:rPr>
          <w:rFonts w:hint="eastAsia" w:cs="Times New Roman"/>
          <w:kern w:val="2"/>
          <w:sz w:val="32"/>
          <w:szCs w:val="32"/>
          <w:highlight w:val="none"/>
          <w:lang w:val="en-US" w:eastAsia="zh-CN" w:bidi="ar-SA"/>
        </w:rPr>
        <w:t>25</w:t>
      </w:r>
      <w:r>
        <w:rPr>
          <w:rFonts w:hint="eastAsia"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偏差</w:t>
      </w:r>
      <w:r>
        <w:rPr>
          <w:rFonts w:hint="eastAsia" w:ascii="Times New Roman" w:hAnsi="Times New Roman" w:eastAsia="仿宋_GB2312" w:cs="Times New Roman"/>
          <w:kern w:val="2"/>
          <w:sz w:val="32"/>
          <w:szCs w:val="32"/>
          <w:highlight w:val="none"/>
          <w:lang w:val="en-US" w:eastAsia="zh-CN" w:bidi="ar-SA"/>
        </w:rPr>
        <w:t>原因编制预算数较高，</w:t>
      </w:r>
      <w:r>
        <w:rPr>
          <w:rFonts w:hint="eastAsia" w:ascii="Times New Roman" w:hAnsi="Times New Roman" w:eastAsia="仿宋_GB2312" w:cs="Times New Roman"/>
          <w:kern w:val="2"/>
          <w:sz w:val="32"/>
          <w:szCs w:val="32"/>
          <w:highlight w:val="none"/>
          <w:lang w:val="en-US" w:eastAsia="zh-Hans" w:bidi="ar-SA"/>
        </w:rPr>
        <w:t>改进</w:t>
      </w:r>
      <w:r>
        <w:rPr>
          <w:rFonts w:hint="eastAsia" w:ascii="Times New Roman" w:hAnsi="Times New Roman" w:eastAsia="仿宋_GB2312" w:cs="Times New Roman"/>
          <w:kern w:val="2"/>
          <w:sz w:val="32"/>
          <w:szCs w:val="32"/>
          <w:highlight w:val="none"/>
          <w:lang w:val="en-US" w:eastAsia="zh-CN" w:bidi="ar-SA"/>
        </w:rPr>
        <w:t>措施</w:t>
      </w:r>
      <w:r>
        <w:rPr>
          <w:rFonts w:hint="eastAsia"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科学编制本门年度预算。</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bookmarkStart w:id="17" w:name="_Toc68703844"/>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color w:val="FF0000"/>
          <w:sz w:val="32"/>
          <w:szCs w:val="32"/>
        </w:rPr>
      </w:pPr>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cs="仿宋_GB2312"/>
          <w:sz w:val="32"/>
          <w:szCs w:val="32"/>
          <w:highlight w:val="none"/>
          <w:lang w:val="en-US" w:eastAsia="zh-CN"/>
        </w:rPr>
        <w:t>因预算编制不够全面，导致该项目预算较高，实际到位资金较低，导致资金实际支付率较低</w:t>
      </w:r>
      <w:r>
        <w:rPr>
          <w:rFonts w:hint="eastAsia" w:ascii="仿宋_GB2312" w:hAnsi="仿宋_GB2312" w:eastAsia="仿宋_GB2312" w:cs="仿宋_GB2312"/>
          <w:sz w:val="32"/>
          <w:szCs w:val="32"/>
          <w:highlight w:val="none"/>
          <w:lang w:val="en-US" w:eastAsia="zh-CN"/>
        </w:rPr>
        <w:t>。</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outlineLvl w:val="9"/>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10"/>
      </w:pPr>
    </w:p>
    <w:p/>
    <w:p>
      <w:pPr>
        <w:pStyle w:val="2"/>
      </w:pPr>
    </w:p>
    <w:p>
      <w:pPr>
        <w:pStyle w:val="2"/>
      </w:pPr>
    </w:p>
    <w:p>
      <w:pPr>
        <w:pStyle w:val="2"/>
      </w:pPr>
    </w:p>
    <w:p/>
    <w:p>
      <w:pPr>
        <w:pStyle w:val="10"/>
        <w:jc w:val="both"/>
      </w:pPr>
    </w:p>
    <w:p>
      <w:pPr>
        <w:pStyle w:val="2"/>
        <w:ind w:left="0" w:leftChars="0" w:firstLine="0" w:firstLineChars="0"/>
        <w:rPr>
          <w:rFonts w:hint="eastAsia" w:ascii="黑体" w:hAnsi="黑体" w:eastAsia="黑体" w:cs="黑体"/>
          <w:bCs/>
          <w:sz w:val="32"/>
          <w:szCs w:val="32"/>
        </w:rPr>
      </w:pPr>
    </w:p>
    <w:p>
      <w:pPr>
        <w:pStyle w:val="2"/>
        <w:ind w:left="0" w:leftChars="0" w:firstLine="0" w:firstLineChars="0"/>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2"/>
        <w:rPr>
          <w:rFonts w:hint="eastAsia" w:ascii="黑体" w:hAnsi="黑体" w:eastAsia="黑体" w:cs="黑体"/>
          <w:bCs/>
          <w:sz w:val="32"/>
          <w:szCs w:val="32"/>
        </w:rPr>
      </w:pPr>
    </w:p>
    <w:p>
      <w:pPr>
        <w:bidi w:val="0"/>
        <w:rPr>
          <w:rFonts w:hint="eastAsia"/>
        </w:rPr>
      </w:pPr>
    </w:p>
    <w:p>
      <w:pPr>
        <w:bidi w:val="0"/>
        <w:rPr>
          <w:rFonts w:hint="eastAsia"/>
        </w:rPr>
      </w:pPr>
    </w:p>
    <w:p>
      <w:pPr>
        <w:bidi w:val="0"/>
        <w:rPr>
          <w:rFonts w:hint="eastAsia"/>
        </w:rPr>
      </w:pPr>
    </w:p>
    <w:p>
      <w:pPr>
        <w:bidi w:val="0"/>
        <w:rPr>
          <w:rFonts w:hint="eastAsia"/>
        </w:rPr>
      </w:pPr>
    </w:p>
    <w:p>
      <w:pPr>
        <w:bidi w:val="0"/>
        <w:jc w:val="left"/>
        <w:rPr>
          <w:rFonts w:hint="eastAsia"/>
        </w:rPr>
        <w:sectPr>
          <w:headerReference r:id="rId3" w:type="default"/>
          <w:pgSz w:w="11906" w:h="16838"/>
          <w:pgMar w:top="1928" w:right="1531" w:bottom="1701" w:left="1531" w:header="737" w:footer="851" w:gutter="0"/>
          <w:cols w:space="720" w:num="1"/>
          <w:docGrid w:type="lines" w:linePitch="408" w:charSpace="0"/>
        </w:sectPr>
      </w:pPr>
    </w:p>
    <w:tbl>
      <w:tblPr>
        <w:tblW w:w="13725" w:type="dxa"/>
        <w:jc w:val="center"/>
        <w:tblInd w:w="-24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042"/>
        <w:gridCol w:w="1043"/>
        <w:gridCol w:w="1049"/>
        <w:gridCol w:w="1236"/>
        <w:gridCol w:w="1184"/>
        <w:gridCol w:w="629"/>
        <w:gridCol w:w="1457"/>
        <w:gridCol w:w="1299"/>
        <w:gridCol w:w="837"/>
        <w:gridCol w:w="755"/>
        <w:gridCol w:w="852"/>
        <w:gridCol w:w="606"/>
        <w:gridCol w:w="685"/>
        <w:gridCol w:w="10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05" w:hRule="atLeast"/>
          <w:jc w:val="center"/>
        </w:trPr>
        <w:tc>
          <w:tcPr>
            <w:tcW w:w="13725"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725"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20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11640"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政府法律顾问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20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5555"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霍尔果斯市司法局</w:t>
            </w:r>
          </w:p>
        </w:tc>
        <w:tc>
          <w:tcPr>
            <w:tcW w:w="21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949"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霍尔果斯市司法局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208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8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20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21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6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2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10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208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18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20.00</w:t>
            </w:r>
          </w:p>
        </w:tc>
        <w:tc>
          <w:tcPr>
            <w:tcW w:w="20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1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15.00</w:t>
            </w:r>
          </w:p>
        </w:tc>
        <w:tc>
          <w:tcPr>
            <w:tcW w:w="16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2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75.00%</w:t>
            </w:r>
          </w:p>
        </w:tc>
        <w:tc>
          <w:tcPr>
            <w:tcW w:w="10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7.50分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208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18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0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21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w:t>
            </w:r>
          </w:p>
        </w:tc>
        <w:tc>
          <w:tcPr>
            <w:tcW w:w="16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2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208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18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0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2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208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18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08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1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0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29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0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04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6598"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6085"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60"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598"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为着力提升法治政府建设水平，加快推进市域社会治理现代化，霍尔果斯市人民政府严格落实《关于推进法律顾问制度和公职律师公司律师制度的意见》文件精神，聘请常年法律顾问，加强政府法律顾问日常管理，切实促进政府法律顾问在重大行政决策、重大行政行为进行合法性审核，提供法律意见；对政府起草或者拟发布的规范性文件，从法律方面提出修改和补充建议的作用；参与处理涉及政府的尚未形成诉讼的民事纠纷、经济纠纷、行政纠纷和其他重大纠纷；代理政府参加诉讼，维护政府依法行使行政职权和维护政府机关的合法权益等方面发挥作用，为切实加强法治政府建设，提升依法执政、依法行政能力和水平提供法治保障。不断加强霍尔果斯法治建设研究深度，推进政府工作在法治轨道上运行。</w:t>
            </w:r>
          </w:p>
        </w:tc>
        <w:tc>
          <w:tcPr>
            <w:tcW w:w="6085"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共参加政府常务会9次，参与重大行政决策的讨论9次，解答政府相关部门的法律咨询36人次；参与行政应诉5起（撤诉1起），参与行政复议案件8次、审查复议决定书5份、为行政案件的解决提供法律意见，接受委托参与政府行政部门民事诉讼4起，参与信访接待6起，在全市范围内参与普法宣讲13次；审查各类合同、文件263件，进一步提升了法治政府建设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04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04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3049"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45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29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59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458"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73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049"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5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9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58"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3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104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合作律师事务所数量</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=1个</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1个</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服务政府职能部门单位数量</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&gt;=32个</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36个</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2023年度政府法律顾问服务政府职能部门数量增加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为政府职能部门提供法律服务时间</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=12个月</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12个月</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咨询服务合格率</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&gt;=98%</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法律咨询服务已完成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完成委托交办工作事项及时率</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法律咨询服务已完成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资金支付及时率</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提升霍尔果斯市法治政府建设水平</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有效提升</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有效提升</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104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04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3049"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政府职能部门满意度</w:t>
            </w:r>
          </w:p>
        </w:tc>
        <w:tc>
          <w:tcPr>
            <w:tcW w:w="14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&gt;=93%</w:t>
            </w:r>
          </w:p>
        </w:tc>
        <w:tc>
          <w:tcPr>
            <w:tcW w:w="12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8939"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5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45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97.50分</w:t>
            </w:r>
          </w:p>
        </w:tc>
        <w:tc>
          <w:tcPr>
            <w:tcW w:w="173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rPr>
          <w:rFonts w:hint="eastAsia"/>
        </w:rPr>
        <w:sectPr>
          <w:pgSz w:w="16838" w:h="11906" w:orient="landscape"/>
          <w:pgMar w:top="1531" w:right="1928" w:bottom="1531" w:left="170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ascii="Times New Roman" w:hAnsi="Times New Roman" w:cs="Times New Roman"/>
          <w:b/>
          <w:bCs/>
          <w:sz w:val="28"/>
          <w:szCs w:val="40"/>
          <w:lang w:val="en-US" w:eastAsia="zh-CN"/>
        </w:rPr>
        <w:t>政府法律顾问</w:t>
      </w:r>
      <w:r>
        <w:rPr>
          <w:rFonts w:hint="eastAsia" w:ascii="Times New Roman" w:hAnsi="Times New Roman" w:cs="Times New Roman"/>
          <w:b/>
          <w:bCs/>
          <w:sz w:val="28"/>
          <w:szCs w:val="40"/>
        </w:rPr>
        <w:t>绩</w:t>
      </w:r>
      <w:r>
        <w:rPr>
          <w:rFonts w:hint="eastAsia"/>
          <w:b/>
          <w:bCs/>
          <w:sz w:val="28"/>
          <w:szCs w:val="40"/>
        </w:rPr>
        <w:t>效评价指标体系及综合评分表</w:t>
      </w:r>
      <w:bookmarkEnd w:id="20"/>
      <w:bookmarkEnd w:id="21"/>
    </w:p>
    <w:tbl>
      <w:tblPr>
        <w:tblW w:w="15000" w:type="dxa"/>
        <w:jc w:val="center"/>
        <w:tblInd w:w="-8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39"/>
        <w:gridCol w:w="1140"/>
        <w:gridCol w:w="1360"/>
        <w:gridCol w:w="3395"/>
        <w:gridCol w:w="6907"/>
        <w:gridCol w:w="729"/>
        <w:gridCol w:w="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23" w:hRule="atLeast"/>
          <w:jc w:val="center"/>
        </w:trPr>
        <w:tc>
          <w:tcPr>
            <w:tcW w:w="13541"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bookmarkStart w:id="22" w:name="_GoBack"/>
            <w:r>
              <w:rPr>
                <w:rFonts w:hint="eastAsia" w:ascii="宋体" w:hAnsi="宋体" w:eastAsia="宋体" w:cs="宋体"/>
                <w:b/>
                <w:i w:val="0"/>
                <w:color w:val="000000"/>
                <w:kern w:val="0"/>
                <w:sz w:val="36"/>
                <w:szCs w:val="36"/>
                <w:u w:val="none"/>
                <w:bdr w:val="none" w:color="auto" w:sz="0" w:space="0"/>
                <w:lang w:val="en-US" w:eastAsia="zh-CN" w:bidi="ar"/>
              </w:rPr>
              <w:t>政府法律顾问项目支出绩效评价指标体系</w:t>
            </w:r>
          </w:p>
        </w:tc>
        <w:tc>
          <w:tcPr>
            <w:tcW w:w="729"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30"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6" w:hRule="atLeast"/>
          <w:jc w:val="center"/>
        </w:trPr>
        <w:tc>
          <w:tcPr>
            <w:tcW w:w="73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3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39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2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4"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1"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3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39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39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3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39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jc w:val="center"/>
        </w:trPr>
        <w:tc>
          <w:tcPr>
            <w:tcW w:w="73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39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6" w:hRule="atLeast"/>
          <w:jc w:val="center"/>
        </w:trPr>
        <w:tc>
          <w:tcPr>
            <w:tcW w:w="13541"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29"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95.50 </w:t>
            </w:r>
          </w:p>
        </w:tc>
      </w:tr>
      <w:bookmarkEnd w:id="22"/>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1DC728D"/>
    <w:rsid w:val="02707225"/>
    <w:rsid w:val="05253FFE"/>
    <w:rsid w:val="055B0B21"/>
    <w:rsid w:val="06DD2AD2"/>
    <w:rsid w:val="07521B5C"/>
    <w:rsid w:val="0A864D44"/>
    <w:rsid w:val="0EC87F94"/>
    <w:rsid w:val="0F2A6BF7"/>
    <w:rsid w:val="0F3F0608"/>
    <w:rsid w:val="0F916E5A"/>
    <w:rsid w:val="108575BA"/>
    <w:rsid w:val="109627EE"/>
    <w:rsid w:val="11307E81"/>
    <w:rsid w:val="11A36D35"/>
    <w:rsid w:val="139B3268"/>
    <w:rsid w:val="144D5ECF"/>
    <w:rsid w:val="14CD3CDA"/>
    <w:rsid w:val="153D4C52"/>
    <w:rsid w:val="165A59DC"/>
    <w:rsid w:val="17136327"/>
    <w:rsid w:val="181871E2"/>
    <w:rsid w:val="19166846"/>
    <w:rsid w:val="19D43CAA"/>
    <w:rsid w:val="1AA72145"/>
    <w:rsid w:val="1D8E6241"/>
    <w:rsid w:val="1D9831C8"/>
    <w:rsid w:val="1FC11EA9"/>
    <w:rsid w:val="20E57D56"/>
    <w:rsid w:val="20E92B23"/>
    <w:rsid w:val="22AC2218"/>
    <w:rsid w:val="2729052F"/>
    <w:rsid w:val="28C14634"/>
    <w:rsid w:val="28C4061B"/>
    <w:rsid w:val="29456956"/>
    <w:rsid w:val="2B8D0828"/>
    <w:rsid w:val="2C370F78"/>
    <w:rsid w:val="2EC17F27"/>
    <w:rsid w:val="2EC724D4"/>
    <w:rsid w:val="2EE30257"/>
    <w:rsid w:val="30D70FFF"/>
    <w:rsid w:val="327676B2"/>
    <w:rsid w:val="34DA27CE"/>
    <w:rsid w:val="36411DC5"/>
    <w:rsid w:val="36B72533"/>
    <w:rsid w:val="376F6781"/>
    <w:rsid w:val="37AB70F8"/>
    <w:rsid w:val="38397CBC"/>
    <w:rsid w:val="3A144C83"/>
    <w:rsid w:val="3C7030B7"/>
    <w:rsid w:val="4057649F"/>
    <w:rsid w:val="421E6786"/>
    <w:rsid w:val="42741713"/>
    <w:rsid w:val="436A1457"/>
    <w:rsid w:val="450B6AE4"/>
    <w:rsid w:val="45DE29DA"/>
    <w:rsid w:val="465F433C"/>
    <w:rsid w:val="47C93B59"/>
    <w:rsid w:val="499524F4"/>
    <w:rsid w:val="4D1A7076"/>
    <w:rsid w:val="4FD7091B"/>
    <w:rsid w:val="51C0563F"/>
    <w:rsid w:val="547F7A92"/>
    <w:rsid w:val="54873A1A"/>
    <w:rsid w:val="55145D7F"/>
    <w:rsid w:val="56796849"/>
    <w:rsid w:val="568F383B"/>
    <w:rsid w:val="574E2F4F"/>
    <w:rsid w:val="589579DA"/>
    <w:rsid w:val="58A545FC"/>
    <w:rsid w:val="59226D6D"/>
    <w:rsid w:val="5A433726"/>
    <w:rsid w:val="5A9B4182"/>
    <w:rsid w:val="5C0A6AF3"/>
    <w:rsid w:val="5D555EEF"/>
    <w:rsid w:val="5DA95371"/>
    <w:rsid w:val="65EB3645"/>
    <w:rsid w:val="686F7714"/>
    <w:rsid w:val="691D5E5D"/>
    <w:rsid w:val="6A862BA8"/>
    <w:rsid w:val="6AF231CF"/>
    <w:rsid w:val="6BEF1CA0"/>
    <w:rsid w:val="6C3073D8"/>
    <w:rsid w:val="6DCB20C1"/>
    <w:rsid w:val="6DFC1C65"/>
    <w:rsid w:val="6E804FF7"/>
    <w:rsid w:val="70DF526C"/>
    <w:rsid w:val="717F7118"/>
    <w:rsid w:val="73267821"/>
    <w:rsid w:val="74CC00BF"/>
    <w:rsid w:val="75FA041F"/>
    <w:rsid w:val="760F49BD"/>
    <w:rsid w:val="763760D4"/>
    <w:rsid w:val="76D74F1F"/>
    <w:rsid w:val="76E870A0"/>
    <w:rsid w:val="799C1992"/>
    <w:rsid w:val="7AB07C20"/>
    <w:rsid w:val="7AE40DD7"/>
    <w:rsid w:val="7BAF515B"/>
    <w:rsid w:val="7C9C0693"/>
    <w:rsid w:val="7D39777C"/>
    <w:rsid w:val="7E8C1481"/>
    <w:rsid w:val="7E950D42"/>
    <w:rsid w:val="7EFE0EC0"/>
    <w:rsid w:val="7F4A58FD"/>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9"/>
    <w:semiHidden/>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7"/>
    <w:semiHidden/>
    <w:qFormat/>
    <w:uiPriority w:val="99"/>
    <w:rPr>
      <w:rFonts w:ascii="Times New Roman" w:hAnsi="Times New Roman" w:eastAsia="仿宋_GB2312" w:cs="Times New Roman"/>
      <w:sz w:val="18"/>
      <w:szCs w:val="18"/>
    </w:rPr>
  </w:style>
  <w:style w:type="character" w:customStyle="1" w:styleId="19">
    <w:name w:val="页脚 Char"/>
    <w:basedOn w:val="12"/>
    <w:link w:val="6"/>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38</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2024-06-12T09:51:38Z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