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bidi w:val="0"/>
        <w:snapToGrid/>
        <w:spacing w:line="560" w:lineRule="exact"/>
        <w:jc w:val="center"/>
        <w:outlineLvl w:val="9"/>
        <w:rPr>
          <w:rFonts w:ascii="宋体" w:hAnsi="宋体" w:eastAsia="宋体" w:cs="Arial"/>
          <w:b/>
          <w:bCs/>
          <w:sz w:val="48"/>
          <w:szCs w:val="48"/>
        </w:rPr>
      </w:pPr>
    </w:p>
    <w:p>
      <w:pPr>
        <w:pageBreakBefore w:val="0"/>
        <w:kinsoku/>
        <w:wordWrap/>
        <w:overflowPunct/>
        <w:topLinePunct w:val="0"/>
        <w:bidi w:val="0"/>
        <w:snapToGrid/>
        <w:spacing w:line="560" w:lineRule="exact"/>
        <w:jc w:val="center"/>
        <w:outlineLvl w:val="9"/>
        <w:rPr>
          <w:rFonts w:ascii="宋体" w:hAnsi="宋体" w:eastAsia="宋体" w:cs="Arial"/>
          <w:b/>
          <w:bCs/>
          <w:sz w:val="48"/>
          <w:szCs w:val="48"/>
        </w:rPr>
      </w:pPr>
    </w:p>
    <w:p>
      <w:pPr>
        <w:pageBreakBefore w:val="0"/>
        <w:kinsoku/>
        <w:wordWrap/>
        <w:overflowPunct/>
        <w:topLinePunct w:val="0"/>
        <w:bidi w:val="0"/>
        <w:snapToGrid/>
        <w:spacing w:line="560" w:lineRule="exact"/>
        <w:jc w:val="center"/>
        <w:outlineLvl w:val="9"/>
        <w:rPr>
          <w:rFonts w:ascii="宋体" w:hAnsi="宋体" w:eastAsia="宋体" w:cs="Arial"/>
          <w:b/>
          <w:bCs/>
          <w:sz w:val="48"/>
          <w:szCs w:val="48"/>
        </w:rPr>
      </w:pPr>
    </w:p>
    <w:p>
      <w:pPr>
        <w:pageBreakBefore w:val="0"/>
        <w:kinsoku/>
        <w:wordWrap/>
        <w:overflowPunct/>
        <w:topLinePunct w:val="0"/>
        <w:bidi w:val="0"/>
        <w:snapToGrid/>
        <w:spacing w:line="560" w:lineRule="exact"/>
        <w:jc w:val="center"/>
        <w:outlineLvl w:val="9"/>
        <w:rPr>
          <w:rFonts w:hint="eastAsia" w:eastAsia="方正小标宋_GBK"/>
          <w:kern w:val="0"/>
          <w:sz w:val="48"/>
          <w:szCs w:val="48"/>
        </w:rPr>
      </w:pPr>
      <w:r>
        <w:rPr>
          <w:rFonts w:hint="eastAsia" w:eastAsia="方正小标宋_GBK"/>
          <w:kern w:val="0"/>
          <w:sz w:val="48"/>
          <w:szCs w:val="48"/>
        </w:rPr>
        <w:t>合作中心办证处电脑耗材费用</w:t>
      </w:r>
    </w:p>
    <w:p>
      <w:pPr>
        <w:pageBreakBefore w:val="0"/>
        <w:kinsoku/>
        <w:wordWrap/>
        <w:overflowPunct/>
        <w:topLinePunct w:val="0"/>
        <w:bidi w:val="0"/>
        <w:snapToGrid/>
        <w:spacing w:line="560" w:lineRule="exact"/>
        <w:jc w:val="center"/>
        <w:outlineLvl w:val="9"/>
        <w:rPr>
          <w:rFonts w:eastAsia="方正小标宋_GBK"/>
          <w:kern w:val="0"/>
          <w:sz w:val="48"/>
          <w:szCs w:val="48"/>
        </w:rPr>
      </w:pPr>
      <w:r>
        <w:rPr>
          <w:rFonts w:eastAsia="方正小标宋_GBK"/>
          <w:kern w:val="0"/>
          <w:sz w:val="48"/>
          <w:szCs w:val="48"/>
        </w:rPr>
        <w:t>项目支出绩效评价报告</w:t>
      </w:r>
    </w:p>
    <w:p>
      <w:pPr>
        <w:pageBreakBefore w:val="0"/>
        <w:kinsoku/>
        <w:wordWrap/>
        <w:overflowPunct/>
        <w:topLinePunct w:val="0"/>
        <w:bidi w:val="0"/>
        <w:snapToGrid/>
        <w:spacing w:line="560" w:lineRule="exact"/>
        <w:jc w:val="center"/>
        <w:outlineLvl w:val="9"/>
        <w:rPr>
          <w:rFonts w:ascii="宋体" w:hAnsi="宋体" w:eastAsia="宋体" w:cs="Arial"/>
          <w:b/>
          <w:bCs/>
          <w:sz w:val="48"/>
          <w:szCs w:val="48"/>
        </w:rPr>
      </w:pPr>
    </w:p>
    <w:p>
      <w:pPr>
        <w:pageBreakBefore w:val="0"/>
        <w:widowControl/>
        <w:kinsoku/>
        <w:wordWrap/>
        <w:overflowPunct/>
        <w:topLinePunct w:val="0"/>
        <w:bidi w:val="0"/>
        <w:snapToGrid/>
        <w:spacing w:line="560" w:lineRule="exact"/>
        <w:jc w:val="center"/>
        <w:outlineLvl w:val="9"/>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lang w:val="en-US" w:eastAsia="zh-CN"/>
        </w:rPr>
        <w:t>3</w:t>
      </w:r>
      <w:r>
        <w:rPr>
          <w:rFonts w:hint="eastAsia" w:ascii="红豆小标宋简体" w:hAnsi="红豆小标宋简体" w:eastAsia="红豆小标宋简体" w:cs="红豆小标宋简体"/>
          <w:color w:val="000000"/>
          <w:kern w:val="0"/>
          <w:sz w:val="36"/>
          <w:szCs w:val="36"/>
        </w:rPr>
        <w:t>年度）</w:t>
      </w:r>
    </w:p>
    <w:p>
      <w:pPr>
        <w:pageBreakBefore w:val="0"/>
        <w:kinsoku/>
        <w:wordWrap/>
        <w:overflowPunct/>
        <w:topLinePunct w:val="0"/>
        <w:bidi w:val="0"/>
        <w:snapToGrid/>
        <w:spacing w:line="560" w:lineRule="exact"/>
        <w:jc w:val="center"/>
        <w:outlineLvl w:val="9"/>
        <w:rPr>
          <w:rFonts w:ascii="仿宋_GB2312" w:hAnsi="仿宋_GB2312" w:cs="仿宋_GB2312"/>
          <w:b/>
          <w:kern w:val="0"/>
          <w:sz w:val="50"/>
          <w:szCs w:val="50"/>
          <w:lang w:bidi="en-US"/>
        </w:rPr>
      </w:pPr>
    </w:p>
    <w:p>
      <w:pPr>
        <w:pStyle w:val="2"/>
        <w:rPr>
          <w:rFonts w:ascii="仿宋_GB2312" w:hAnsi="仿宋_GB2312" w:cs="仿宋_GB2312"/>
          <w:b/>
          <w:kern w:val="0"/>
          <w:sz w:val="50"/>
          <w:szCs w:val="50"/>
          <w:lang w:bidi="en-US"/>
        </w:rPr>
      </w:pPr>
    </w:p>
    <w:p>
      <w:pPr>
        <w:pStyle w:val="2"/>
        <w:rPr>
          <w:rFonts w:ascii="仿宋_GB2312" w:hAnsi="仿宋_GB2312" w:cs="仿宋_GB2312"/>
          <w:b/>
          <w:kern w:val="0"/>
          <w:sz w:val="50"/>
          <w:szCs w:val="50"/>
          <w:lang w:bidi="en-US"/>
        </w:rPr>
      </w:pPr>
    </w:p>
    <w:p>
      <w:pPr>
        <w:pStyle w:val="2"/>
        <w:rPr>
          <w:rFonts w:ascii="仿宋_GB2312" w:hAnsi="仿宋_GB2312" w:cs="仿宋_GB2312"/>
          <w:b/>
          <w:kern w:val="0"/>
          <w:sz w:val="50"/>
          <w:szCs w:val="50"/>
          <w:lang w:bidi="en-US"/>
        </w:rPr>
      </w:pPr>
    </w:p>
    <w:p>
      <w:pPr>
        <w:pageBreakBefore w:val="0"/>
        <w:kinsoku/>
        <w:wordWrap/>
        <w:overflowPunct/>
        <w:topLinePunct w:val="0"/>
        <w:bidi w:val="0"/>
        <w:snapToGrid/>
        <w:spacing w:line="560" w:lineRule="exact"/>
        <w:jc w:val="center"/>
        <w:outlineLvl w:val="9"/>
        <w:rPr>
          <w:rFonts w:ascii="仿宋_GB2312" w:hAnsi="仿宋_GB2312" w:cs="仿宋_GB2312"/>
          <w:b/>
          <w:kern w:val="0"/>
          <w:sz w:val="50"/>
          <w:szCs w:val="50"/>
          <w:lang w:bidi="en-US"/>
        </w:rPr>
      </w:pPr>
    </w:p>
    <w:p>
      <w:pPr>
        <w:pageBreakBefore w:val="0"/>
        <w:kinsoku/>
        <w:wordWrap/>
        <w:overflowPunct/>
        <w:topLinePunct w:val="0"/>
        <w:bidi w:val="0"/>
        <w:snapToGrid/>
        <w:spacing w:line="560" w:lineRule="exact"/>
        <w:jc w:val="both"/>
        <w:outlineLvl w:val="9"/>
        <w:rPr>
          <w:rFonts w:ascii="仿宋_GB2312" w:hAnsi="仿宋_GB2312" w:cs="仿宋_GB2312"/>
          <w:b/>
          <w:kern w:val="0"/>
          <w:sz w:val="50"/>
          <w:szCs w:val="50"/>
          <w:lang w:bidi="en-US"/>
        </w:rPr>
      </w:pPr>
    </w:p>
    <w:p>
      <w:pPr>
        <w:pageBreakBefore w:val="0"/>
        <w:kinsoku/>
        <w:wordWrap/>
        <w:overflowPunct/>
        <w:topLinePunct w:val="0"/>
        <w:bidi w:val="0"/>
        <w:snapToGrid/>
        <w:spacing w:line="560" w:lineRule="exact"/>
        <w:ind w:left="961" w:leftChars="106" w:hanging="643" w:hangingChars="200"/>
        <w:jc w:val="both"/>
        <w:outlineLvl w:val="9"/>
        <w:rPr>
          <w:rFonts w:hint="eastAsia" w:ascii="宋体" w:hAnsi="宋体" w:eastAsia="宋体" w:cs="仿宋_GB2312"/>
          <w:b/>
          <w:bCs/>
          <w:color w:val="000000"/>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项目名称：合作中心办证处电脑耗材费用</w:t>
      </w:r>
    </w:p>
    <w:p>
      <w:pPr>
        <w:pageBreakBefore w:val="0"/>
        <w:kinsoku/>
        <w:wordWrap/>
        <w:overflowPunct/>
        <w:topLinePunct w:val="0"/>
        <w:bidi w:val="0"/>
        <w:snapToGrid/>
        <w:spacing w:line="560" w:lineRule="exact"/>
        <w:ind w:left="4498" w:hanging="4498" w:hangingChars="1400"/>
        <w:jc w:val="both"/>
        <w:outlineLvl w:val="9"/>
        <w:rPr>
          <w:rFonts w:hint="eastAsia"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实施单位（公章）：</w:t>
      </w:r>
      <w:r>
        <w:rPr>
          <w:rFonts w:hint="eastAsia" w:ascii="宋体" w:hAnsi="宋体" w:eastAsia="宋体" w:cs="仿宋_GB2312"/>
          <w:b/>
          <w:bCs/>
          <w:color w:val="000000"/>
          <w:kern w:val="0"/>
          <w:sz w:val="32"/>
          <w:szCs w:val="32"/>
          <w:lang w:val="en-US" w:eastAsia="zh-CN"/>
        </w:rPr>
        <w:t>中哈霍尔果斯国际边境</w:t>
      </w:r>
      <w:r>
        <w:rPr>
          <w:rFonts w:hint="eastAsia" w:ascii="宋体" w:hAnsi="宋体" w:eastAsia="宋体" w:cs="仿宋_GB2312"/>
          <w:b/>
          <w:bCs/>
          <w:color w:val="000000"/>
          <w:kern w:val="0"/>
          <w:sz w:val="32"/>
          <w:szCs w:val="32"/>
        </w:rPr>
        <w:t>合作中心办证</w:t>
      </w:r>
      <w:r>
        <w:rPr>
          <w:rFonts w:hint="eastAsia" w:ascii="宋体" w:hAnsi="宋体" w:eastAsia="宋体" w:cs="仿宋_GB2312"/>
          <w:b/>
          <w:bCs/>
          <w:color w:val="000000"/>
          <w:kern w:val="0"/>
          <w:sz w:val="32"/>
          <w:szCs w:val="32"/>
          <w:lang w:val="en-US" w:eastAsia="zh-CN"/>
        </w:rPr>
        <w:t>处</w:t>
      </w:r>
    </w:p>
    <w:p>
      <w:pPr>
        <w:pageBreakBefore w:val="0"/>
        <w:kinsoku/>
        <w:wordWrap/>
        <w:overflowPunct/>
        <w:topLinePunct w:val="0"/>
        <w:bidi w:val="0"/>
        <w:snapToGrid/>
        <w:spacing w:line="560" w:lineRule="exact"/>
        <w:ind w:left="4176" w:hanging="4176" w:hangingChars="1300"/>
        <w:jc w:val="both"/>
        <w:outlineLvl w:val="9"/>
        <w:rPr>
          <w:rFonts w:hint="eastAsia"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主管部门（公章）：</w:t>
      </w:r>
      <w:r>
        <w:rPr>
          <w:rFonts w:hint="eastAsia" w:ascii="宋体" w:hAnsi="宋体" w:eastAsia="宋体" w:cs="仿宋_GB2312"/>
          <w:b/>
          <w:bCs/>
          <w:color w:val="000000"/>
          <w:kern w:val="0"/>
          <w:sz w:val="32"/>
          <w:szCs w:val="32"/>
          <w:lang w:val="en-US" w:eastAsia="zh-CN"/>
        </w:rPr>
        <w:t>中哈霍尔果斯国际边境</w:t>
      </w:r>
      <w:r>
        <w:rPr>
          <w:rFonts w:hint="eastAsia" w:ascii="宋体" w:hAnsi="宋体" w:eastAsia="宋体" w:cs="仿宋_GB2312"/>
          <w:b/>
          <w:bCs/>
          <w:color w:val="000000"/>
          <w:kern w:val="0"/>
          <w:sz w:val="32"/>
          <w:szCs w:val="32"/>
        </w:rPr>
        <w:t>合作中心办证</w:t>
      </w:r>
      <w:r>
        <w:rPr>
          <w:rFonts w:hint="eastAsia" w:ascii="宋体" w:hAnsi="宋体" w:eastAsia="宋体" w:cs="仿宋_GB2312"/>
          <w:b/>
          <w:bCs/>
          <w:color w:val="000000"/>
          <w:kern w:val="0"/>
          <w:sz w:val="32"/>
          <w:szCs w:val="32"/>
          <w:lang w:val="en-US" w:eastAsia="zh-CN"/>
        </w:rPr>
        <w:t>处</w:t>
      </w:r>
    </w:p>
    <w:p>
      <w:pPr>
        <w:pageBreakBefore w:val="0"/>
        <w:kinsoku/>
        <w:wordWrap/>
        <w:overflowPunct/>
        <w:topLinePunct w:val="0"/>
        <w:bidi w:val="0"/>
        <w:snapToGrid/>
        <w:spacing w:line="560" w:lineRule="exact"/>
        <w:jc w:val="both"/>
        <w:outlineLvl w:val="9"/>
        <w:rPr>
          <w:rFonts w:ascii="宋体" w:hAnsi="宋体" w:eastAsia="宋体" w:cs="宋体"/>
          <w:kern w:val="0"/>
          <w:sz w:val="32"/>
          <w:szCs w:val="32"/>
        </w:rPr>
      </w:pPr>
    </w:p>
    <w:p>
      <w:pPr>
        <w:pageBreakBefore w:val="0"/>
        <w:kinsoku/>
        <w:wordWrap/>
        <w:overflowPunct/>
        <w:topLinePunct w:val="0"/>
        <w:bidi w:val="0"/>
        <w:snapToGrid/>
        <w:spacing w:line="560" w:lineRule="exact"/>
        <w:ind w:firstLine="321" w:firstLineChars="100"/>
        <w:jc w:val="both"/>
        <w:outlineLvl w:val="9"/>
        <w:rPr>
          <w:rFonts w:hint="eastAsia"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项目负责人（签章）：</w:t>
      </w:r>
      <w:r>
        <w:rPr>
          <w:rFonts w:hint="eastAsia" w:ascii="宋体" w:hAnsi="宋体" w:eastAsia="宋体" w:cs="仿宋_GB2312"/>
          <w:b/>
          <w:bCs/>
          <w:color w:val="000000"/>
          <w:kern w:val="0"/>
          <w:sz w:val="32"/>
          <w:szCs w:val="32"/>
          <w:lang w:val="en-US" w:eastAsia="zh-CN"/>
        </w:rPr>
        <w:t>杨新</w:t>
      </w:r>
    </w:p>
    <w:p>
      <w:pPr>
        <w:pageBreakBefore w:val="0"/>
        <w:kinsoku/>
        <w:wordWrap/>
        <w:overflowPunct/>
        <w:topLinePunct w:val="0"/>
        <w:bidi w:val="0"/>
        <w:snapToGrid/>
        <w:spacing w:line="560" w:lineRule="exact"/>
        <w:ind w:firstLine="321" w:firstLineChars="100"/>
        <w:jc w:val="both"/>
        <w:outlineLvl w:val="9"/>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填报时间：</w:t>
      </w:r>
      <w:r>
        <w:rPr>
          <w:rFonts w:hint="eastAsia" w:ascii="宋体" w:hAnsi="宋体" w:eastAsia="宋体" w:cs="仿宋_GB2312"/>
          <w:color w:val="000000"/>
          <w:kern w:val="0"/>
          <w:sz w:val="32"/>
          <w:szCs w:val="32"/>
        </w:rPr>
        <w:t>202</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年</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月</w:t>
      </w:r>
      <w:r>
        <w:rPr>
          <w:rFonts w:hint="eastAsia" w:ascii="宋体" w:hAnsi="宋体" w:eastAsia="宋体" w:cs="仿宋_GB2312"/>
          <w:color w:val="000000"/>
          <w:kern w:val="0"/>
          <w:sz w:val="32"/>
          <w:szCs w:val="32"/>
          <w:lang w:val="en-US" w:eastAsia="zh-CN"/>
        </w:rPr>
        <w:t>18</w:t>
      </w:r>
      <w:r>
        <w:rPr>
          <w:rFonts w:hint="eastAsia" w:ascii="宋体" w:hAnsi="宋体" w:eastAsia="宋体" w:cs="仿宋_GB2312"/>
          <w:color w:val="000000"/>
          <w:kern w:val="0"/>
          <w:sz w:val="32"/>
          <w:szCs w:val="32"/>
        </w:rPr>
        <w:t>日</w:t>
      </w:r>
    </w:p>
    <w:p>
      <w:pPr>
        <w:pageBreakBefore w:val="0"/>
        <w:widowControl/>
        <w:kinsoku/>
        <w:wordWrap/>
        <w:overflowPunct/>
        <w:topLinePunct w:val="0"/>
        <w:bidi w:val="0"/>
        <w:snapToGrid/>
        <w:spacing w:line="560" w:lineRule="exact"/>
        <w:jc w:val="left"/>
        <w:outlineLvl w:val="9"/>
        <w:rPr>
          <w:rFonts w:ascii="宋体" w:hAnsi="宋体" w:eastAsia="宋体" w:cs="Arial"/>
          <w:b/>
          <w:bCs/>
          <w:sz w:val="36"/>
          <w:szCs w:val="36"/>
        </w:rPr>
      </w:pPr>
      <w:r>
        <w:rPr>
          <w:rFonts w:ascii="宋体" w:hAnsi="宋体" w:eastAsia="宋体" w:cs="Arial"/>
          <w:b/>
          <w:bCs/>
          <w:sz w:val="36"/>
          <w:szCs w:val="36"/>
        </w:rPr>
        <w:br w:type="page"/>
      </w:r>
    </w:p>
    <w:p>
      <w:pPr>
        <w:pageBreakBefore w:val="0"/>
        <w:numPr>
          <w:ilvl w:val="0"/>
          <w:numId w:val="1"/>
        </w:numPr>
        <w:kinsoku/>
        <w:wordWrap/>
        <w:overflowPunct/>
        <w:topLinePunct w:val="0"/>
        <w:bidi w:val="0"/>
        <w:snapToGrid/>
        <w:spacing w:line="560" w:lineRule="exact"/>
        <w:outlineLvl w:val="9"/>
        <w:rPr>
          <w:rFonts w:hint="eastAsia" w:ascii="Times New Roman" w:hAnsi="Times New Roman" w:eastAsia="黑体" w:cs="Times New Roman"/>
          <w:bCs/>
          <w:sz w:val="32"/>
          <w:szCs w:val="32"/>
        </w:rPr>
      </w:pPr>
      <w:bookmarkStart w:id="0" w:name="_Toc68703827"/>
      <w:r>
        <w:rPr>
          <w:rFonts w:hint="eastAsia" w:ascii="Times New Roman" w:hAnsi="Times New Roman" w:eastAsia="黑体" w:cs="Times New Roman"/>
          <w:bCs/>
          <w:sz w:val="32"/>
          <w:szCs w:val="32"/>
        </w:rPr>
        <w:t>基本情况</w:t>
      </w:r>
      <w:bookmarkEnd w:id="0"/>
      <w:bookmarkStart w:id="1" w:name="_Toc68703828"/>
    </w:p>
    <w:p>
      <w:pPr>
        <w:pageBreakBefore w:val="0"/>
        <w:numPr>
          <w:ilvl w:val="0"/>
          <w:numId w:val="0"/>
        </w:numPr>
        <w:kinsoku/>
        <w:wordWrap/>
        <w:overflowPunct/>
        <w:topLinePunct w:val="0"/>
        <w:bidi w:val="0"/>
        <w:snapToGrid/>
        <w:spacing w:line="560" w:lineRule="exact"/>
        <w:outlineLvl w:val="9"/>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（一）</w:t>
      </w:r>
      <w:r>
        <w:rPr>
          <w:rFonts w:hint="eastAsia" w:ascii="Times New Roman" w:hAnsi="Times New Roman" w:eastAsia="楷体_GB2312" w:cs="Times New Roman"/>
          <w:b/>
          <w:bCs/>
          <w:sz w:val="32"/>
          <w:szCs w:val="32"/>
        </w:rPr>
        <w:t>项目概况</w:t>
      </w:r>
      <w:bookmarkEnd w:id="1"/>
    </w:p>
    <w:p>
      <w:pPr>
        <w:pageBreakBefore w:val="0"/>
        <w:widowControl w:val="0"/>
        <w:numPr>
          <w:ilvl w:val="0"/>
          <w:numId w:val="0"/>
        </w:numPr>
        <w:kinsoku/>
        <w:wordWrap/>
        <w:overflowPunct/>
        <w:topLinePunct w:val="0"/>
        <w:autoSpaceDE/>
        <w:autoSpaceDN/>
        <w:bidi w:val="0"/>
        <w:adjustRightInd/>
        <w:snapToGrid/>
        <w:spacing w:line="560" w:lineRule="exact"/>
        <w:textAlignment w:val="auto"/>
        <w:outlineLvl w:val="9"/>
        <w:rPr>
          <w:rFonts w:hint="eastAsia"/>
          <w:lang w:eastAsia="zh-CN"/>
        </w:rPr>
      </w:pPr>
      <w:r>
        <w:rPr>
          <w:rFonts w:hint="eastAsia" w:ascii="Times New Roman" w:hAnsi="Times New Roman" w:cs="Times New Roman"/>
          <w:b w:val="0"/>
          <w:bCs w:val="0"/>
          <w:sz w:val="32"/>
          <w:szCs w:val="32"/>
          <w:lang w:val="en-US" w:eastAsia="zh-CN"/>
        </w:rPr>
        <w:t>　</w:t>
      </w:r>
      <w:r>
        <w:rPr>
          <w:rFonts w:hint="eastAsia" w:ascii="Times New Roman" w:hAnsi="Times New Roman" w:eastAsia="仿宋_GB2312" w:cs="Times New Roman"/>
          <w:b w:val="0"/>
          <w:bCs w:val="0"/>
          <w:sz w:val="32"/>
          <w:szCs w:val="32"/>
          <w:lang w:val="en-US" w:eastAsia="zh-CN"/>
        </w:rPr>
        <w:t>1.项目背景：</w:t>
      </w:r>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val="0"/>
          <w:bCs w:val="0"/>
          <w:color w:val="000000"/>
          <w:sz w:val="32"/>
          <w:szCs w:val="32"/>
          <w:lang w:val="en-US" w:eastAsia="zh-CN"/>
        </w:rPr>
        <w:t>自2023年1月8日，</w:t>
      </w:r>
      <w:r>
        <w:rPr>
          <w:rFonts w:hint="eastAsia" w:ascii="仿宋_GB2312" w:hAnsi="仿宋_GB2312" w:eastAsia="仿宋_GB2312" w:cs="仿宋_GB2312"/>
          <w:color w:val="auto"/>
          <w:sz w:val="32"/>
          <w:szCs w:val="32"/>
          <w:vertAlign w:val="baseline"/>
          <w:lang w:val="en-US" w:eastAsia="zh-CN"/>
        </w:rPr>
        <w:t>国家调整实施新冠肺炎“乙类乙管”政策后，中哈霍尔果斯国际边境</w:t>
      </w:r>
      <w:r>
        <w:rPr>
          <w:rFonts w:hint="eastAsia" w:ascii="仿宋_GB2312" w:hAnsi="仿宋_GB2312" w:eastAsia="仿宋_GB2312" w:cs="仿宋_GB2312"/>
          <w:b w:val="0"/>
          <w:bCs w:val="0"/>
          <w:color w:val="000000"/>
          <w:sz w:val="32"/>
          <w:szCs w:val="32"/>
          <w:lang w:val="en-US" w:eastAsia="zh-CN"/>
        </w:rPr>
        <w:t>合作中心出入境通行证签发量较同期明显上升</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sz w:val="32"/>
          <w:szCs w:val="32"/>
          <w:lang w:val="en-US" w:eastAsia="zh-Hans"/>
        </w:rPr>
        <w:t>预计</w:t>
      </w:r>
      <w:r>
        <w:rPr>
          <w:rFonts w:hint="eastAsia" w:ascii="仿宋_GB2312" w:hAnsi="仿宋_GB2312" w:eastAsia="仿宋_GB2312" w:cs="仿宋_GB2312"/>
          <w:sz w:val="32"/>
          <w:szCs w:val="32"/>
          <w:lang w:val="en-US" w:eastAsia="zh-CN"/>
        </w:rPr>
        <w:t>2023年合作中心出入境通行证签发量将</w:t>
      </w:r>
      <w:r>
        <w:rPr>
          <w:rFonts w:hint="eastAsia" w:ascii="仿宋_GB2312" w:hAnsi="仿宋_GB2312" w:eastAsia="仿宋_GB2312" w:cs="仿宋_GB2312"/>
          <w:sz w:val="32"/>
          <w:szCs w:val="32"/>
          <w:lang w:val="en-US" w:eastAsia="zh-Hans"/>
        </w:rPr>
        <w:t>接近或突破</w:t>
      </w:r>
      <w:r>
        <w:rPr>
          <w:rFonts w:hint="eastAsia" w:ascii="仿宋_GB2312" w:hAnsi="仿宋_GB2312" w:eastAsia="仿宋_GB2312" w:cs="仿宋_GB2312"/>
          <w:sz w:val="32"/>
          <w:szCs w:val="32"/>
          <w:lang w:val="en-US" w:eastAsia="zh-CN"/>
        </w:rPr>
        <w:t>峰值年份的</w:t>
      </w:r>
      <w:r>
        <w:rPr>
          <w:rFonts w:hint="eastAsia" w:ascii="仿宋_GB2312" w:hAnsi="仿宋_GB2312" w:eastAsia="仿宋_GB2312" w:cs="仿宋_GB2312"/>
          <w:sz w:val="32"/>
          <w:szCs w:val="32"/>
          <w:lang w:eastAsia="zh-Hans"/>
        </w:rPr>
        <w:t>68.6</w:t>
      </w:r>
      <w:r>
        <w:rPr>
          <w:rFonts w:hint="eastAsia" w:ascii="仿宋_GB2312" w:hAnsi="仿宋_GB2312" w:eastAsia="仿宋_GB2312" w:cs="仿宋_GB2312"/>
          <w:sz w:val="32"/>
          <w:szCs w:val="32"/>
          <w:lang w:val="en-US" w:eastAsia="zh-Hans"/>
        </w:rPr>
        <w:t>万人</w:t>
      </w:r>
      <w:r>
        <w:rPr>
          <w:rFonts w:hint="eastAsia" w:ascii="仿宋_GB2312" w:hAnsi="仿宋_GB2312" w:eastAsia="仿宋_GB2312" w:cs="仿宋_GB2312"/>
          <w:sz w:val="32"/>
          <w:szCs w:val="32"/>
          <w:lang w:val="en-US" w:eastAsia="zh-CN"/>
        </w:rPr>
        <w:t>次</w:t>
      </w:r>
      <w:r>
        <w:rPr>
          <w:rFonts w:hint="eastAsia" w:ascii="仿宋_GB2312" w:hAnsi="仿宋_GB2312" w:eastAsia="仿宋_GB2312" w:cs="仿宋_GB2312"/>
          <w:color w:val="auto"/>
          <w:sz w:val="32"/>
          <w:szCs w:val="32"/>
          <w:lang w:val="en-US" w:eastAsia="zh-CN"/>
        </w:rPr>
        <w:t>，实现非税收入1029万元。</w:t>
      </w:r>
      <w:r>
        <w:rPr>
          <w:rFonts w:hint="eastAsia" w:ascii="仿宋_GB2312" w:hAnsi="仿宋_GB2312" w:eastAsia="仿宋_GB2312" w:cs="仿宋_GB2312"/>
          <w:b w:val="0"/>
          <w:bCs w:val="0"/>
          <w:sz w:val="32"/>
          <w:szCs w:val="32"/>
          <w:lang w:val="en-US" w:eastAsia="zh-CN"/>
        </w:rPr>
        <w:t>为全面贯彻新时代治疆方略，立足“旅游兴州”战略，打造霍尔果斯“一带一路”合作倡议标杆示范区。同时确保合作中心办证处出入境业务工作正常运转，更好的服务于霍尔果斯市经济高质量发展。</w:t>
      </w:r>
      <w:r>
        <w:rPr>
          <w:rFonts w:hint="eastAsia" w:ascii="仿宋_GB2312" w:hAnsi="仿宋_GB2312" w:eastAsia="仿宋_GB2312" w:cs="仿宋_GB2312"/>
          <w:color w:val="auto"/>
          <w:sz w:val="32"/>
          <w:szCs w:val="32"/>
          <w:lang w:val="en-US" w:eastAsia="zh-CN"/>
        </w:rPr>
        <w:t>申请电脑耗材经费20万元，用于保障出入境业务办理过程中打印机硒鼓、</w:t>
      </w:r>
      <w:r>
        <w:rPr>
          <w:rFonts w:hint="eastAsia" w:ascii="仿宋" w:hAnsi="仿宋" w:eastAsia="仿宋"/>
          <w:sz w:val="32"/>
          <w:szCs w:val="32"/>
          <w:lang w:val="en-US" w:eastAsia="zh-CN"/>
        </w:rPr>
        <w:t>打印纸等电脑耗材</w:t>
      </w:r>
      <w:r>
        <w:rPr>
          <w:rFonts w:hint="eastAsia" w:ascii="仿宋_GB2312" w:hAnsi="仿宋_GB2312" w:eastAsia="仿宋_GB2312" w:cs="仿宋_GB2312"/>
          <w:color w:val="auto"/>
          <w:sz w:val="32"/>
          <w:szCs w:val="32"/>
          <w:lang w:val="en-US" w:eastAsia="zh-CN"/>
        </w:rPr>
        <w:t>支出。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p>
    <w:p>
      <w:pPr>
        <w:pageBreakBefore w:val="0"/>
        <w:widowControl w:val="0"/>
        <w:numPr>
          <w:ilvl w:val="0"/>
          <w:numId w:val="0"/>
        </w:numPr>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Times New Roman"/>
          <w:b w:val="0"/>
          <w:bCs w:val="0"/>
          <w:sz w:val="32"/>
          <w:szCs w:val="32"/>
          <w:lang w:eastAsia="zh-CN"/>
        </w:rPr>
      </w:pPr>
      <w:r>
        <w:rPr>
          <w:rFonts w:hint="eastAsia" w:ascii="Times New Roman" w:hAnsi="Times New Roman" w:cs="Times New Roman"/>
          <w:b w:val="0"/>
          <w:bCs w:val="0"/>
          <w:sz w:val="32"/>
          <w:szCs w:val="32"/>
          <w:lang w:eastAsia="zh-CN"/>
        </w:rPr>
        <w:t>　</w:t>
      </w:r>
      <w:r>
        <w:rPr>
          <w:rFonts w:hint="eastAsia" w:ascii="Times New Roman" w:hAnsi="Times New Roman" w:eastAsia="仿宋_GB2312" w:cs="Times New Roman"/>
          <w:b w:val="0"/>
          <w:bCs w:val="0"/>
          <w:sz w:val="32"/>
          <w:szCs w:val="32"/>
          <w:lang w:eastAsia="zh-CN"/>
        </w:rPr>
        <w:t>2</w:t>
      </w:r>
      <w:r>
        <w:rPr>
          <w:rFonts w:hint="eastAsia" w:ascii="Times New Roman" w:hAnsi="Times New Roman" w:eastAsia="仿宋_GB2312" w:cs="Times New Roman"/>
          <w:b w:val="0"/>
          <w:bCs w:val="0"/>
          <w:sz w:val="32"/>
          <w:szCs w:val="32"/>
          <w:lang w:val="en-US" w:eastAsia="zh-CN"/>
        </w:rPr>
        <w:t>.</w:t>
      </w:r>
      <w:r>
        <w:rPr>
          <w:rFonts w:hint="eastAsia" w:ascii="Times New Roman" w:hAnsi="Times New Roman" w:eastAsia="仿宋_GB2312" w:cs="Times New Roman"/>
          <w:b w:val="0"/>
          <w:bCs w:val="0"/>
          <w:sz w:val="32"/>
          <w:szCs w:val="32"/>
          <w:lang w:eastAsia="zh-CN"/>
        </w:rPr>
        <w:t>主要内容及实施情况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ascii="仿宋_GB2312"/>
          <w:color w:val="FF0000"/>
          <w:sz w:val="32"/>
          <w:szCs w:val="32"/>
        </w:rPr>
      </w:pPr>
      <w:r>
        <w:rPr>
          <w:rFonts w:hint="eastAsia" w:ascii="仿宋_GB2312"/>
          <w:sz w:val="32"/>
          <w:szCs w:val="32"/>
        </w:rPr>
        <w:t>主要内容：</w:t>
      </w:r>
      <w:r>
        <w:rPr>
          <w:rFonts w:hint="eastAsia" w:ascii="仿宋_GB2312" w:hAnsi="仿宋_GB2312" w:eastAsia="仿宋_GB2312" w:cs="仿宋_GB2312"/>
          <w:b w:val="0"/>
          <w:bCs w:val="0"/>
          <w:sz w:val="32"/>
          <w:szCs w:val="32"/>
          <w:lang w:val="en-US" w:eastAsia="zh-CN"/>
        </w:rPr>
        <w:t>为确保合作中心办证处出入境业务工作正常运转，更好的服务于霍尔果斯市经济高质量发展。</w:t>
      </w:r>
      <w:r>
        <w:rPr>
          <w:rFonts w:hint="eastAsia" w:ascii="仿宋_GB2312" w:hAnsi="仿宋_GB2312" w:cs="仿宋_GB2312"/>
          <w:b w:val="0"/>
          <w:bCs w:val="0"/>
          <w:sz w:val="32"/>
          <w:szCs w:val="32"/>
          <w:lang w:val="en-US" w:eastAsia="zh-CN"/>
        </w:rPr>
        <w:t>预计</w:t>
      </w:r>
      <w:r>
        <w:rPr>
          <w:rFonts w:hint="eastAsia" w:ascii="仿宋_GB2312" w:hAnsi="仿宋_GB2312" w:eastAsia="仿宋_GB2312" w:cs="仿宋_GB2312"/>
          <w:color w:val="auto"/>
          <w:sz w:val="32"/>
          <w:szCs w:val="32"/>
          <w:lang w:val="en-US" w:eastAsia="zh-CN"/>
        </w:rPr>
        <w:t>电脑耗材经费20万元，用于保障出入境业务办理过程中打印机硒鼓、</w:t>
      </w:r>
      <w:r>
        <w:rPr>
          <w:rFonts w:hint="eastAsia" w:ascii="仿宋" w:hAnsi="仿宋" w:eastAsia="仿宋"/>
          <w:sz w:val="32"/>
          <w:szCs w:val="32"/>
          <w:lang w:val="en-US" w:eastAsia="zh-CN"/>
        </w:rPr>
        <w:t>打印纸等电脑耗材</w:t>
      </w:r>
      <w:r>
        <w:rPr>
          <w:rFonts w:hint="eastAsia" w:ascii="仿宋_GB2312" w:hAnsi="仿宋_GB2312" w:eastAsia="仿宋_GB2312" w:cs="仿宋_GB2312"/>
          <w:color w:val="auto"/>
          <w:sz w:val="32"/>
          <w:szCs w:val="32"/>
          <w:lang w:val="en-US" w:eastAsia="zh-CN"/>
        </w:rPr>
        <w:t>支出。</w:t>
      </w:r>
    </w:p>
    <w:p>
      <w:pPr>
        <w:pageBreakBefore w:val="0"/>
        <w:kinsoku/>
        <w:wordWrap/>
        <w:overflowPunct/>
        <w:topLinePunct w:val="0"/>
        <w:bidi w:val="0"/>
        <w:snapToGrid/>
        <w:spacing w:line="560" w:lineRule="exact"/>
        <w:ind w:firstLine="640" w:firstLineChars="200"/>
        <w:outlineLvl w:val="9"/>
      </w:pPr>
      <w:r>
        <w:rPr>
          <w:rFonts w:hint="eastAsia" w:ascii="仿宋_GB2312"/>
          <w:sz w:val="32"/>
          <w:szCs w:val="32"/>
        </w:rPr>
        <w:t>实施情况：2023年，已完成了2批次耗材采购。其中采购制证塑封机2台6400元，打印/复印制证245箱44300元、打印机硒鼓660支112200元，共采购16.29万元，确保了合作中心办证处出入境业务工作正常运转，更好的服务于霍尔果斯市经济高质量发展。</w:t>
      </w:r>
    </w:p>
    <w:p>
      <w:pPr>
        <w:pageBreakBefore w:val="0"/>
        <w:widowControl w:val="0"/>
        <w:numPr>
          <w:ilvl w:val="0"/>
          <w:numId w:val="0"/>
        </w:numPr>
        <w:kinsoku/>
        <w:wordWrap/>
        <w:overflowPunct/>
        <w:topLinePunct w:val="0"/>
        <w:autoSpaceDE/>
        <w:autoSpaceDN/>
        <w:bidi w:val="0"/>
        <w:adjustRightInd/>
        <w:snapToGrid/>
        <w:spacing w:line="560" w:lineRule="exact"/>
        <w:textAlignment w:val="auto"/>
        <w:outlineLvl w:val="9"/>
        <w:rPr>
          <w:rFonts w:hint="eastAsia" w:ascii="Times New Roman" w:hAnsi="Times New Roman" w:cs="Times New Roman"/>
          <w:b w:val="0"/>
          <w:bCs w:val="0"/>
          <w:sz w:val="32"/>
          <w:szCs w:val="32"/>
          <w:lang w:eastAsia="zh-CN"/>
        </w:rPr>
      </w:pPr>
      <w:r>
        <w:rPr>
          <w:rFonts w:hint="eastAsia" w:ascii="Times New Roman" w:hAnsi="Times New Roman" w:cs="Times New Roman"/>
          <w:b w:val="0"/>
          <w:bCs w:val="0"/>
          <w:sz w:val="32"/>
          <w:szCs w:val="32"/>
          <w:lang w:eastAsia="zh-CN"/>
        </w:rPr>
        <w:t>　3</w:t>
      </w:r>
      <w:r>
        <w:rPr>
          <w:rFonts w:hint="eastAsia" w:ascii="Times New Roman" w:hAnsi="Times New Roman" w:cs="Times New Roman"/>
          <w:b w:val="0"/>
          <w:bCs w:val="0"/>
          <w:sz w:val="32"/>
          <w:szCs w:val="32"/>
          <w:lang w:val="en-US" w:eastAsia="zh-CN"/>
        </w:rPr>
        <w:t>.</w:t>
      </w:r>
      <w:r>
        <w:rPr>
          <w:rFonts w:hint="eastAsia" w:ascii="Times New Roman" w:hAnsi="Times New Roman" w:cs="Times New Roman"/>
          <w:b w:val="0"/>
          <w:bCs w:val="0"/>
          <w:sz w:val="32"/>
          <w:szCs w:val="32"/>
          <w:lang w:eastAsia="zh-CN"/>
        </w:rPr>
        <w:t>资金投入和使用情况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color w:val="FF0000"/>
          <w:sz w:val="32"/>
          <w:szCs w:val="32"/>
        </w:rPr>
      </w:pPr>
      <w:r>
        <w:rPr>
          <w:rFonts w:hint="eastAsia"/>
          <w:sz w:val="32"/>
          <w:szCs w:val="32"/>
        </w:rPr>
        <w:t>资金投入情况：</w:t>
      </w:r>
      <w:r>
        <w:rPr>
          <w:rFonts w:hint="eastAsia"/>
          <w:color w:val="auto"/>
          <w:sz w:val="32"/>
          <w:szCs w:val="32"/>
        </w:rPr>
        <w:t>该项目年初预算数</w:t>
      </w:r>
      <w:r>
        <w:rPr>
          <w:rFonts w:hint="eastAsia"/>
          <w:color w:val="auto"/>
          <w:sz w:val="32"/>
          <w:szCs w:val="32"/>
          <w:lang w:val="en-US" w:eastAsia="zh-CN"/>
        </w:rPr>
        <w:t>20</w:t>
      </w:r>
      <w:r>
        <w:rPr>
          <w:rFonts w:hint="eastAsia"/>
          <w:color w:val="auto"/>
          <w:sz w:val="32"/>
          <w:szCs w:val="32"/>
        </w:rPr>
        <w:t>万元，全年预算数</w:t>
      </w:r>
      <w:r>
        <w:rPr>
          <w:rFonts w:hint="eastAsia"/>
          <w:color w:val="auto"/>
          <w:sz w:val="32"/>
          <w:szCs w:val="32"/>
          <w:lang w:val="en-US" w:eastAsia="zh-CN"/>
        </w:rPr>
        <w:t>20</w:t>
      </w:r>
      <w:r>
        <w:rPr>
          <w:rFonts w:hint="eastAsia"/>
          <w:color w:val="auto"/>
          <w:sz w:val="32"/>
          <w:szCs w:val="32"/>
        </w:rPr>
        <w:t>万元，实际总投入</w:t>
      </w:r>
      <w:r>
        <w:rPr>
          <w:rFonts w:hint="eastAsia"/>
          <w:color w:val="auto"/>
          <w:sz w:val="32"/>
          <w:szCs w:val="32"/>
          <w:lang w:val="en-US" w:eastAsia="zh-CN"/>
        </w:rPr>
        <w:t>20</w:t>
      </w:r>
      <w:r>
        <w:rPr>
          <w:rFonts w:hint="eastAsia"/>
          <w:color w:val="auto"/>
          <w:sz w:val="32"/>
          <w:szCs w:val="32"/>
        </w:rPr>
        <w:t>万元，该项目资金已全部落实到位，资金来源为</w:t>
      </w:r>
      <w:r>
        <w:rPr>
          <w:rFonts w:hint="eastAsia"/>
          <w:color w:val="auto"/>
          <w:sz w:val="32"/>
          <w:szCs w:val="32"/>
          <w:lang w:val="en-US" w:eastAsia="zh-CN"/>
        </w:rPr>
        <w:t>财政拨款</w:t>
      </w:r>
      <w:r>
        <w:rPr>
          <w:rFonts w:hint="eastAsia"/>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color w:val="auto"/>
          <w:sz w:val="32"/>
          <w:szCs w:val="32"/>
        </w:rPr>
      </w:pPr>
      <w:r>
        <w:rPr>
          <w:rFonts w:hint="eastAsia"/>
          <w:color w:val="auto"/>
          <w:sz w:val="32"/>
          <w:szCs w:val="32"/>
        </w:rPr>
        <w:t>资金使用情况：该项目年初预算数</w:t>
      </w:r>
      <w:r>
        <w:rPr>
          <w:rFonts w:hint="eastAsia"/>
          <w:color w:val="auto"/>
          <w:sz w:val="32"/>
          <w:szCs w:val="32"/>
          <w:lang w:val="en-US" w:eastAsia="zh-CN"/>
        </w:rPr>
        <w:t>20</w:t>
      </w:r>
      <w:r>
        <w:rPr>
          <w:rFonts w:hint="eastAsia"/>
          <w:color w:val="auto"/>
          <w:sz w:val="32"/>
          <w:szCs w:val="32"/>
        </w:rPr>
        <w:t>万元，全年预算数</w:t>
      </w:r>
      <w:r>
        <w:rPr>
          <w:rFonts w:hint="eastAsia"/>
          <w:color w:val="auto"/>
          <w:sz w:val="32"/>
          <w:szCs w:val="32"/>
          <w:lang w:val="en-US" w:eastAsia="zh-CN"/>
        </w:rPr>
        <w:t>20</w:t>
      </w:r>
      <w:r>
        <w:rPr>
          <w:rFonts w:hint="eastAsia"/>
          <w:color w:val="auto"/>
          <w:sz w:val="32"/>
          <w:szCs w:val="32"/>
        </w:rPr>
        <w:t>万元，全年执行数</w:t>
      </w:r>
      <w:r>
        <w:rPr>
          <w:rFonts w:hint="eastAsia"/>
          <w:color w:val="auto"/>
          <w:sz w:val="32"/>
          <w:szCs w:val="32"/>
          <w:lang w:val="en-US" w:eastAsia="zh-CN"/>
        </w:rPr>
        <w:t>16.29</w:t>
      </w:r>
      <w:r>
        <w:rPr>
          <w:rFonts w:hint="eastAsia"/>
          <w:color w:val="auto"/>
          <w:sz w:val="32"/>
          <w:szCs w:val="32"/>
        </w:rPr>
        <w:t>万元，预算执行率为</w:t>
      </w:r>
      <w:r>
        <w:rPr>
          <w:rFonts w:hint="eastAsia"/>
          <w:color w:val="auto"/>
          <w:sz w:val="32"/>
          <w:szCs w:val="32"/>
          <w:lang w:val="en-US" w:eastAsia="zh-CN"/>
        </w:rPr>
        <w:t>81.45</w:t>
      </w:r>
      <w:r>
        <w:rPr>
          <w:rFonts w:hint="eastAsia"/>
          <w:color w:val="auto"/>
          <w:sz w:val="32"/>
          <w:szCs w:val="32"/>
        </w:rPr>
        <w:t>%，</w:t>
      </w:r>
      <w:r>
        <w:rPr>
          <w:rFonts w:hint="eastAsia"/>
          <w:color w:val="auto"/>
          <w:sz w:val="32"/>
          <w:szCs w:val="32"/>
          <w:lang w:eastAsia="zh-CN"/>
        </w:rPr>
        <w:t>主要</w:t>
      </w:r>
      <w:r>
        <w:rPr>
          <w:rFonts w:hint="eastAsia"/>
          <w:color w:val="auto"/>
          <w:sz w:val="32"/>
          <w:szCs w:val="32"/>
        </w:rPr>
        <w:t>用于：</w:t>
      </w:r>
      <w:r>
        <w:rPr>
          <w:rFonts w:hint="eastAsia"/>
          <w:color w:val="auto"/>
          <w:sz w:val="32"/>
          <w:szCs w:val="32"/>
          <w:lang w:val="en-US" w:eastAsia="zh-CN"/>
        </w:rPr>
        <w:t>电脑耗材采购费用16.29</w:t>
      </w:r>
      <w:r>
        <w:rPr>
          <w:rFonts w:hint="eastAsia"/>
          <w:color w:val="auto"/>
          <w:sz w:val="32"/>
          <w:szCs w:val="32"/>
        </w:rPr>
        <w:t>万元。</w:t>
      </w:r>
      <w:bookmarkStart w:id="2" w:name="_Toc68703829"/>
    </w:p>
    <w:p>
      <w:pPr>
        <w:pageBreakBefore w:val="0"/>
        <w:kinsoku/>
        <w:wordWrap/>
        <w:overflowPunct/>
        <w:topLinePunct w:val="0"/>
        <w:bidi w:val="0"/>
        <w:snapToGrid/>
        <w:spacing w:line="560" w:lineRule="exact"/>
        <w:outlineLvl w:val="9"/>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（二）项目绩效目标</w:t>
      </w:r>
      <w:bookmarkEnd w:id="2"/>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sz w:val="32"/>
          <w:szCs w:val="32"/>
        </w:rPr>
      </w:pPr>
      <w:r>
        <w:rPr>
          <w:rFonts w:hint="eastAsia"/>
          <w:color w:val="FF0000"/>
          <w:sz w:val="32"/>
          <w:szCs w:val="32"/>
          <w:lang w:eastAsia="zh-CN"/>
        </w:rPr>
        <w:t>　</w:t>
      </w:r>
      <w:r>
        <w:rPr>
          <w:rFonts w:hint="eastAsia"/>
          <w:b w:val="0"/>
          <w:bCs w:val="0"/>
          <w:sz w:val="32"/>
          <w:szCs w:val="32"/>
          <w:lang w:eastAsia="zh-CN"/>
        </w:rPr>
        <w:t>　</w:t>
      </w:r>
      <w:r>
        <w:rPr>
          <w:rFonts w:hint="eastAsia" w:ascii="Times New Roman" w:hAnsi="Times New Roman" w:eastAsia="仿宋_GB2312" w:cs="Times New Roman"/>
          <w:b w:val="0"/>
          <w:bCs w:val="0"/>
          <w:sz w:val="32"/>
          <w:szCs w:val="32"/>
          <w:lang w:val="en-US" w:eastAsia="zh-CN"/>
        </w:rPr>
        <w:t>1.总体目标：</w:t>
      </w:r>
      <w:r>
        <w:rPr>
          <w:rFonts w:hint="eastAsia" w:ascii="仿宋_GB2312" w:hAnsi="仿宋_GB2312" w:cs="仿宋_GB2312"/>
          <w:b w:val="0"/>
          <w:bCs w:val="0"/>
          <w:sz w:val="32"/>
          <w:szCs w:val="32"/>
          <w:lang w:val="en-US" w:eastAsia="zh-CN"/>
        </w:rPr>
        <w:t>自2023年1月8日，国家调整实施新冠肺炎“乙类乙管”政策后，中哈霍尔果斯国际边境合作中心出入境通行证签发量较同期明显上升。预计2023年合作中心出入境通行证签发量将接近或突破峰值年份的68.6万人次，实现非税收入1029万元。为全面贯彻新时代治疆方略，立足“旅游兴州”战略，打造霍尔果斯“一带一路”合作倡议标杆示范区。申请电脑耗材经费20万元用于确保合作中心办证处出入境业务工作正常运转，更好的服务于霍尔果斯市经济高质量发展。</w:t>
      </w:r>
    </w:p>
    <w:p>
      <w:pPr>
        <w:pageBreakBefore w:val="0"/>
        <w:kinsoku/>
        <w:wordWrap/>
        <w:overflowPunct/>
        <w:topLinePunct w:val="0"/>
        <w:bidi w:val="0"/>
        <w:snapToGrid/>
        <w:spacing w:line="560" w:lineRule="exact"/>
        <w:outlineLvl w:val="9"/>
        <w:rPr>
          <w:rFonts w:hint="eastAsia"/>
          <w:color w:val="FF0000"/>
          <w:sz w:val="32"/>
          <w:szCs w:val="32"/>
        </w:rPr>
      </w:pPr>
      <w:r>
        <w:rPr>
          <w:rFonts w:hint="eastAsia"/>
          <w:b w:val="0"/>
          <w:bCs w:val="0"/>
          <w:sz w:val="32"/>
          <w:szCs w:val="32"/>
          <w:lang w:eastAsia="zh-CN"/>
        </w:rPr>
        <w:t>　</w:t>
      </w:r>
      <w:r>
        <w:rPr>
          <w:rFonts w:hint="eastAsia" w:ascii="Times New Roman" w:hAnsi="Times New Roman" w:eastAsia="仿宋_GB2312" w:cs="Times New Roman"/>
          <w:b w:val="0"/>
          <w:bCs w:val="0"/>
          <w:sz w:val="32"/>
          <w:szCs w:val="32"/>
          <w:lang w:val="en-US" w:eastAsia="zh-CN"/>
        </w:rPr>
        <w:t>2.阶段性目标：</w:t>
      </w:r>
      <w:bookmarkStart w:id="3" w:name="_Toc68703830"/>
      <w:r>
        <w:rPr>
          <w:rFonts w:hint="eastAsia" w:ascii="仿宋_GB2312"/>
          <w:sz w:val="32"/>
          <w:szCs w:val="32"/>
        </w:rPr>
        <w:t>2023年，已按照计划完成了2批次耗材采购。其中采购制证塑封机2台6400元，打印/复印制证245箱44300元、打印机硒鼓660支112200元，共采购16.29万元，确保了合作中心办证处出入境业务工作正常运转，更好的服务于霍尔果斯市经济高质量发展。</w:t>
      </w:r>
    </w:p>
    <w:p>
      <w:pPr>
        <w:pageBreakBefore w:val="0"/>
        <w:kinsoku/>
        <w:wordWrap/>
        <w:overflowPunct/>
        <w:topLinePunct w:val="0"/>
        <w:bidi w:val="0"/>
        <w:snapToGrid/>
        <w:spacing w:line="560" w:lineRule="exact"/>
        <w:outlineLvl w:val="9"/>
        <w:rPr>
          <w:rFonts w:hint="eastAsia" w:ascii="Times New Roman" w:hAnsi="Times New Roman" w:eastAsia="黑体" w:cs="Times New Roman"/>
          <w:bCs/>
          <w:sz w:val="32"/>
          <w:szCs w:val="32"/>
          <w:lang w:val="en-US" w:eastAsia="zh-CN"/>
        </w:rPr>
      </w:pPr>
      <w:r>
        <w:rPr>
          <w:rFonts w:hint="eastAsia" w:ascii="Times New Roman" w:hAnsi="Times New Roman" w:eastAsia="黑体" w:cs="Times New Roman"/>
          <w:bCs/>
          <w:sz w:val="32"/>
          <w:szCs w:val="32"/>
          <w:lang w:val="en-US" w:eastAsia="zh-CN"/>
        </w:rPr>
        <w:t>二、绩效评价工作开展情况</w:t>
      </w:r>
      <w:bookmarkEnd w:id="3"/>
    </w:p>
    <w:p>
      <w:pPr>
        <w:pageBreakBefore w:val="0"/>
        <w:numPr>
          <w:ilvl w:val="0"/>
          <w:numId w:val="0"/>
        </w:numPr>
        <w:kinsoku/>
        <w:wordWrap/>
        <w:overflowPunct/>
        <w:topLinePunct w:val="0"/>
        <w:bidi w:val="0"/>
        <w:snapToGrid/>
        <w:spacing w:line="560" w:lineRule="exact"/>
        <w:outlineLvl w:val="9"/>
        <w:rPr>
          <w:rFonts w:hint="eastAsia" w:ascii="Times New Roman" w:hAnsi="Times New Roman" w:eastAsia="楷体_GB2312" w:cs="Times New Roman"/>
          <w:b/>
          <w:bCs/>
          <w:sz w:val="32"/>
          <w:szCs w:val="32"/>
          <w:lang w:eastAsia="zh-CN"/>
        </w:rPr>
      </w:pPr>
      <w:bookmarkStart w:id="4" w:name="_Toc68703831"/>
      <w:r>
        <w:rPr>
          <w:rFonts w:hint="eastAsia" w:ascii="Times New Roman" w:hAnsi="Times New Roman" w:eastAsia="楷体_GB2312" w:cs="Times New Roman"/>
          <w:b/>
          <w:bCs/>
          <w:sz w:val="32"/>
          <w:szCs w:val="32"/>
          <w:lang w:val="en-US" w:eastAsia="zh-CN"/>
        </w:rPr>
        <w:t>（一）绩效评价目的、对象和范围</w:t>
      </w:r>
      <w:bookmarkEnd w:id="4"/>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1.绩效评价目的</w:t>
      </w:r>
    </w:p>
    <w:p>
      <w:pPr>
        <w:pageBreakBefore w:val="0"/>
        <w:kinsoku/>
        <w:wordWrap/>
        <w:overflowPunct/>
        <w:topLinePunct w:val="0"/>
        <w:bidi w:val="0"/>
        <w:snapToGrid/>
        <w:spacing w:line="560" w:lineRule="exact"/>
        <w:ind w:firstLine="640" w:firstLineChars="200"/>
        <w:outlineLvl w:val="9"/>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pageBreakBefore w:val="0"/>
        <w:numPr>
          <w:ilvl w:val="0"/>
          <w:numId w:val="2"/>
        </w:numPr>
        <w:kinsoku/>
        <w:wordWrap/>
        <w:overflowPunct/>
        <w:topLinePunct w:val="0"/>
        <w:bidi w:val="0"/>
        <w:snapToGrid/>
        <w:spacing w:line="560" w:lineRule="exact"/>
        <w:ind w:firstLine="640" w:firstLineChars="200"/>
        <w:outlineLvl w:val="9"/>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pPr>
        <w:pageBreakBefore w:val="0"/>
        <w:kinsoku/>
        <w:wordWrap/>
        <w:overflowPunct/>
        <w:topLinePunct w:val="0"/>
        <w:bidi w:val="0"/>
        <w:snapToGrid/>
        <w:spacing w:line="560" w:lineRule="exact"/>
        <w:ind w:firstLine="640" w:firstLineChars="200"/>
        <w:outlineLvl w:val="9"/>
        <w:rPr>
          <w:rFonts w:eastAsia="仿宋_GB2312"/>
          <w:sz w:val="32"/>
          <w:szCs w:val="32"/>
        </w:rPr>
      </w:pPr>
      <w:r>
        <w:rPr>
          <w:rFonts w:eastAsia="仿宋_GB2312"/>
          <w:sz w:val="32"/>
          <w:szCs w:val="32"/>
        </w:rPr>
        <w:t>（2）项目绩效管理财政支出运行提供及时、有效的信息。</w:t>
      </w:r>
    </w:p>
    <w:p>
      <w:pPr>
        <w:pStyle w:val="21"/>
        <w:pageBreakBefore w:val="0"/>
        <w:kinsoku/>
        <w:wordWrap/>
        <w:overflowPunct/>
        <w:topLinePunct w:val="0"/>
        <w:bidi w:val="0"/>
        <w:snapToGrid/>
        <w:spacing w:line="560" w:lineRule="exact"/>
        <w:ind w:firstLine="640" w:firstLineChars="200"/>
        <w:outlineLvl w:val="9"/>
        <w:rPr>
          <w:rFonts w:eastAsia="方正仿宋_GBK" w:cs="方正仿宋_GBK"/>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pageBreakBefore w:val="0"/>
        <w:kinsoku/>
        <w:wordWrap/>
        <w:overflowPunct/>
        <w:topLinePunct w:val="0"/>
        <w:bidi w:val="0"/>
        <w:snapToGrid/>
        <w:spacing w:line="560" w:lineRule="exact"/>
        <w:outlineLvl w:val="9"/>
        <w:rPr>
          <w:rFonts w:hint="eastAsia" w:ascii="Times New Roman" w:hAnsi="Times New Roman" w:eastAsia="仿宋_GB2312" w:cs="Times New Roman"/>
          <w:b w:val="0"/>
          <w:bCs w:val="0"/>
          <w:sz w:val="32"/>
          <w:szCs w:val="32"/>
          <w:lang w:val="en-US" w:eastAsia="zh-CN"/>
        </w:rPr>
      </w:pPr>
      <w:r>
        <w:rPr>
          <w:rFonts w:hint="eastAsia" w:ascii="Times New Roman" w:hAnsi="Times New Roman" w:cs="Times New Roman"/>
          <w:b/>
          <w:bCs/>
          <w:sz w:val="30"/>
          <w:szCs w:val="30"/>
          <w:lang w:val="en-US" w:eastAsia="zh-CN"/>
        </w:rPr>
        <w:t>　</w:t>
      </w:r>
      <w:r>
        <w:rPr>
          <w:rFonts w:hint="eastAsia" w:ascii="Times New Roman" w:hAnsi="Times New Roman" w:eastAsia="仿宋_GB2312" w:cs="Times New Roman"/>
          <w:b w:val="0"/>
          <w:bCs w:val="0"/>
          <w:sz w:val="32"/>
          <w:szCs w:val="32"/>
          <w:lang w:val="en-US" w:eastAsia="zh-CN"/>
        </w:rPr>
        <w:t>2.绩效评价对象：</w:t>
      </w:r>
    </w:p>
    <w:p>
      <w:pPr>
        <w:pageBreakBefore w:val="0"/>
        <w:kinsoku/>
        <w:wordWrap/>
        <w:overflowPunct/>
        <w:topLinePunct w:val="0"/>
        <w:bidi w:val="0"/>
        <w:snapToGrid/>
        <w:spacing w:line="560" w:lineRule="exact"/>
        <w:ind w:firstLine="640" w:firstLineChars="200"/>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合作中心办证处电脑耗材费用项目所包含的全部项目内容。</w:t>
      </w:r>
    </w:p>
    <w:p>
      <w:pPr>
        <w:pageBreakBefore w:val="0"/>
        <w:kinsoku/>
        <w:wordWrap/>
        <w:overflowPunct/>
        <w:topLinePunct w:val="0"/>
        <w:bidi w:val="0"/>
        <w:snapToGrid/>
        <w:spacing w:line="560" w:lineRule="exact"/>
        <w:outlineLvl w:val="9"/>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3.绩效评价范围：</w:t>
      </w:r>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color w:val="auto"/>
          <w:sz w:val="32"/>
          <w:szCs w:val="32"/>
        </w:rPr>
      </w:pPr>
      <w:r>
        <w:rPr>
          <w:rFonts w:hint="eastAsia"/>
          <w:color w:val="auto"/>
          <w:sz w:val="32"/>
          <w:szCs w:val="32"/>
        </w:rPr>
        <w:t>本次评价从项目决策（包括绩效目标、决策过程）、项目管理（包括项目资金、项目实施）、项目产出（包括项目产出数量、产出质量、产出时效和产出成本）项目效益四个维度进行合作中心办证处电脑耗材费用</w:t>
      </w:r>
      <w:r>
        <w:rPr>
          <w:rFonts w:hint="eastAsia"/>
          <w:color w:val="auto"/>
          <w:sz w:val="32"/>
          <w:szCs w:val="32"/>
          <w:lang w:val="en-US" w:eastAsia="zh-CN"/>
        </w:rPr>
        <w:t>项目</w:t>
      </w:r>
      <w:r>
        <w:rPr>
          <w:rFonts w:hint="eastAsia"/>
          <w:color w:val="auto"/>
          <w:sz w:val="32"/>
          <w:szCs w:val="32"/>
        </w:rPr>
        <w:t>评价，评价核心为资金的支出完成情况和效果。</w:t>
      </w:r>
    </w:p>
    <w:p>
      <w:pPr>
        <w:pageBreakBefore w:val="0"/>
        <w:widowControl w:val="0"/>
        <w:kinsoku/>
        <w:wordWrap/>
        <w:overflowPunct/>
        <w:topLinePunct w:val="0"/>
        <w:autoSpaceDE/>
        <w:autoSpaceDN/>
        <w:bidi w:val="0"/>
        <w:adjustRightInd/>
        <w:snapToGrid/>
        <w:spacing w:before="0" w:after="0" w:line="560" w:lineRule="exact"/>
        <w:textAlignment w:val="auto"/>
        <w:outlineLvl w:val="9"/>
        <w:rPr>
          <w:rFonts w:hint="eastAsia" w:ascii="Times New Roman" w:hAnsi="Times New Roman" w:eastAsia="楷体_GB2312" w:cs="Times New Roman"/>
          <w:b/>
          <w:bCs/>
          <w:kern w:val="2"/>
          <w:sz w:val="32"/>
          <w:szCs w:val="32"/>
          <w:lang w:val="en-US" w:eastAsia="zh-CN" w:bidi="ar-SA"/>
        </w:rPr>
      </w:pPr>
      <w:bookmarkStart w:id="5" w:name="_Toc68703832"/>
      <w:r>
        <w:rPr>
          <w:rFonts w:hint="eastAsia" w:ascii="Times New Roman" w:hAnsi="Times New Roman" w:eastAsia="楷体_GB2312" w:cs="Times New Roman"/>
          <w:b/>
          <w:bCs/>
          <w:kern w:val="2"/>
          <w:sz w:val="32"/>
          <w:szCs w:val="32"/>
          <w:lang w:val="en-US" w:eastAsia="zh-CN" w:bidi="ar-SA"/>
        </w:rPr>
        <w:t>（二）绩效评价原则、评价指标体系</w:t>
      </w:r>
      <w:r>
        <w:rPr>
          <w:rFonts w:eastAsia="楷体_GB2312"/>
          <w:b/>
          <w:bCs/>
          <w:sz w:val="32"/>
          <w:szCs w:val="32"/>
        </w:rPr>
        <w:t>（详情见表1）</w:t>
      </w:r>
      <w:r>
        <w:rPr>
          <w:rFonts w:hint="eastAsia" w:ascii="Times New Roman" w:hAnsi="Times New Roman" w:eastAsia="楷体_GB2312" w:cs="Times New Roman"/>
          <w:b/>
          <w:bCs/>
          <w:kern w:val="2"/>
          <w:sz w:val="32"/>
          <w:szCs w:val="32"/>
          <w:lang w:val="en-US" w:eastAsia="zh-CN" w:bidi="ar-SA"/>
        </w:rPr>
        <w:t>、评价方法、评价标准</w:t>
      </w:r>
      <w:bookmarkEnd w:id="5"/>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绩效评价原则</w:t>
      </w:r>
    </w:p>
    <w:p>
      <w:pPr>
        <w:pageBreakBefore w:val="0"/>
        <w:kinsoku/>
        <w:wordWrap/>
        <w:overflowPunct/>
        <w:topLinePunct w:val="0"/>
        <w:bidi w:val="0"/>
        <w:snapToGrid/>
        <w:spacing w:line="560" w:lineRule="exact"/>
        <w:ind w:firstLine="640" w:firstLineChars="200"/>
        <w:outlineLvl w:val="9"/>
        <w:rPr>
          <w:rFonts w:eastAsia="仿宋_GB2312"/>
          <w:color w:val="000000"/>
          <w:sz w:val="32"/>
          <w:szCs w:val="32"/>
        </w:rPr>
      </w:pPr>
      <w:r>
        <w:rPr>
          <w:rFonts w:eastAsia="仿宋_GB2312"/>
          <w:color w:val="000000"/>
          <w:sz w:val="32"/>
          <w:szCs w:val="32"/>
        </w:rPr>
        <w:t>本次项目绩效评价遵循以下基本原则：</w:t>
      </w:r>
    </w:p>
    <w:p>
      <w:pPr>
        <w:pStyle w:val="11"/>
        <w:pageBreakBefore w:val="0"/>
        <w:kinsoku/>
        <w:wordWrap/>
        <w:overflowPunct/>
        <w:topLinePunct w:val="0"/>
        <w:bidi w:val="0"/>
        <w:snapToGrid/>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11"/>
        <w:pageBreakBefore w:val="0"/>
        <w:kinsoku/>
        <w:wordWrap/>
        <w:overflowPunct/>
        <w:topLinePunct w:val="0"/>
        <w:bidi w:val="0"/>
        <w:snapToGrid/>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11"/>
        <w:pageBreakBefore w:val="0"/>
        <w:kinsoku/>
        <w:wordWrap/>
        <w:overflowPunct/>
        <w:topLinePunct w:val="0"/>
        <w:bidi w:val="0"/>
        <w:snapToGrid/>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11"/>
        <w:pageBreakBefore w:val="0"/>
        <w:kinsoku/>
        <w:wordWrap/>
        <w:overflowPunct/>
        <w:topLinePunct w:val="0"/>
        <w:bidi w:val="0"/>
        <w:snapToGrid/>
        <w:spacing w:before="0" w:after="0" w:line="560" w:lineRule="exact"/>
        <w:ind w:firstLine="640" w:firstLineChars="200"/>
        <w:jc w:val="both"/>
        <w:outlineLvl w:val="9"/>
      </w:pPr>
      <w:r>
        <w:rPr>
          <w:rFonts w:ascii="Times New Roman" w:hAnsi="Times New Roman" w:eastAsia="仿宋_GB2312"/>
          <w:b w:val="0"/>
          <w:bCs w:val="0"/>
        </w:rPr>
        <w:t>（4）公开透明。绩效评价结果应依法依规公开，并自觉接受社会监督。</w:t>
      </w:r>
    </w:p>
    <w:p>
      <w:pPr>
        <w:pageBreakBefore w:val="0"/>
        <w:kinsoku/>
        <w:wordWrap/>
        <w:overflowPunct/>
        <w:topLinePunct w:val="0"/>
        <w:bidi w:val="0"/>
        <w:snapToGrid/>
        <w:spacing w:line="560" w:lineRule="exact"/>
        <w:ind w:firstLine="600" w:firstLineChars="200"/>
        <w:jc w:val="left"/>
        <w:outlineLvl w:val="9"/>
        <w:rPr>
          <w:rFonts w:hint="eastAsia"/>
          <w:sz w:val="32"/>
          <w:szCs w:val="32"/>
        </w:rPr>
      </w:pPr>
      <w:r>
        <w:rPr>
          <w:rFonts w:hint="eastAsia"/>
        </w:rPr>
        <w:t>2、</w:t>
      </w:r>
      <w:r>
        <w:rPr>
          <w:rFonts w:hint="eastAsia"/>
          <w:sz w:val="32"/>
          <w:szCs w:val="32"/>
        </w:rPr>
        <w:t>评价指标体系</w:t>
      </w:r>
    </w:p>
    <w:p>
      <w:pPr>
        <w:pageBreakBefore w:val="0"/>
        <w:kinsoku/>
        <w:wordWrap/>
        <w:overflowPunct/>
        <w:topLinePunct w:val="0"/>
        <w:bidi w:val="0"/>
        <w:snapToGrid/>
        <w:spacing w:line="560" w:lineRule="exact"/>
        <w:ind w:firstLine="708" w:firstLineChars="200"/>
        <w:outlineLvl w:val="9"/>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bidi w:val="0"/>
        <w:snapToGrid/>
        <w:spacing w:line="560" w:lineRule="exact"/>
        <w:ind w:firstLine="708" w:firstLineChars="200"/>
        <w:outlineLvl w:val="9"/>
        <w:rPr>
          <w:rFonts w:eastAsia="仿宋_GB2312"/>
          <w:color w:val="000000"/>
          <w:spacing w:val="17"/>
          <w:sz w:val="32"/>
          <w:szCs w:val="32"/>
        </w:rPr>
      </w:pPr>
      <w:r>
        <w:rPr>
          <w:rFonts w:eastAsia="仿宋_GB2312"/>
          <w:color w:val="000000"/>
          <w:spacing w:val="17"/>
          <w:sz w:val="32"/>
          <w:szCs w:val="32"/>
        </w:rPr>
        <w:t>（1）确定评价指标</w:t>
      </w:r>
    </w:p>
    <w:p>
      <w:pPr>
        <w:pageBreakBefore w:val="0"/>
        <w:kinsoku/>
        <w:wordWrap/>
        <w:overflowPunct/>
        <w:topLinePunct w:val="0"/>
        <w:bidi w:val="0"/>
        <w:snapToGrid/>
        <w:spacing w:line="560" w:lineRule="exact"/>
        <w:ind w:firstLine="708" w:firstLineChars="200"/>
        <w:outlineLvl w:val="9"/>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pageBreakBefore w:val="0"/>
        <w:kinsoku/>
        <w:wordWrap/>
        <w:overflowPunct/>
        <w:topLinePunct w:val="0"/>
        <w:bidi w:val="0"/>
        <w:snapToGrid/>
        <w:spacing w:line="560" w:lineRule="exact"/>
        <w:ind w:firstLine="708" w:firstLineChars="200"/>
        <w:outlineLvl w:val="9"/>
        <w:rPr>
          <w:rFonts w:eastAsia="仿宋_GB2312"/>
          <w:color w:val="000000"/>
          <w:spacing w:val="17"/>
          <w:sz w:val="32"/>
          <w:szCs w:val="32"/>
        </w:rPr>
      </w:pPr>
      <w:r>
        <w:rPr>
          <w:rFonts w:eastAsia="仿宋_GB2312"/>
          <w:color w:val="000000"/>
          <w:spacing w:val="17"/>
          <w:sz w:val="32"/>
          <w:szCs w:val="32"/>
        </w:rPr>
        <w:t>（2）确定权重</w:t>
      </w:r>
    </w:p>
    <w:p>
      <w:pPr>
        <w:pageBreakBefore w:val="0"/>
        <w:kinsoku/>
        <w:wordWrap/>
        <w:overflowPunct/>
        <w:topLinePunct w:val="0"/>
        <w:bidi w:val="0"/>
        <w:snapToGrid/>
        <w:spacing w:line="560" w:lineRule="exact"/>
        <w:ind w:firstLine="708" w:firstLineChars="200"/>
        <w:outlineLvl w:val="9"/>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pPr>
        <w:pageBreakBefore w:val="0"/>
        <w:kinsoku/>
        <w:wordWrap/>
        <w:overflowPunct/>
        <w:topLinePunct w:val="0"/>
        <w:bidi w:val="0"/>
        <w:snapToGrid/>
        <w:spacing w:line="560" w:lineRule="exact"/>
        <w:ind w:firstLine="708" w:firstLineChars="200"/>
        <w:outlineLvl w:val="9"/>
        <w:rPr>
          <w:rFonts w:eastAsia="仿宋_GB2312"/>
          <w:color w:val="000000"/>
          <w:spacing w:val="17"/>
          <w:sz w:val="32"/>
          <w:szCs w:val="32"/>
        </w:rPr>
      </w:pPr>
      <w:r>
        <w:rPr>
          <w:rFonts w:eastAsia="仿宋_GB2312"/>
          <w:color w:val="000000"/>
          <w:spacing w:val="17"/>
          <w:sz w:val="32"/>
          <w:szCs w:val="32"/>
        </w:rPr>
        <w:t>（3）确定指标标准值</w:t>
      </w:r>
    </w:p>
    <w:p>
      <w:pPr>
        <w:pageBreakBefore w:val="0"/>
        <w:kinsoku/>
        <w:wordWrap/>
        <w:overflowPunct/>
        <w:topLinePunct w:val="0"/>
        <w:bidi w:val="0"/>
        <w:snapToGrid/>
        <w:spacing w:line="560" w:lineRule="exact"/>
        <w:ind w:firstLine="708" w:firstLineChars="200"/>
        <w:outlineLvl w:val="9"/>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11"/>
        <w:pageBreakBefore w:val="0"/>
        <w:kinsoku/>
        <w:wordWrap/>
        <w:overflowPunct/>
        <w:topLinePunct w:val="0"/>
        <w:bidi w:val="0"/>
        <w:snapToGrid/>
        <w:spacing w:before="0" w:after="0" w:line="560" w:lineRule="exact"/>
        <w:ind w:firstLine="708" w:firstLineChars="200"/>
        <w:jc w:val="both"/>
        <w:outlineLvl w:val="9"/>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11"/>
        <w:pageBreakBefore w:val="0"/>
        <w:widowControl w:val="0"/>
        <w:kinsoku/>
        <w:wordWrap/>
        <w:overflowPunct/>
        <w:topLinePunct w:val="0"/>
        <w:bidi w:val="0"/>
        <w:snapToGrid/>
        <w:spacing w:before="0" w:after="0" w:line="560" w:lineRule="exact"/>
        <w:ind w:firstLine="708" w:firstLineChars="200"/>
        <w:jc w:val="both"/>
        <w:outlineLvl w:val="9"/>
        <w:rPr>
          <w:rFonts w:hint="eastAsia"/>
        </w:rPr>
      </w:pPr>
      <w:r>
        <w:rPr>
          <w:rFonts w:ascii="Times New Roman" w:hAnsi="Times New Roman" w:eastAsia="仿宋_GB2312"/>
          <w:b w:val="0"/>
          <w:bCs w:val="0"/>
          <w:color w:val="000000"/>
          <w:spacing w:val="17"/>
        </w:rPr>
        <w:t>具体评价指标体系详情见附件1</w:t>
      </w:r>
    </w:p>
    <w:p>
      <w:pPr>
        <w:pStyle w:val="6"/>
        <w:pageBreakBefore w:val="0"/>
        <w:kinsoku/>
        <w:wordWrap/>
        <w:overflowPunct/>
        <w:topLinePunct w:val="0"/>
        <w:bidi w:val="0"/>
        <w:snapToGrid/>
        <w:spacing w:line="560" w:lineRule="exact"/>
        <w:outlineLvl w:val="9"/>
        <w:rPr>
          <w:rFonts w:hint="eastAsia"/>
          <w:sz w:val="32"/>
          <w:szCs w:val="32"/>
        </w:rPr>
      </w:pPr>
      <w:r>
        <w:rPr>
          <w:rFonts w:hint="eastAsia"/>
          <w:sz w:val="32"/>
          <w:szCs w:val="32"/>
        </w:rPr>
        <w:t>3、评价方法</w:t>
      </w:r>
    </w:p>
    <w:p>
      <w:pPr>
        <w:pageBreakBefore w:val="0"/>
        <w:kinsoku/>
        <w:wordWrap/>
        <w:overflowPunct/>
        <w:topLinePunct w:val="0"/>
        <w:bidi w:val="0"/>
        <w:snapToGrid/>
        <w:spacing w:line="560" w:lineRule="exact"/>
        <w:ind w:firstLine="708" w:firstLineChars="200"/>
        <w:outlineLvl w:val="9"/>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pageBreakBefore w:val="0"/>
        <w:kinsoku/>
        <w:wordWrap/>
        <w:overflowPunct/>
        <w:topLinePunct w:val="0"/>
        <w:bidi w:val="0"/>
        <w:snapToGrid/>
        <w:spacing w:line="560" w:lineRule="exact"/>
        <w:ind w:firstLine="708" w:firstLineChars="200"/>
        <w:outlineLvl w:val="9"/>
        <w:rPr>
          <w:rFonts w:hint="eastAsia" w:eastAsia="仿宋_GB2312"/>
          <w:bCs/>
          <w:color w:val="FF0000"/>
          <w:sz w:val="32"/>
          <w:szCs w:val="32"/>
          <w:lang w:eastAsia="zh-CN"/>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pageBreakBefore w:val="0"/>
        <w:kinsoku/>
        <w:wordWrap/>
        <w:overflowPunct/>
        <w:topLinePunct w:val="0"/>
        <w:bidi w:val="0"/>
        <w:snapToGrid/>
        <w:spacing w:line="560" w:lineRule="exact"/>
        <w:ind w:firstLine="708" w:firstLineChars="200"/>
        <w:outlineLvl w:val="9"/>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（1）比较法</w:t>
      </w:r>
    </w:p>
    <w:p>
      <w:pPr>
        <w:pageBreakBefore w:val="0"/>
        <w:kinsoku/>
        <w:wordWrap/>
        <w:overflowPunct/>
        <w:topLinePunct w:val="0"/>
        <w:bidi w:val="0"/>
        <w:snapToGrid/>
        <w:spacing w:line="560" w:lineRule="exact"/>
        <w:ind w:firstLine="708" w:firstLineChars="200"/>
        <w:outlineLvl w:val="9"/>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通过对绩效目标与实施效果、历史与当期情况，综合分析绩效目标实现程度。对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最终验收情况与年度绩效目标对比、预算资金执行情况等相关因素进行比较。</w:t>
      </w:r>
    </w:p>
    <w:p>
      <w:pPr>
        <w:pageBreakBefore w:val="0"/>
        <w:kinsoku/>
        <w:wordWrap/>
        <w:overflowPunct/>
        <w:topLinePunct w:val="0"/>
        <w:bidi w:val="0"/>
        <w:snapToGrid/>
        <w:spacing w:line="560" w:lineRule="exact"/>
        <w:ind w:firstLine="708" w:firstLineChars="200"/>
        <w:outlineLvl w:val="9"/>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（2）因素分析法</w:t>
      </w:r>
    </w:p>
    <w:p>
      <w:pPr>
        <w:pageBreakBefore w:val="0"/>
        <w:kinsoku/>
        <w:wordWrap/>
        <w:overflowPunct/>
        <w:topLinePunct w:val="0"/>
        <w:bidi w:val="0"/>
        <w:snapToGrid/>
        <w:spacing w:line="560" w:lineRule="exact"/>
        <w:ind w:firstLine="708" w:firstLineChars="200"/>
        <w:outlineLvl w:val="9"/>
        <w:rPr>
          <w:rFonts w:hint="eastAsia" w:eastAsia="仿宋_GB2312"/>
          <w:bCs/>
          <w:color w:val="000000" w:themeColor="text1"/>
          <w:sz w:val="32"/>
          <w:szCs w:val="32"/>
          <w:lang w:eastAsia="zh-CN"/>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通过综合分析影响绩效目标实现、实施效果的内外因素，评价绩效目标实现程度。通过对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的开展情况、项目产出数量、成本控制、资金拨付文件及自评报告等相关资料的收集和审核，综合分析各因素对绩效目标实现的影响。</w:t>
      </w:r>
    </w:p>
    <w:p>
      <w:pPr>
        <w:pageBreakBefore w:val="0"/>
        <w:widowControl w:val="0"/>
        <w:kinsoku/>
        <w:wordWrap/>
        <w:overflowPunct/>
        <w:topLinePunct w:val="0"/>
        <w:autoSpaceDE/>
        <w:autoSpaceDN/>
        <w:bidi w:val="0"/>
        <w:adjustRightInd/>
        <w:snapToGrid/>
        <w:spacing w:line="560" w:lineRule="exact"/>
        <w:jc w:val="left"/>
        <w:textAlignment w:val="auto"/>
        <w:outlineLvl w:val="9"/>
        <w:rPr>
          <w:rFonts w:hint="eastAsia"/>
        </w:rPr>
      </w:pPr>
      <w:r>
        <w:rPr>
          <w:rFonts w:hint="eastAsia"/>
          <w:lang w:eastAsia="zh-CN"/>
        </w:rPr>
        <w:t>　　</w:t>
      </w:r>
      <w:r>
        <w:rPr>
          <w:rFonts w:hint="eastAsia"/>
          <w:sz w:val="32"/>
          <w:szCs w:val="32"/>
        </w:rPr>
        <w:t>4</w:t>
      </w:r>
      <w:r>
        <w:rPr>
          <w:rFonts w:hint="eastAsia"/>
          <w:sz w:val="32"/>
          <w:szCs w:val="32"/>
          <w:lang w:val="en-US" w:eastAsia="zh-CN"/>
        </w:rPr>
        <w:t>.</w:t>
      </w:r>
      <w:r>
        <w:rPr>
          <w:rFonts w:hint="eastAsia"/>
          <w:sz w:val="32"/>
          <w:szCs w:val="32"/>
        </w:rPr>
        <w:t>评价标准</w:t>
      </w:r>
    </w:p>
    <w:p>
      <w:pPr>
        <w:pageBreakBefore w:val="0"/>
        <w:kinsoku/>
        <w:wordWrap/>
        <w:overflowPunct/>
        <w:topLinePunct w:val="0"/>
        <w:bidi w:val="0"/>
        <w:snapToGrid/>
        <w:spacing w:line="560" w:lineRule="exact"/>
        <w:ind w:firstLine="640"/>
        <w:outlineLvl w:val="9"/>
        <w:rPr>
          <w:rFonts w:hint="eastAsia"/>
          <w:bCs/>
          <w:color w:val="000000" w:themeColor="text1"/>
          <w:sz w:val="32"/>
          <w:szCs w:val="32"/>
          <w14:textFill>
            <w14:solidFill>
              <w14:schemeClr w14:val="tx1"/>
            </w14:solidFill>
          </w14:textFill>
        </w:rPr>
      </w:pPr>
      <w:r>
        <w:rPr>
          <w:rFonts w:hint="eastAsia"/>
          <w:bCs/>
          <w:color w:val="000000" w:themeColor="text1"/>
          <w:sz w:val="32"/>
          <w:szCs w:val="32"/>
          <w14:textFill>
            <w14:solidFill>
              <w14:schemeClr w14:val="tx1"/>
            </w14:solidFill>
          </w14:textFill>
        </w:rPr>
        <w:t>绩效评价标准通常包括计划标准、行业标准、历史标准等，用于对绩效指标完成情况进行比较、分析、评价。本次评价主要采用了</w:t>
      </w:r>
      <w:r>
        <w:rPr>
          <w:rFonts w:hint="eastAsia"/>
          <w:bCs/>
          <w:color w:val="auto"/>
          <w:sz w:val="32"/>
          <w:szCs w:val="32"/>
        </w:rPr>
        <w:t>计划标准</w:t>
      </w:r>
      <w:r>
        <w:rPr>
          <w:rFonts w:hint="eastAsia"/>
          <w:bCs/>
          <w:color w:val="000000" w:themeColor="text1"/>
          <w:sz w:val="32"/>
          <w:szCs w:val="32"/>
          <w14:textFill>
            <w14:solidFill>
              <w14:schemeClr w14:val="tx1"/>
            </w14:solidFill>
          </w14:textFill>
        </w:rPr>
        <w:t>。</w:t>
      </w:r>
    </w:p>
    <w:p>
      <w:pPr>
        <w:pageBreakBefore w:val="0"/>
        <w:kinsoku/>
        <w:wordWrap/>
        <w:overflowPunct/>
        <w:topLinePunct w:val="0"/>
        <w:bidi w:val="0"/>
        <w:snapToGrid/>
        <w:spacing w:line="560" w:lineRule="exact"/>
        <w:ind w:firstLine="640"/>
        <w:outlineLvl w:val="9"/>
        <w:rPr>
          <w:rFonts w:hint="eastAsia"/>
          <w:bCs/>
          <w:color w:val="000000" w:themeColor="text1"/>
          <w:sz w:val="32"/>
          <w:szCs w:val="32"/>
          <w14:textFill>
            <w14:solidFill>
              <w14:schemeClr w14:val="tx1"/>
            </w14:solidFill>
          </w14:textFill>
        </w:rPr>
      </w:pPr>
      <w:r>
        <w:rPr>
          <w:rFonts w:hint="eastAsia"/>
          <w:bCs/>
          <w:color w:val="000000" w:themeColor="text1"/>
          <w:sz w:val="32"/>
          <w:szCs w:val="32"/>
          <w14:textFill>
            <w14:solidFill>
              <w14:schemeClr w14:val="tx1"/>
            </w14:solidFill>
          </w14:textFill>
        </w:rPr>
        <w:t>计划标准</w:t>
      </w:r>
      <w:r>
        <w:rPr>
          <w:rFonts w:hint="eastAsia"/>
          <w:bCs/>
          <w:color w:val="000000" w:themeColor="text1"/>
          <w:sz w:val="32"/>
          <w:szCs w:val="32"/>
          <w:lang w:eastAsia="zh-CN"/>
          <w14:textFill>
            <w14:solidFill>
              <w14:schemeClr w14:val="tx1"/>
            </w14:solidFill>
          </w14:textFill>
        </w:rPr>
        <w:t>：</w:t>
      </w:r>
      <w:r>
        <w:rPr>
          <w:rFonts w:hint="eastAsia"/>
          <w:bCs/>
          <w:color w:val="000000" w:themeColor="text1"/>
          <w:sz w:val="32"/>
          <w:szCs w:val="32"/>
          <w14:textFill>
            <w14:solidFill>
              <w14:schemeClr w14:val="tx1"/>
            </w14:solidFill>
          </w14:textFill>
        </w:rPr>
        <w:t>指以预先制定的目标、计划、预算、定额等作为评价标准。</w:t>
      </w:r>
    </w:p>
    <w:p>
      <w:pPr>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lang w:val="en-US" w:eastAsia="zh-CN" w:bidi="ar-SA"/>
        </w:rPr>
      </w:pPr>
      <w:bookmarkStart w:id="6" w:name="_Toc68703833"/>
      <w:r>
        <w:rPr>
          <w:rFonts w:hint="eastAsia" w:ascii="Times New Roman" w:hAnsi="Times New Roman" w:eastAsia="楷体_GB2312" w:cs="Times New Roman"/>
          <w:b/>
          <w:bCs/>
          <w:kern w:val="2"/>
          <w:sz w:val="32"/>
          <w:szCs w:val="32"/>
          <w:lang w:val="en-US" w:eastAsia="zh-CN" w:bidi="ar-SA"/>
        </w:rPr>
        <w:t>（三）绩效评价工作过程</w:t>
      </w:r>
      <w:bookmarkEnd w:id="6"/>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前期准备：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outlineLvl w:val="9"/>
        <w:rPr>
          <w:rFonts w:eastAsia="仿宋_GB2312"/>
          <w:bCs/>
          <w:sz w:val="32"/>
          <w:szCs w:val="32"/>
        </w:rPr>
      </w:pPr>
      <w:r>
        <w:rPr>
          <w:rFonts w:hint="eastAsia" w:eastAsia="仿宋_GB2312"/>
          <w:bCs/>
          <w:sz w:val="32"/>
          <w:szCs w:val="32"/>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sz w:val="32"/>
          <w:szCs w:val="32"/>
        </w:rPr>
      </w:pPr>
      <w:r>
        <w:rPr>
          <w:rFonts w:hint="eastAsia"/>
          <w:sz w:val="32"/>
          <w:szCs w:val="32"/>
        </w:rPr>
        <w:t>2</w:t>
      </w:r>
      <w:r>
        <w:rPr>
          <w:rFonts w:hint="eastAsia"/>
          <w:sz w:val="32"/>
          <w:szCs w:val="32"/>
          <w:lang w:val="en-US" w:eastAsia="zh-CN"/>
        </w:rPr>
        <w:t>.</w:t>
      </w:r>
      <w:r>
        <w:rPr>
          <w:rFonts w:hint="eastAsia"/>
          <w:sz w:val="32"/>
          <w:szCs w:val="32"/>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outlineLvl w:val="9"/>
        <w:rPr>
          <w:rFonts w:eastAsia="仿宋_GB2312"/>
          <w:bCs/>
          <w:sz w:val="32"/>
          <w:szCs w:val="32"/>
        </w:rPr>
      </w:pPr>
      <w:r>
        <w:rPr>
          <w:rFonts w:hint="eastAsia" w:eastAsia="仿宋_GB2312"/>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sz w:val="32"/>
          <w:szCs w:val="32"/>
        </w:rPr>
      </w:pPr>
      <w:r>
        <w:rPr>
          <w:rFonts w:hint="eastAsia"/>
          <w:sz w:val="32"/>
          <w:szCs w:val="32"/>
        </w:rPr>
        <w:t>3</w:t>
      </w:r>
      <w:r>
        <w:rPr>
          <w:rFonts w:hint="eastAsia"/>
          <w:sz w:val="32"/>
          <w:szCs w:val="32"/>
          <w:lang w:val="en-US" w:eastAsia="zh-CN"/>
        </w:rPr>
        <w:t>.</w:t>
      </w:r>
      <w:r>
        <w:rPr>
          <w:rFonts w:hint="eastAsia"/>
          <w:sz w:val="32"/>
          <w:szCs w:val="32"/>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outlineLvl w:val="9"/>
        <w:rPr>
          <w:sz w:val="32"/>
          <w:szCs w:val="32"/>
        </w:rPr>
      </w:pPr>
      <w:bookmarkStart w:id="7" w:name="_Toc68703834"/>
      <w:r>
        <w:rPr>
          <w:rFonts w:hint="eastAsia" w:eastAsia="仿宋_GB2312"/>
          <w:bCs/>
          <w:sz w:val="32"/>
          <w:szCs w:val="32"/>
        </w:rPr>
        <w:t>根据收集梳理的资料围绕项目立项、资金落实、业务管理、财务管理、项目产出、项目效益等内容，对照已确定的绩效评价指标进行详细全面的分析评价，逐项打分并形成绩效评价最终结果。</w:t>
      </w:r>
    </w:p>
    <w:p>
      <w:pPr>
        <w:pageBreakBefore w:val="0"/>
        <w:numPr>
          <w:ilvl w:val="0"/>
          <w:numId w:val="0"/>
        </w:numPr>
        <w:kinsoku/>
        <w:wordWrap/>
        <w:overflowPunct/>
        <w:topLinePunct w:val="0"/>
        <w:bidi w:val="0"/>
        <w:snapToGrid/>
        <w:spacing w:line="560" w:lineRule="exact"/>
        <w:outlineLvl w:val="9"/>
        <w:rPr>
          <w:rFonts w:hint="eastAsia" w:ascii="Times New Roman" w:hAnsi="Times New Roman" w:eastAsia="黑体" w:cs="Times New Roman"/>
          <w:bCs/>
          <w:sz w:val="32"/>
          <w:szCs w:val="32"/>
          <w:lang w:val="en-US" w:eastAsia="zh-CN"/>
        </w:rPr>
      </w:pPr>
      <w:r>
        <w:rPr>
          <w:rFonts w:hint="eastAsia" w:eastAsia="黑体" w:cs="Times New Roman"/>
          <w:bCs/>
          <w:sz w:val="32"/>
          <w:szCs w:val="32"/>
          <w:lang w:val="en-US" w:eastAsia="zh-CN"/>
        </w:rPr>
        <w:t>三、</w:t>
      </w:r>
      <w:r>
        <w:rPr>
          <w:rFonts w:hint="eastAsia" w:ascii="Times New Roman" w:hAnsi="Times New Roman" w:eastAsia="黑体" w:cs="Times New Roman"/>
          <w:bCs/>
          <w:sz w:val="32"/>
          <w:szCs w:val="32"/>
          <w:lang w:val="en-US" w:eastAsia="zh-CN"/>
        </w:rPr>
        <w:t>综合评价情况及评价结论</w:t>
      </w:r>
      <w:bookmarkEnd w:id="7"/>
      <w:r>
        <w:rPr>
          <w:rFonts w:eastAsia="黑体"/>
          <w:sz w:val="32"/>
          <w:szCs w:val="32"/>
        </w:rPr>
        <w:t>（附相关评分表）</w:t>
      </w:r>
    </w:p>
    <w:p>
      <w:pPr>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lang w:val="en-US" w:eastAsia="zh-CN" w:bidi="ar-SA"/>
        </w:rPr>
      </w:pPr>
      <w:bookmarkStart w:id="8" w:name="_Toc68703835"/>
      <w:r>
        <w:rPr>
          <w:rFonts w:hint="eastAsia" w:ascii="Times New Roman" w:hAnsi="Times New Roman" w:eastAsia="楷体_GB2312" w:cs="Times New Roman"/>
          <w:b/>
          <w:bCs/>
          <w:kern w:val="2"/>
          <w:sz w:val="32"/>
          <w:szCs w:val="32"/>
          <w:lang w:val="en-US" w:eastAsia="zh-CN" w:bidi="ar-SA"/>
        </w:rPr>
        <w:t>（一）综合评价情况</w:t>
      </w:r>
      <w:bookmarkEnd w:id="8"/>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color w:val="FF0000"/>
          <w:sz w:val="32"/>
          <w:szCs w:val="32"/>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ageBreakBefore w:val="0"/>
        <w:widowControl w:val="0"/>
        <w:kinsoku/>
        <w:wordWrap/>
        <w:overflowPunct/>
        <w:topLinePunct w:val="0"/>
        <w:autoSpaceDE/>
        <w:autoSpaceDN/>
        <w:bidi w:val="0"/>
        <w:adjustRightInd/>
        <w:snapToGrid/>
        <w:spacing w:before="0" w:after="0" w:line="560" w:lineRule="exact"/>
        <w:textAlignment w:val="auto"/>
        <w:outlineLvl w:val="9"/>
        <w:rPr>
          <w:rFonts w:hint="eastAsia" w:ascii="Times New Roman" w:hAnsi="Times New Roman" w:eastAsia="楷体_GB2312" w:cs="Times New Roman"/>
          <w:b/>
          <w:bCs/>
          <w:kern w:val="2"/>
          <w:sz w:val="32"/>
          <w:szCs w:val="32"/>
          <w:lang w:val="en-US" w:eastAsia="zh-CN" w:bidi="ar-SA"/>
        </w:rPr>
      </w:pPr>
      <w:bookmarkStart w:id="9" w:name="_Toc68703836"/>
      <w:r>
        <w:rPr>
          <w:rFonts w:hint="eastAsia" w:ascii="Times New Roman" w:hAnsi="Times New Roman" w:eastAsia="楷体_GB2312" w:cs="Times New Roman"/>
          <w:b/>
          <w:bCs/>
          <w:kern w:val="2"/>
          <w:sz w:val="32"/>
          <w:szCs w:val="32"/>
          <w:lang w:val="en-US" w:eastAsia="zh-CN" w:bidi="ar-SA"/>
        </w:rPr>
        <w:t>（二）评价结论</w:t>
      </w:r>
      <w:bookmarkEnd w:id="9"/>
    </w:p>
    <w:p>
      <w:pPr>
        <w:pStyle w:val="11"/>
        <w:keepNext w:val="0"/>
        <w:keepLines w:val="0"/>
        <w:pageBreakBefore w:val="0"/>
        <w:widowControl/>
        <w:kinsoku/>
        <w:wordWrap/>
        <w:overflowPunct/>
        <w:topLinePunct w:val="0"/>
        <w:autoSpaceDE/>
        <w:autoSpaceDN/>
        <w:bidi w:val="0"/>
        <w:adjustRightInd/>
        <w:snapToGrid/>
        <w:spacing w:before="0" w:after="0" w:line="560" w:lineRule="exact"/>
        <w:jc w:val="both"/>
        <w:textAlignment w:val="auto"/>
        <w:outlineLvl w:val="9"/>
        <w:rPr>
          <w:rFonts w:hint="eastAsia"/>
        </w:rPr>
      </w:pPr>
      <w:r>
        <w:rPr>
          <w:rFonts w:hint="eastAsia" w:ascii="Times New Roman" w:hAnsi="Times New Roman" w:eastAsia="仿宋_GB2312"/>
          <w:b w:val="0"/>
          <w:bCs w:val="0"/>
          <w:lang w:eastAsia="zh-CN"/>
        </w:rPr>
        <w:t>　　</w:t>
      </w:r>
      <w:r>
        <w:rPr>
          <w:rFonts w:hint="eastAsia"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eastAsia" w:ascii="Times New Roman" w:hAnsi="Times New Roman" w:eastAsia="仿宋_GB2312"/>
          <w:b w:val="0"/>
          <w:bCs w:val="0"/>
          <w:highlight w:val="none"/>
        </w:rPr>
        <w:t xml:space="preserve">总得分为 </w:t>
      </w:r>
      <w:r>
        <w:rPr>
          <w:rFonts w:hint="eastAsia" w:ascii="Times New Roman" w:hAnsi="Times New Roman" w:eastAsia="仿宋_GB2312"/>
          <w:b w:val="0"/>
          <w:bCs w:val="0"/>
          <w:highlight w:val="none"/>
          <w:lang w:val="en-US" w:eastAsia="zh-CN"/>
        </w:rPr>
        <w:t>98.56</w:t>
      </w:r>
      <w:r>
        <w:rPr>
          <w:rFonts w:hint="eastAsia" w:ascii="Times New Roman" w:hAnsi="Times New Roman" w:eastAsia="仿宋_GB2312"/>
          <w:b w:val="0"/>
          <w:bCs w:val="0"/>
          <w:highlight w:val="none"/>
        </w:rPr>
        <w:t>分，属于“优”。其中，项目决策类指标权重为20分，得分为</w:t>
      </w:r>
      <w:r>
        <w:rPr>
          <w:rFonts w:hint="eastAsia" w:ascii="Times New Roman" w:hAnsi="Times New Roman" w:eastAsia="仿宋_GB2312"/>
          <w:b w:val="0"/>
          <w:bCs w:val="0"/>
          <w:highlight w:val="none"/>
          <w:lang w:val="en-US" w:eastAsia="zh-CN"/>
        </w:rPr>
        <w:t>19.86</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99.3</w:t>
      </w:r>
      <w:r>
        <w:rPr>
          <w:rFonts w:hint="eastAsia" w:ascii="Times New Roman" w:hAnsi="Times New Roman" w:eastAsia="仿宋_GB2312"/>
          <w:b w:val="0"/>
          <w:bCs w:val="0"/>
          <w:highlight w:val="none"/>
        </w:rPr>
        <w:t>%。项目过程类指标权重为20分，得分为</w:t>
      </w:r>
      <w:r>
        <w:rPr>
          <w:rFonts w:hint="eastAsia" w:ascii="Times New Roman" w:hAnsi="Times New Roman" w:eastAsia="仿宋_GB2312"/>
          <w:b w:val="0"/>
          <w:bCs w:val="0"/>
          <w:highlight w:val="none"/>
          <w:lang w:val="en-US" w:eastAsia="zh-CN"/>
        </w:rPr>
        <w:t>19.26</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96.3</w:t>
      </w:r>
      <w:r>
        <w:rPr>
          <w:rFonts w:hint="eastAsia" w:ascii="Times New Roman" w:hAnsi="Times New Roman" w:eastAsia="仿宋_GB2312"/>
          <w:b w:val="0"/>
          <w:bCs w:val="0"/>
          <w:highlight w:val="none"/>
        </w:rPr>
        <w:t>%。项目产出类指标权重为40分，得分为</w:t>
      </w:r>
      <w:r>
        <w:rPr>
          <w:rFonts w:hint="eastAsia" w:ascii="Times New Roman" w:hAnsi="Times New Roman" w:eastAsia="仿宋_GB2312"/>
          <w:b w:val="0"/>
          <w:bCs w:val="0"/>
          <w:highlight w:val="none"/>
          <w:lang w:val="en-US" w:eastAsia="zh-CN"/>
        </w:rPr>
        <w:t>39.44</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98.6</w:t>
      </w:r>
      <w:r>
        <w:rPr>
          <w:rFonts w:hint="eastAsia" w:ascii="Times New Roman" w:hAnsi="Times New Roman" w:eastAsia="仿宋_GB2312"/>
          <w:b w:val="0"/>
          <w:bCs w:val="0"/>
          <w:highlight w:val="none"/>
        </w:rPr>
        <w:t>%。项目效益类指标权重为20分，得分为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w:t>
      </w:r>
      <w:r>
        <w:rPr>
          <w:rFonts w:hint="eastAsia" w:ascii="Times New Roman" w:hAnsi="Times New Roman" w:eastAsia="仿宋_GB2312"/>
          <w:b w:val="0"/>
          <w:bCs w:val="0"/>
        </w:rPr>
        <w:t>具体打分情况详见：附件1综合评分表</w:t>
      </w:r>
      <w:r>
        <w:rPr>
          <w:rFonts w:hint="eastAsia" w:ascii="Times New Roman" w:hAnsi="Times New Roman" w:eastAsia="仿宋_GB2312"/>
          <w:b w:val="0"/>
          <w:bCs w:val="0"/>
          <w:lang w:eastAsia="zh-CN"/>
        </w:rPr>
        <w:t>。</w:t>
      </w:r>
    </w:p>
    <w:p>
      <w:pPr>
        <w:pageBreakBefore w:val="0"/>
        <w:widowControl w:val="0"/>
        <w:kinsoku/>
        <w:wordWrap/>
        <w:overflowPunct/>
        <w:topLinePunct w:val="0"/>
        <w:autoSpaceDE/>
        <w:autoSpaceDN/>
        <w:bidi w:val="0"/>
        <w:adjustRightInd/>
        <w:snapToGrid/>
        <w:spacing w:line="560" w:lineRule="exact"/>
        <w:ind w:firstLine="600" w:firstLineChars="200"/>
        <w:textAlignment w:val="auto"/>
        <w:outlineLvl w:val="9"/>
        <w:rPr>
          <w:rFonts w:hint="eastAsia" w:ascii="Times New Roman" w:hAnsi="Times New Roman" w:eastAsia="仿宋_GB2312" w:cs="Times New Roman"/>
          <w:b w:val="0"/>
          <w:bCs w:val="0"/>
          <w:kern w:val="28"/>
          <w:sz w:val="32"/>
          <w:szCs w:val="32"/>
          <w:lang w:val="en-US" w:eastAsia="zh-CN" w:bidi="ar-SA"/>
        </w:rPr>
      </w:pPr>
      <w:r>
        <w:rPr>
          <w:rFonts w:hint="eastAsia"/>
          <w:sz w:val="30"/>
          <w:szCs w:val="30"/>
          <w:lang w:eastAsia="zh-CN"/>
        </w:rPr>
        <w:t>　　　　　　　　</w:t>
      </w:r>
      <w:r>
        <w:rPr>
          <w:rFonts w:hint="eastAsia" w:ascii="Times New Roman" w:hAnsi="Times New Roman" w:eastAsia="仿宋_GB2312" w:cs="Times New Roman"/>
          <w:b w:val="0"/>
          <w:bCs w:val="0"/>
          <w:kern w:val="28"/>
          <w:sz w:val="32"/>
          <w:szCs w:val="32"/>
          <w:lang w:val="en-US" w:eastAsia="zh-CN" w:bidi="ar-SA"/>
        </w:rPr>
        <w:t>表1综合评分表</w:t>
      </w:r>
    </w:p>
    <w:tbl>
      <w:tblPr>
        <w:tblStyle w:val="12"/>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outlineLvl w:val="9"/>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outlineLvl w:val="9"/>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outlineLvl w:val="9"/>
              <w:rPr>
                <w:b/>
                <w:bCs/>
                <w:color w:val="000000"/>
                <w:sz w:val="22"/>
              </w:rPr>
            </w:pPr>
            <w:r>
              <w:rPr>
                <w:rFonts w:hint="eastAsia"/>
                <w:b/>
                <w:bCs/>
                <w:color w:val="000000"/>
                <w:sz w:val="2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napToGrid/>
              <w:spacing w:line="560" w:lineRule="exact"/>
              <w:jc w:val="center"/>
              <w:outlineLvl w:val="9"/>
              <w:rPr>
                <w:rFonts w:hint="eastAsia" w:eastAsia="宋体"/>
                <w:color w:val="000000"/>
                <w:sz w:val="22"/>
              </w:rPr>
            </w:pPr>
            <w:r>
              <w:rPr>
                <w:rFonts w:hint="eastAsia" w:eastAsia="宋体"/>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outlineLvl w:val="9"/>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outlineLvl w:val="9"/>
              <w:rPr>
                <w:rFonts w:hint="default" w:eastAsia="仿宋_GB2312"/>
                <w:color w:val="000000"/>
                <w:sz w:val="22"/>
                <w:lang w:val="en-US" w:eastAsia="zh-CN"/>
              </w:rPr>
            </w:pPr>
            <w:r>
              <w:rPr>
                <w:rFonts w:hint="eastAsia"/>
                <w:color w:val="000000"/>
                <w:sz w:val="22"/>
                <w:lang w:val="en-US" w:eastAsia="zh-CN"/>
              </w:rPr>
              <w:t>19.86</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napToGrid/>
              <w:spacing w:line="560" w:lineRule="exact"/>
              <w:jc w:val="center"/>
              <w:outlineLvl w:val="9"/>
              <w:rPr>
                <w:rFonts w:hint="eastAsia" w:eastAsia="宋体"/>
                <w:color w:val="000000"/>
                <w:sz w:val="22"/>
              </w:rPr>
            </w:pPr>
            <w:r>
              <w:rPr>
                <w:rFonts w:hint="eastAsia" w:eastAsia="宋体"/>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outlineLvl w:val="9"/>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outlineLvl w:val="9"/>
              <w:rPr>
                <w:rFonts w:hint="default" w:eastAsia="仿宋_GB2312"/>
                <w:color w:val="000000"/>
                <w:sz w:val="22"/>
                <w:lang w:val="en-US" w:eastAsia="zh-CN"/>
              </w:rPr>
            </w:pPr>
            <w:r>
              <w:rPr>
                <w:rFonts w:hint="eastAsia"/>
                <w:color w:val="000000"/>
                <w:sz w:val="22"/>
                <w:lang w:val="en-US" w:eastAsia="zh-CN"/>
              </w:rPr>
              <w:t>19.26</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napToGrid/>
              <w:spacing w:line="560" w:lineRule="exact"/>
              <w:jc w:val="center"/>
              <w:outlineLvl w:val="9"/>
              <w:rPr>
                <w:rFonts w:hint="eastAsia" w:eastAsia="宋体"/>
                <w:color w:val="000000"/>
                <w:sz w:val="22"/>
              </w:rPr>
            </w:pPr>
            <w:r>
              <w:rPr>
                <w:rFonts w:hint="eastAsia" w:eastAsia="宋体"/>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outlineLvl w:val="9"/>
              <w:rPr>
                <w:rFonts w:hint="default" w:eastAsia="仿宋_GB2312"/>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outlineLvl w:val="9"/>
              <w:rPr>
                <w:rFonts w:hint="default" w:eastAsia="仿宋_GB2312"/>
                <w:color w:val="000000"/>
                <w:sz w:val="22"/>
                <w:lang w:val="en-US" w:eastAsia="zh-CN"/>
              </w:rPr>
            </w:pPr>
            <w:r>
              <w:rPr>
                <w:rFonts w:hint="eastAsia"/>
                <w:color w:val="000000"/>
                <w:sz w:val="22"/>
                <w:lang w:val="en-US" w:eastAsia="zh-CN"/>
              </w:rPr>
              <w:t>39.44</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bidi w:val="0"/>
              <w:snapToGrid/>
              <w:spacing w:line="560" w:lineRule="exact"/>
              <w:jc w:val="center"/>
              <w:outlineLvl w:val="9"/>
              <w:rPr>
                <w:rFonts w:hint="eastAsia" w:eastAsia="宋体"/>
                <w:color w:val="000000"/>
                <w:sz w:val="22"/>
              </w:rPr>
            </w:pPr>
            <w:r>
              <w:rPr>
                <w:rFonts w:hint="eastAsia" w:eastAsia="宋体"/>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outlineLvl w:val="9"/>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outlineLvl w:val="9"/>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outlineLvl w:val="9"/>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outlineLvl w:val="9"/>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outlineLvl w:val="9"/>
              <w:rPr>
                <w:rFonts w:hint="default" w:eastAsia="仿宋_GB2312"/>
                <w:b/>
                <w:bCs/>
                <w:color w:val="000000"/>
                <w:sz w:val="22"/>
                <w:lang w:val="en-US" w:eastAsia="zh-CN"/>
              </w:rPr>
            </w:pPr>
            <w:r>
              <w:rPr>
                <w:rFonts w:hint="eastAsia"/>
                <w:b/>
                <w:bCs/>
                <w:color w:val="000000"/>
                <w:sz w:val="22"/>
                <w:lang w:val="en-US" w:eastAsia="zh-CN"/>
              </w:rPr>
              <w:t>98.56</w:t>
            </w:r>
          </w:p>
        </w:tc>
      </w:tr>
    </w:tbl>
    <w:p>
      <w:pPr>
        <w:pageBreakBefore w:val="0"/>
        <w:kinsoku/>
        <w:wordWrap/>
        <w:overflowPunct/>
        <w:topLinePunct w:val="0"/>
        <w:bidi w:val="0"/>
        <w:snapToGrid/>
        <w:spacing w:line="560" w:lineRule="exact"/>
        <w:outlineLvl w:val="9"/>
        <w:rPr>
          <w:rFonts w:hint="eastAsia" w:ascii="Times New Roman" w:hAnsi="Times New Roman" w:eastAsia="黑体" w:cs="Times New Roman"/>
          <w:bCs/>
          <w:sz w:val="32"/>
          <w:szCs w:val="32"/>
          <w:lang w:val="en-US" w:eastAsia="zh-CN"/>
        </w:rPr>
      </w:pPr>
      <w:bookmarkStart w:id="10" w:name="_Toc68703837"/>
      <w:r>
        <w:rPr>
          <w:rFonts w:hint="eastAsia" w:ascii="Times New Roman" w:hAnsi="Times New Roman" w:eastAsia="黑体" w:cs="Times New Roman"/>
          <w:bCs/>
          <w:sz w:val="32"/>
          <w:szCs w:val="32"/>
          <w:lang w:val="en-US" w:eastAsia="zh-CN"/>
        </w:rPr>
        <w:t>四、绩效评价指标分析</w:t>
      </w:r>
      <w:bookmarkEnd w:id="10"/>
    </w:p>
    <w:p>
      <w:pPr>
        <w:pageBreakBefore w:val="0"/>
        <w:kinsoku/>
        <w:wordWrap/>
        <w:overflowPunct/>
        <w:topLinePunct w:val="0"/>
        <w:bidi w:val="0"/>
        <w:snapToGrid/>
        <w:spacing w:line="560" w:lineRule="exact"/>
        <w:outlineLvl w:val="9"/>
        <w:rPr>
          <w:rFonts w:hint="eastAsia" w:ascii="Times New Roman" w:hAnsi="Times New Roman" w:eastAsia="楷体_GB2312" w:cs="Times New Roman"/>
          <w:b/>
          <w:bCs/>
          <w:kern w:val="2"/>
          <w:sz w:val="32"/>
          <w:szCs w:val="32"/>
          <w:lang w:val="en-US" w:eastAsia="zh-CN" w:bidi="ar-SA"/>
        </w:rPr>
      </w:pPr>
      <w:bookmarkStart w:id="11" w:name="_Toc68703838"/>
      <w:r>
        <w:rPr>
          <w:rFonts w:hint="eastAsia" w:ascii="Times New Roman" w:hAnsi="Times New Roman" w:eastAsia="楷体_GB2312" w:cs="Times New Roman"/>
          <w:b/>
          <w:bCs/>
          <w:kern w:val="2"/>
          <w:sz w:val="32"/>
          <w:szCs w:val="32"/>
          <w:lang w:val="en-US" w:eastAsia="zh-CN" w:bidi="ar-SA"/>
        </w:rPr>
        <w:t>（一）项目决策情况</w:t>
      </w:r>
      <w:bookmarkEnd w:id="11"/>
    </w:p>
    <w:p>
      <w:pPr>
        <w:pageBreakBefore w:val="0"/>
        <w:widowControl w:val="0"/>
        <w:kinsoku/>
        <w:wordWrap/>
        <w:overflowPunct/>
        <w:topLinePunct w:val="0"/>
        <w:autoSpaceDE/>
        <w:autoSpaceDN/>
        <w:bidi w:val="0"/>
        <w:adjustRightInd/>
        <w:snapToGrid/>
        <w:spacing w:line="560" w:lineRule="exact"/>
        <w:jc w:val="left"/>
        <w:textAlignment w:val="auto"/>
        <w:outlineLvl w:val="9"/>
        <w:rPr>
          <w:rFonts w:hint="eastAsia"/>
          <w:color w:val="auto"/>
          <w:lang w:val="en-US" w:eastAsia="zh-CN"/>
        </w:rPr>
      </w:pPr>
      <w:r>
        <w:rPr>
          <w:rFonts w:hint="eastAsia"/>
          <w:b w:val="0"/>
          <w:bCs w:val="0"/>
          <w:color w:val="auto"/>
          <w:sz w:val="32"/>
          <w:szCs w:val="32"/>
          <w:lang w:val="en-US" w:eastAsia="zh-CN"/>
        </w:rPr>
        <w:t>　　项目决策类指标包括项目立项、绩效目标和资金投入三方面的内容，由6个三级指标构成，权重分值为20分，实际得分19.86分，得分率为99.3%。</w:t>
      </w:r>
    </w:p>
    <w:p>
      <w:pPr>
        <w:pStyle w:val="21"/>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1.</w:t>
      </w:r>
      <w:r>
        <w:rPr>
          <w:rFonts w:hint="eastAsia" w:ascii="仿宋_GB2312" w:hAnsi="仿宋_GB2312" w:eastAsia="仿宋_GB2312" w:cs="仿宋_GB2312"/>
          <w:b/>
          <w:bCs/>
          <w:sz w:val="32"/>
          <w:szCs w:val="32"/>
          <w:lang w:val="en-US" w:eastAsia="zh-CN"/>
        </w:rPr>
        <w:t>项目立项</w:t>
      </w:r>
    </w:p>
    <w:p>
      <w:pPr>
        <w:pageBreakBefore w:val="0"/>
        <w:shd w:val="clear"/>
        <w:kinsoku/>
        <w:wordWrap/>
        <w:overflowPunct/>
        <w:topLinePunct w:val="0"/>
        <w:bidi w:val="0"/>
        <w:snapToGrid/>
        <w:spacing w:line="56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pPr>
        <w:pageBreakBefore w:val="0"/>
        <w:shd w:val="clear"/>
        <w:kinsoku/>
        <w:wordWrap/>
        <w:overflowPunct/>
        <w:topLinePunct w:val="0"/>
        <w:bidi w:val="0"/>
        <w:snapToGrid/>
        <w:spacing w:line="560" w:lineRule="exact"/>
        <w:ind w:firstLine="640" w:firstLineChars="200"/>
        <w:outlineLvl w:val="9"/>
        <w:rPr>
          <w:color w:val="FF0000"/>
          <w:sz w:val="32"/>
          <w:szCs w:val="32"/>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b w:val="0"/>
          <w:bCs w:val="0"/>
          <w:sz w:val="32"/>
          <w:szCs w:val="32"/>
        </w:rPr>
      </w:pPr>
      <w:r>
        <w:rPr>
          <w:rFonts w:hint="eastAsia"/>
          <w:b w:val="0"/>
          <w:bCs w:val="0"/>
          <w:sz w:val="32"/>
          <w:szCs w:val="32"/>
        </w:rPr>
        <w:t>2</w:t>
      </w:r>
      <w:r>
        <w:rPr>
          <w:rFonts w:hint="eastAsia"/>
          <w:b w:val="0"/>
          <w:bCs w:val="0"/>
          <w:sz w:val="32"/>
          <w:szCs w:val="32"/>
          <w:lang w:val="en-US" w:eastAsia="zh-CN"/>
        </w:rPr>
        <w:t>.</w:t>
      </w:r>
      <w:r>
        <w:rPr>
          <w:rFonts w:hint="eastAsia"/>
          <w:b w:val="0"/>
          <w:bCs w:val="0"/>
          <w:sz w:val="32"/>
          <w:szCs w:val="32"/>
        </w:rPr>
        <w:t>立项程序规范性</w:t>
      </w:r>
    </w:p>
    <w:p>
      <w:pPr>
        <w:pageBreakBefore w:val="0"/>
        <w:shd w:val="clear"/>
        <w:kinsoku/>
        <w:wordWrap/>
        <w:overflowPunct/>
        <w:topLinePunct w:val="0"/>
        <w:bidi w:val="0"/>
        <w:snapToGrid/>
        <w:spacing w:line="56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绩效评估、集体决策，保障了程序的规范性。</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outlineLvl w:val="9"/>
        <w:rPr>
          <w:rFonts w:hint="eastAsia"/>
          <w:b w:val="0"/>
          <w:bCs w:val="0"/>
          <w:sz w:val="32"/>
          <w:szCs w:val="32"/>
        </w:rPr>
      </w:pPr>
      <w:r>
        <w:rPr>
          <w:rFonts w:hint="eastAsia" w:ascii="仿宋_GB2312" w:hAnsi="仿宋_GB2312" w:eastAsia="仿宋_GB2312" w:cs="仿宋_GB2312"/>
          <w:b/>
          <w:bCs/>
          <w:sz w:val="32"/>
          <w:szCs w:val="32"/>
          <w:lang w:val="en-US" w:eastAsia="zh-CN"/>
        </w:rPr>
        <w:t>2.绩效目标</w:t>
      </w:r>
    </w:p>
    <w:p>
      <w:pPr>
        <w:pageBreakBefore w:val="0"/>
        <w:shd w:val="clear"/>
        <w:kinsoku/>
        <w:wordWrap/>
        <w:overflowPunct/>
        <w:topLinePunct w:val="0"/>
        <w:bidi w:val="0"/>
        <w:snapToGrid/>
        <w:spacing w:line="56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pPr>
        <w:pageBreakBefore w:val="0"/>
        <w:shd w:val="clear"/>
        <w:kinsoku/>
        <w:wordWrap/>
        <w:overflowPunct/>
        <w:topLinePunct w:val="0"/>
        <w:bidi w:val="0"/>
        <w:snapToGrid/>
        <w:spacing w:line="56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pageBreakBefore w:val="0"/>
        <w:shd w:val="clear"/>
        <w:kinsoku/>
        <w:wordWrap/>
        <w:overflowPunct/>
        <w:topLinePunct w:val="0"/>
        <w:bidi w:val="0"/>
        <w:snapToGrid/>
        <w:spacing w:line="560" w:lineRule="exact"/>
        <w:ind w:firstLine="640" w:firstLineChars="200"/>
        <w:outlineLvl w:val="9"/>
        <w:rPr>
          <w:rFonts w:hint="eastAsia" w:ascii="仿宋_GB2312" w:hAnsi="仿宋_GB2312" w:eastAsia="仿宋_GB2312" w:cs="仿宋_GB2312"/>
          <w:sz w:val="32"/>
          <w:szCs w:val="32"/>
          <w:lang w:val="en-US" w:eastAsia="zh-CN"/>
        </w:rPr>
      </w:pPr>
      <w:bookmarkStart w:id="12" w:name="_Hlk68699917"/>
      <w:r>
        <w:rPr>
          <w:rFonts w:hint="eastAsia" w:ascii="仿宋_GB2312" w:hAnsi="仿宋_GB2312" w:eastAsia="仿宋_GB2312" w:cs="仿宋_GB2312"/>
          <w:sz w:val="32"/>
          <w:szCs w:val="32"/>
          <w:lang w:val="en-US" w:eastAsia="zh-CN"/>
        </w:rPr>
        <w:t>（2）绩效指标明确性</w:t>
      </w:r>
    </w:p>
    <w:p>
      <w:pPr>
        <w:pageBreakBefore w:val="0"/>
        <w:shd w:val="clear"/>
        <w:kinsoku/>
        <w:wordWrap/>
        <w:overflowPunct/>
        <w:topLinePunct w:val="0"/>
        <w:bidi w:val="0"/>
        <w:snapToGrid/>
        <w:spacing w:line="56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bookmarkEnd w:id="12"/>
    <w:p>
      <w:pPr>
        <w:pStyle w:val="21"/>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3.</w:t>
      </w:r>
      <w:r>
        <w:rPr>
          <w:rFonts w:hint="eastAsia" w:ascii="仿宋_GB2312" w:hAnsi="仿宋_GB2312" w:eastAsia="仿宋_GB2312" w:cs="仿宋_GB2312"/>
          <w:b/>
          <w:bCs/>
          <w:sz w:val="32"/>
          <w:szCs w:val="32"/>
          <w:lang w:val="en-US" w:eastAsia="zh-CN"/>
        </w:rPr>
        <w:t>资金投入</w:t>
      </w:r>
    </w:p>
    <w:p>
      <w:pPr>
        <w:pageBreakBefore w:val="0"/>
        <w:shd w:val="clear"/>
        <w:kinsoku/>
        <w:wordWrap/>
        <w:overflowPunct/>
        <w:topLinePunct w:val="0"/>
        <w:bidi w:val="0"/>
        <w:snapToGrid/>
        <w:spacing w:line="56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pPr>
        <w:pageBreakBefore w:val="0"/>
        <w:shd w:val="clear"/>
        <w:kinsoku/>
        <w:wordWrap/>
        <w:overflowPunct/>
        <w:topLinePunct w:val="0"/>
        <w:bidi w:val="0"/>
        <w:snapToGrid/>
        <w:spacing w:line="56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pPr>
        <w:pageBreakBefore w:val="0"/>
        <w:shd w:val="clear"/>
        <w:kinsoku/>
        <w:wordWrap/>
        <w:overflowPunct/>
        <w:topLinePunct w:val="0"/>
        <w:bidi w:val="0"/>
        <w:snapToGrid/>
        <w:spacing w:line="56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pPr>
        <w:pageBreakBefore w:val="0"/>
        <w:shd w:val="clear"/>
        <w:kinsoku/>
        <w:wordWrap/>
        <w:overflowPunct/>
        <w:topLinePunct w:val="0"/>
        <w:bidi w:val="0"/>
        <w:snapToGrid/>
        <w:spacing w:line="56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pPr>
        <w:pStyle w:val="11"/>
        <w:pageBreakBefore w:val="0"/>
        <w:numPr>
          <w:ilvl w:val="0"/>
          <w:numId w:val="0"/>
        </w:numPr>
        <w:kinsoku/>
        <w:wordWrap/>
        <w:overflowPunct/>
        <w:topLinePunct w:val="0"/>
        <w:bidi w:val="0"/>
        <w:snapToGrid/>
        <w:spacing w:before="0" w:after="0" w:line="560" w:lineRule="exact"/>
        <w:jc w:val="both"/>
        <w:outlineLvl w:val="9"/>
        <w:rPr>
          <w:rFonts w:ascii="楷体" w:hAnsi="楷体" w:eastAsia="楷体" w:cs="楷体"/>
        </w:rPr>
      </w:pPr>
      <w:r>
        <w:rPr>
          <w:rFonts w:hint="eastAsia" w:ascii="楷体" w:hAnsi="楷体" w:eastAsia="楷体" w:cs="楷体"/>
          <w:lang w:eastAsia="zh-CN"/>
        </w:rPr>
        <w:t>（二）</w:t>
      </w:r>
      <w:r>
        <w:rPr>
          <w:rFonts w:hint="eastAsia" w:ascii="楷体" w:hAnsi="楷体" w:eastAsia="楷体" w:cs="楷体"/>
        </w:rPr>
        <w:t>项目过程情况</w:t>
      </w:r>
    </w:p>
    <w:p>
      <w:pPr>
        <w:pageBreakBefore w:val="0"/>
        <w:shd w:val="clear"/>
        <w:kinsoku/>
        <w:wordWrap/>
        <w:overflowPunct/>
        <w:topLinePunct w:val="0"/>
        <w:bidi w:val="0"/>
        <w:snapToGrid/>
        <w:spacing w:line="560" w:lineRule="exact"/>
        <w:ind w:firstLine="640" w:firstLineChars="200"/>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w:t>
      </w:r>
      <w:r>
        <w:rPr>
          <w:rFonts w:hint="eastAsia" w:ascii="仿宋_GB2312" w:hAnsi="仿宋_GB2312" w:eastAsia="仿宋_GB2312" w:cs="仿宋_GB2312"/>
          <w:sz w:val="32"/>
          <w:szCs w:val="32"/>
          <w:lang w:val="en-US" w:eastAsia="zh-CN"/>
        </w:rPr>
        <w:t>三级指标构成，权重分值为20分，</w:t>
      </w:r>
      <w:r>
        <w:rPr>
          <w:rFonts w:hint="eastAsia" w:ascii="仿宋_GB2312" w:hAnsi="仿宋_GB2312" w:eastAsia="仿宋_GB2312" w:cs="仿宋_GB2312"/>
          <w:sz w:val="32"/>
          <w:szCs w:val="32"/>
          <w:highlight w:val="none"/>
          <w:lang w:val="en-US" w:eastAsia="zh-CN"/>
        </w:rPr>
        <w:t>实际得分</w:t>
      </w:r>
      <w:r>
        <w:rPr>
          <w:rFonts w:hint="eastAsia" w:ascii="仿宋_GB2312" w:hAnsi="仿宋_GB2312" w:cs="仿宋_GB2312"/>
          <w:sz w:val="32"/>
          <w:szCs w:val="32"/>
          <w:highlight w:val="none"/>
          <w:lang w:val="en-US" w:eastAsia="zh-CN"/>
        </w:rPr>
        <w:t>19.26</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96.3</w:t>
      </w:r>
      <w:r>
        <w:rPr>
          <w:rFonts w:hint="eastAsia" w:ascii="仿宋_GB2312" w:hAnsi="仿宋_GB2312" w:eastAsia="仿宋_GB2312" w:cs="仿宋_GB2312"/>
          <w:sz w:val="32"/>
          <w:szCs w:val="32"/>
          <w:highlight w:val="none"/>
          <w:lang w:val="en-US" w:eastAsia="zh-CN"/>
        </w:rPr>
        <w:t>%。</w:t>
      </w:r>
    </w:p>
    <w:p>
      <w:pPr>
        <w:pageBreakBefore w:val="0"/>
        <w:shd w:val="clear"/>
        <w:kinsoku/>
        <w:wordWrap/>
        <w:overflowPunct/>
        <w:topLinePunct w:val="0"/>
        <w:bidi w:val="0"/>
        <w:snapToGrid/>
        <w:spacing w:line="56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pPr>
        <w:pageBreakBefore w:val="0"/>
        <w:shd w:val="clear"/>
        <w:kinsoku/>
        <w:wordWrap/>
        <w:overflowPunct/>
        <w:topLinePunct w:val="0"/>
        <w:bidi w:val="0"/>
        <w:snapToGrid/>
        <w:spacing w:line="56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pPr>
        <w:pageBreakBefore w:val="0"/>
        <w:shd w:val="clear"/>
        <w:kinsoku/>
        <w:wordWrap/>
        <w:overflowPunct/>
        <w:topLinePunct w:val="0"/>
        <w:bidi w:val="0"/>
        <w:snapToGrid/>
        <w:spacing w:line="560" w:lineRule="exact"/>
        <w:ind w:firstLine="640" w:firstLineChars="200"/>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本项目总投资</w:t>
      </w:r>
      <w:r>
        <w:rPr>
          <w:rFonts w:hint="eastAsia" w:ascii="仿宋_GB2312" w:hAnsi="仿宋_GB2312" w:cs="仿宋_GB2312"/>
          <w:sz w:val="32"/>
          <w:szCs w:val="32"/>
          <w:highlight w:val="none"/>
          <w:lang w:val="en-US" w:eastAsia="zh-CN"/>
        </w:rPr>
        <w:t>20</w:t>
      </w:r>
      <w:r>
        <w:rPr>
          <w:rFonts w:hint="eastAsia" w:ascii="仿宋_GB2312" w:hAnsi="仿宋_GB2312" w:eastAsia="仿宋_GB2312" w:cs="仿宋_GB2312"/>
          <w:sz w:val="32"/>
          <w:szCs w:val="32"/>
          <w:highlight w:val="none"/>
          <w:lang w:val="en-US" w:eastAsia="zh-CN"/>
        </w:rPr>
        <w:t>万元，财政资金及时足额到位，到位率</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%，预算资金按计划进度执行。</w:t>
      </w:r>
    </w:p>
    <w:p>
      <w:pPr>
        <w:pageBreakBefore w:val="0"/>
        <w:shd w:val="clear"/>
        <w:kinsoku/>
        <w:wordWrap/>
        <w:overflowPunct/>
        <w:topLinePunct w:val="0"/>
        <w:bidi w:val="0"/>
        <w:snapToGrid/>
        <w:spacing w:line="56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（2）预算执行率</w:t>
      </w:r>
    </w:p>
    <w:p>
      <w:pPr>
        <w:pageBreakBefore w:val="0"/>
        <w:shd w:val="clear"/>
        <w:kinsoku/>
        <w:wordWrap/>
        <w:overflowPunct/>
        <w:topLinePunct w:val="0"/>
        <w:bidi w:val="0"/>
        <w:snapToGrid/>
        <w:spacing w:line="56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预算编制较为详细，项目资金支出总体能够按照预算执行，</w:t>
      </w:r>
      <w:r>
        <w:rPr>
          <w:rFonts w:hint="eastAsia" w:ascii="仿宋_GB2312" w:hAnsi="仿宋_GB2312" w:eastAsia="仿宋_GB2312" w:cs="仿宋_GB2312"/>
          <w:sz w:val="32"/>
          <w:szCs w:val="32"/>
          <w:highlight w:val="none"/>
          <w:lang w:val="en-US" w:eastAsia="zh-CN"/>
        </w:rPr>
        <w:t>预算资金支出</w:t>
      </w:r>
      <w:r>
        <w:rPr>
          <w:rFonts w:hint="eastAsia" w:ascii="仿宋_GB2312" w:hAnsi="仿宋_GB2312" w:cs="仿宋_GB2312"/>
          <w:sz w:val="32"/>
          <w:szCs w:val="32"/>
          <w:highlight w:val="none"/>
          <w:lang w:val="en-US" w:eastAsia="zh-CN"/>
        </w:rPr>
        <w:t>16.29</w:t>
      </w:r>
      <w:r>
        <w:rPr>
          <w:rFonts w:hint="eastAsia" w:ascii="仿宋_GB2312" w:hAnsi="仿宋_GB2312" w:eastAsia="仿宋_GB2312" w:cs="仿宋_GB2312"/>
          <w:sz w:val="32"/>
          <w:szCs w:val="32"/>
          <w:highlight w:val="none"/>
          <w:lang w:val="en-US" w:eastAsia="zh-CN"/>
        </w:rPr>
        <w:t>万元，预算执行率为</w:t>
      </w:r>
      <w:r>
        <w:rPr>
          <w:rFonts w:hint="eastAsia" w:ascii="仿宋_GB2312" w:hAnsi="仿宋_GB2312" w:cs="仿宋_GB2312"/>
          <w:sz w:val="32"/>
          <w:szCs w:val="32"/>
          <w:highlight w:val="none"/>
          <w:lang w:val="en-US" w:eastAsia="zh-CN"/>
        </w:rPr>
        <w:t>81.45</w:t>
      </w:r>
      <w:r>
        <w:rPr>
          <w:rFonts w:hint="eastAsia" w:ascii="仿宋_GB2312" w:hAnsi="仿宋_GB2312" w:eastAsia="仿宋_GB2312" w:cs="仿宋_GB2312"/>
          <w:sz w:val="32"/>
          <w:szCs w:val="32"/>
          <w:highlight w:val="none"/>
          <w:lang w:val="en-US" w:eastAsia="zh-CN"/>
        </w:rPr>
        <w:t>%。</w:t>
      </w:r>
    </w:p>
    <w:p>
      <w:pPr>
        <w:pageBreakBefore w:val="0"/>
        <w:shd w:val="clear"/>
        <w:kinsoku/>
        <w:wordWrap/>
        <w:overflowPunct/>
        <w:topLinePunct w:val="0"/>
        <w:bidi w:val="0"/>
        <w:snapToGrid/>
        <w:spacing w:line="56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pPr>
        <w:pageBreakBefore w:val="0"/>
        <w:shd w:val="clear"/>
        <w:kinsoku/>
        <w:wordWrap/>
        <w:overflowPunct/>
        <w:topLinePunct w:val="0"/>
        <w:bidi w:val="0"/>
        <w:snapToGrid/>
        <w:spacing w:line="56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pPr>
        <w:pageBreakBefore w:val="0"/>
        <w:shd w:val="clear"/>
        <w:kinsoku/>
        <w:wordWrap/>
        <w:overflowPunct/>
        <w:topLinePunct w:val="0"/>
        <w:bidi w:val="0"/>
        <w:snapToGrid/>
        <w:spacing w:line="56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pPr>
        <w:pageBreakBefore w:val="0"/>
        <w:shd w:val="clear"/>
        <w:kinsoku/>
        <w:wordWrap/>
        <w:overflowPunct/>
        <w:topLinePunct w:val="0"/>
        <w:bidi w:val="0"/>
        <w:snapToGrid/>
        <w:spacing w:line="56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pageBreakBefore w:val="0"/>
        <w:shd w:val="clear"/>
        <w:kinsoku/>
        <w:wordWrap/>
        <w:overflowPunct/>
        <w:topLinePunct w:val="0"/>
        <w:bidi w:val="0"/>
        <w:snapToGrid/>
        <w:spacing w:line="56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pPr>
        <w:pageBreakBefore w:val="0"/>
        <w:shd w:val="clear"/>
        <w:kinsoku/>
        <w:wordWrap/>
        <w:overflowPunct/>
        <w:topLinePunct w:val="0"/>
        <w:bidi w:val="0"/>
        <w:snapToGrid/>
        <w:spacing w:line="560" w:lineRule="exact"/>
        <w:ind w:firstLine="640" w:firstLineChars="200"/>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6"/>
        <w:pageBreakBefore w:val="0"/>
        <w:numPr>
          <w:ilvl w:val="0"/>
          <w:numId w:val="3"/>
        </w:numPr>
        <w:kinsoku/>
        <w:wordWrap/>
        <w:overflowPunct/>
        <w:topLinePunct w:val="0"/>
        <w:bidi w:val="0"/>
        <w:snapToGrid/>
        <w:spacing w:line="560" w:lineRule="exact"/>
        <w:outlineLvl w:val="9"/>
        <w:rPr>
          <w:rFonts w:hint="eastAsia" w:ascii="Times New Roman" w:hAnsi="Times New Roman" w:eastAsia="楷体_GB2312" w:cs="Times New Roman"/>
          <w:b/>
          <w:bCs/>
          <w:kern w:val="2"/>
          <w:sz w:val="32"/>
          <w:szCs w:val="32"/>
          <w:lang w:val="en-US" w:eastAsia="zh-CN" w:bidi="ar-SA"/>
        </w:rPr>
      </w:pPr>
      <w:bookmarkStart w:id="13" w:name="_Toc68703840"/>
      <w:r>
        <w:rPr>
          <w:rFonts w:hint="eastAsia" w:ascii="Times New Roman" w:hAnsi="Times New Roman" w:eastAsia="楷体_GB2312" w:cs="Times New Roman"/>
          <w:b/>
          <w:bCs/>
          <w:kern w:val="2"/>
          <w:sz w:val="32"/>
          <w:szCs w:val="32"/>
          <w:lang w:val="en-US" w:eastAsia="zh-CN" w:bidi="ar-SA"/>
        </w:rPr>
        <w:t>（三）项目产出情况</w:t>
      </w:r>
      <w:bookmarkEnd w:id="13"/>
    </w:p>
    <w:p>
      <w:pPr>
        <w:pageBreakBefore w:val="0"/>
        <w:shd w:val="clear"/>
        <w:kinsoku/>
        <w:wordWrap/>
        <w:overflowPunct/>
        <w:topLinePunct w:val="0"/>
        <w:bidi w:val="0"/>
        <w:snapToGrid/>
        <w:spacing w:line="560" w:lineRule="exact"/>
        <w:ind w:firstLine="640" w:firstLineChars="200"/>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val="en-US" w:eastAsia="zh-CN"/>
        </w:rPr>
        <w:t>项目产出类指标包括产出数量、产出质量、产出时效、产出成本四方面的内容，由</w:t>
      </w:r>
      <w:r>
        <w:rPr>
          <w:rFonts w:hint="eastAsia" w:ascii="仿宋_GB2312" w:hAnsi="仿宋_GB2312" w:cs="仿宋_GB2312"/>
          <w:sz w:val="32"/>
          <w:szCs w:val="32"/>
          <w:highlight w:val="none"/>
          <w:lang w:val="en-US" w:eastAsia="zh-CN"/>
        </w:rPr>
        <w:t>7</w:t>
      </w:r>
      <w:r>
        <w:rPr>
          <w:rFonts w:hint="eastAsia" w:ascii="仿宋_GB2312" w:hAnsi="仿宋_GB2312" w:eastAsia="仿宋_GB2312" w:cs="仿宋_GB2312"/>
          <w:sz w:val="32"/>
          <w:szCs w:val="32"/>
          <w:highlight w:val="none"/>
          <w:lang w:val="en-US" w:eastAsia="zh-CN"/>
        </w:rPr>
        <w:t>个三级指标构成，权重分为40分，实际得分</w:t>
      </w:r>
      <w:r>
        <w:rPr>
          <w:rFonts w:hint="eastAsia" w:ascii="仿宋_GB2312" w:hAnsi="仿宋_GB2312" w:cs="仿宋_GB2312"/>
          <w:sz w:val="32"/>
          <w:szCs w:val="32"/>
          <w:highlight w:val="none"/>
          <w:lang w:val="en-US" w:eastAsia="zh-CN"/>
        </w:rPr>
        <w:t>39.44</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98.60</w:t>
      </w:r>
      <w:r>
        <w:rPr>
          <w:rFonts w:hint="eastAsia" w:ascii="仿宋_GB2312" w:hAnsi="仿宋_GB2312" w:eastAsia="仿宋_GB2312" w:cs="仿宋_GB2312"/>
          <w:sz w:val="32"/>
          <w:szCs w:val="32"/>
          <w:highlight w:val="none"/>
          <w:lang w:val="en-US" w:eastAsia="zh-CN"/>
        </w:rPr>
        <w:t>%。具体</w:t>
      </w:r>
      <w:r>
        <w:rPr>
          <w:rFonts w:hint="eastAsia" w:ascii="仿宋_GB2312" w:hAnsi="仿宋_GB2312" w:eastAsia="仿宋_GB2312" w:cs="仿宋_GB2312"/>
          <w:sz w:val="32"/>
          <w:szCs w:val="32"/>
          <w:lang w:val="en-US" w:eastAsia="zh-CN"/>
        </w:rPr>
        <w:t>产出指标完成情况如下：</w:t>
      </w:r>
    </w:p>
    <w:p>
      <w:pPr>
        <w:pageBreakBefore w:val="0"/>
        <w:shd w:val="clear"/>
        <w:kinsoku/>
        <w:wordWrap/>
        <w:overflowPunct/>
        <w:topLinePunct w:val="0"/>
        <w:bidi w:val="0"/>
        <w:snapToGrid/>
        <w:spacing w:line="560" w:lineRule="exact"/>
        <w:ind w:firstLine="640" w:firstLineChars="200"/>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color w:val="FF0000"/>
          <w:sz w:val="32"/>
          <w:szCs w:val="32"/>
          <w:lang w:eastAsia="zh-CN"/>
        </w:rPr>
      </w:pPr>
      <w:r>
        <w:rPr>
          <w:rFonts w:hint="eastAsia"/>
          <w:color w:val="auto"/>
          <w:sz w:val="32"/>
          <w:szCs w:val="32"/>
        </w:rPr>
        <w:t>指标1：计划采购耗材批次，指标值：</w:t>
      </w:r>
      <w:r>
        <w:rPr>
          <w:rFonts w:hint="eastAsia"/>
          <w:color w:val="auto"/>
          <w:sz w:val="32"/>
          <w:szCs w:val="32"/>
          <w:lang w:eastAsia="zh-CN"/>
        </w:rPr>
        <w:t>&gt;=3批</w:t>
      </w:r>
      <w:r>
        <w:rPr>
          <w:rFonts w:hint="eastAsia"/>
          <w:color w:val="auto"/>
          <w:sz w:val="32"/>
          <w:szCs w:val="32"/>
        </w:rPr>
        <w:t>，实际完成值</w:t>
      </w:r>
      <w:r>
        <w:rPr>
          <w:rFonts w:hint="eastAsia"/>
          <w:color w:val="auto"/>
          <w:sz w:val="32"/>
          <w:szCs w:val="32"/>
          <w:lang w:eastAsia="zh-CN"/>
        </w:rPr>
        <w:t>：2批</w:t>
      </w:r>
      <w:r>
        <w:rPr>
          <w:rFonts w:hint="eastAsia"/>
          <w:color w:val="auto"/>
          <w:sz w:val="32"/>
          <w:szCs w:val="32"/>
        </w:rPr>
        <w:t>，指标完成率</w:t>
      </w:r>
      <w:r>
        <w:rPr>
          <w:rFonts w:hint="eastAsia"/>
          <w:color w:val="auto"/>
          <w:sz w:val="32"/>
          <w:szCs w:val="32"/>
          <w:lang w:val="en-US" w:eastAsia="zh-CN"/>
        </w:rPr>
        <w:t>66.67</w:t>
      </w:r>
      <w:r>
        <w:rPr>
          <w:rFonts w:hint="eastAsia"/>
          <w:color w:val="auto"/>
          <w:sz w:val="32"/>
          <w:szCs w:val="32"/>
        </w:rPr>
        <w:t>%</w:t>
      </w:r>
      <w:r>
        <w:rPr>
          <w:rFonts w:hint="eastAsia"/>
          <w:color w:val="auto"/>
          <w:sz w:val="32"/>
          <w:szCs w:val="32"/>
          <w:lang w:eastAsia="zh-CN"/>
        </w:rPr>
        <w:t>，</w:t>
      </w:r>
      <w:r>
        <w:rPr>
          <w:rFonts w:hint="eastAsia"/>
          <w:color w:val="auto"/>
          <w:sz w:val="32"/>
          <w:szCs w:val="32"/>
        </w:rPr>
        <w:t>偏差原因：因预算采购价格与政府采购交易价格存在差异，第三批未采购。</w:t>
      </w:r>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eastAsia="仿宋_GB2312"/>
          <w:color w:val="FF0000"/>
          <w:sz w:val="32"/>
          <w:szCs w:val="32"/>
          <w:lang w:eastAsia="zh-CN"/>
        </w:rPr>
      </w:pPr>
      <w:r>
        <w:rPr>
          <w:rFonts w:hint="eastAsia"/>
          <w:color w:val="auto"/>
          <w:sz w:val="32"/>
          <w:szCs w:val="32"/>
        </w:rPr>
        <w:t>指标2：采购硒鼓数量，指标值：</w:t>
      </w:r>
      <w:r>
        <w:rPr>
          <w:rFonts w:hint="eastAsia"/>
          <w:color w:val="auto"/>
          <w:sz w:val="32"/>
          <w:szCs w:val="32"/>
          <w:lang w:eastAsia="zh-CN"/>
        </w:rPr>
        <w:t>&gt;=878支</w:t>
      </w:r>
      <w:r>
        <w:rPr>
          <w:rFonts w:hint="eastAsia"/>
          <w:color w:val="auto"/>
          <w:sz w:val="32"/>
          <w:szCs w:val="32"/>
        </w:rPr>
        <w:t>，实际完成值</w:t>
      </w:r>
      <w:r>
        <w:rPr>
          <w:rFonts w:hint="eastAsia"/>
          <w:color w:val="auto"/>
          <w:sz w:val="32"/>
          <w:szCs w:val="32"/>
          <w:lang w:eastAsia="zh-CN"/>
        </w:rPr>
        <w:t>：660支</w:t>
      </w:r>
      <w:r>
        <w:rPr>
          <w:rFonts w:hint="eastAsia"/>
          <w:color w:val="auto"/>
          <w:sz w:val="32"/>
          <w:szCs w:val="32"/>
        </w:rPr>
        <w:t>，指标完成率</w:t>
      </w:r>
      <w:r>
        <w:rPr>
          <w:rFonts w:hint="eastAsia"/>
          <w:color w:val="auto"/>
          <w:sz w:val="32"/>
          <w:szCs w:val="32"/>
          <w:lang w:val="en-US" w:eastAsia="zh-CN"/>
        </w:rPr>
        <w:t>75.17</w:t>
      </w:r>
      <w:r>
        <w:rPr>
          <w:rFonts w:hint="eastAsia"/>
          <w:color w:val="auto"/>
          <w:sz w:val="32"/>
          <w:szCs w:val="32"/>
        </w:rPr>
        <w:t>%，偏差原因：因预算采购价格与政府采购交易价格存在差异，采购660支硒鼓</w:t>
      </w:r>
      <w:r>
        <w:rPr>
          <w:rFonts w:hint="eastAsia"/>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eastAsia="仿宋_GB2312"/>
          <w:color w:val="FF0000"/>
          <w:sz w:val="32"/>
          <w:szCs w:val="32"/>
          <w:lang w:eastAsia="zh-CN"/>
        </w:rPr>
      </w:pPr>
      <w:r>
        <w:rPr>
          <w:rFonts w:hint="eastAsia" w:ascii="仿宋_GB2312" w:hAnsi="仿宋_GB2312" w:eastAsia="仿宋_GB2312" w:cs="仿宋_GB2312"/>
          <w:sz w:val="32"/>
          <w:szCs w:val="32"/>
          <w:highlight w:val="none"/>
        </w:rPr>
        <w:t>指标</w:t>
      </w:r>
      <w:r>
        <w:rPr>
          <w:rFonts w:hint="eastAsia" w:ascii="仿宋_GB2312" w:hAnsi="仿宋_GB2312" w:cs="仿宋_GB2312"/>
          <w:sz w:val="32"/>
          <w:szCs w:val="32"/>
          <w:highlight w:val="none"/>
          <w:lang w:val="en-US" w:eastAsia="zh-CN"/>
        </w:rPr>
        <w:t>3</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采购制证塑封机数量</w:t>
      </w:r>
      <w:r>
        <w:rPr>
          <w:rFonts w:hint="eastAsia" w:ascii="仿宋_GB2312" w:hAnsi="仿宋_GB2312" w:cs="仿宋_GB2312"/>
          <w:sz w:val="32"/>
          <w:szCs w:val="32"/>
          <w:highlight w:val="none"/>
          <w:lang w:val="en-US" w:eastAsia="zh-CN"/>
        </w:rPr>
        <w:t>，</w:t>
      </w:r>
      <w:r>
        <w:rPr>
          <w:rFonts w:hint="eastAsia"/>
          <w:color w:val="auto"/>
          <w:sz w:val="32"/>
          <w:szCs w:val="32"/>
        </w:rPr>
        <w:t>指标值：</w:t>
      </w:r>
      <w:r>
        <w:rPr>
          <w:rFonts w:hint="eastAsia"/>
          <w:color w:val="auto"/>
          <w:sz w:val="32"/>
          <w:szCs w:val="32"/>
          <w:lang w:eastAsia="zh-CN"/>
        </w:rPr>
        <w:t>&gt;=2台</w:t>
      </w:r>
      <w:r>
        <w:rPr>
          <w:rFonts w:hint="eastAsia"/>
          <w:color w:val="auto"/>
          <w:sz w:val="32"/>
          <w:szCs w:val="32"/>
        </w:rPr>
        <w:t>，实际完成值</w:t>
      </w:r>
      <w:r>
        <w:rPr>
          <w:rFonts w:hint="eastAsia"/>
          <w:color w:val="auto"/>
          <w:sz w:val="32"/>
          <w:szCs w:val="32"/>
          <w:lang w:eastAsia="zh-CN"/>
        </w:rPr>
        <w:t>：2台</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pageBreakBefore w:val="0"/>
        <w:shd w:val="clear"/>
        <w:kinsoku/>
        <w:wordWrap/>
        <w:overflowPunct/>
        <w:topLinePunct w:val="0"/>
        <w:bidi w:val="0"/>
        <w:snapToGrid/>
        <w:spacing w:line="560" w:lineRule="exact"/>
        <w:ind w:firstLine="640" w:firstLineChars="200"/>
        <w:outlineLvl w:val="9"/>
        <w:rPr>
          <w:rFonts w:hint="eastAsia"/>
          <w:color w:val="auto"/>
          <w:sz w:val="32"/>
          <w:szCs w:val="32"/>
          <w:lang w:eastAsia="zh-CN"/>
        </w:rPr>
      </w:pPr>
      <w:r>
        <w:rPr>
          <w:rFonts w:hint="eastAsia" w:ascii="仿宋_GB2312" w:hAnsi="仿宋_GB2312" w:eastAsia="仿宋_GB2312" w:cs="仿宋_GB2312"/>
          <w:sz w:val="32"/>
          <w:szCs w:val="32"/>
          <w:highlight w:val="none"/>
        </w:rPr>
        <w:t>指标</w:t>
      </w:r>
      <w:r>
        <w:rPr>
          <w:rFonts w:hint="eastAsia" w:ascii="仿宋_GB2312" w:hAnsi="仿宋_GB2312" w:cs="仿宋_GB2312"/>
          <w:sz w:val="32"/>
          <w:szCs w:val="32"/>
          <w:highlight w:val="none"/>
          <w:lang w:val="en-US" w:eastAsia="zh-CN"/>
        </w:rPr>
        <w:t>4</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采购打印/复印纸箱数</w:t>
      </w:r>
      <w:r>
        <w:rPr>
          <w:rFonts w:hint="eastAsia" w:ascii="仿宋_GB2312" w:hAnsi="仿宋_GB2312" w:cs="仿宋_GB2312"/>
          <w:sz w:val="32"/>
          <w:szCs w:val="32"/>
          <w:highlight w:val="none"/>
          <w:lang w:val="en-US" w:eastAsia="zh-CN"/>
        </w:rPr>
        <w:t>，</w:t>
      </w:r>
      <w:r>
        <w:rPr>
          <w:rFonts w:hint="eastAsia"/>
          <w:color w:val="auto"/>
          <w:sz w:val="32"/>
          <w:szCs w:val="32"/>
        </w:rPr>
        <w:t>指标值：</w:t>
      </w:r>
      <w:r>
        <w:rPr>
          <w:rFonts w:hint="eastAsia"/>
          <w:color w:val="auto"/>
          <w:sz w:val="32"/>
          <w:szCs w:val="32"/>
          <w:lang w:eastAsia="zh-CN"/>
        </w:rPr>
        <w:t>&gt;=233箱</w:t>
      </w:r>
      <w:r>
        <w:rPr>
          <w:rFonts w:hint="eastAsia"/>
          <w:color w:val="auto"/>
          <w:sz w:val="32"/>
          <w:szCs w:val="32"/>
        </w:rPr>
        <w:t>，实际完成值</w:t>
      </w:r>
      <w:r>
        <w:rPr>
          <w:rFonts w:hint="eastAsia"/>
          <w:color w:val="auto"/>
          <w:sz w:val="32"/>
          <w:szCs w:val="32"/>
          <w:lang w:eastAsia="zh-CN"/>
        </w:rPr>
        <w:t>：2</w:t>
      </w:r>
      <w:r>
        <w:rPr>
          <w:rFonts w:hint="eastAsia"/>
          <w:color w:val="auto"/>
          <w:sz w:val="32"/>
          <w:szCs w:val="32"/>
          <w:lang w:val="en-US" w:eastAsia="zh-CN"/>
        </w:rPr>
        <w:t>45箱</w:t>
      </w:r>
      <w:r>
        <w:rPr>
          <w:rFonts w:hint="eastAsia"/>
          <w:color w:val="auto"/>
          <w:sz w:val="32"/>
          <w:szCs w:val="32"/>
        </w:rPr>
        <w:t>，指标完成率</w:t>
      </w:r>
      <w:r>
        <w:rPr>
          <w:rFonts w:hint="eastAsia"/>
          <w:color w:val="auto"/>
          <w:sz w:val="32"/>
          <w:szCs w:val="32"/>
          <w:lang w:val="en-US" w:eastAsia="zh-CN"/>
        </w:rPr>
        <w:t>105.15</w:t>
      </w:r>
      <w:r>
        <w:rPr>
          <w:rFonts w:hint="eastAsia"/>
          <w:color w:val="auto"/>
          <w:sz w:val="32"/>
          <w:szCs w:val="32"/>
        </w:rPr>
        <w:t>%</w:t>
      </w:r>
      <w:r>
        <w:rPr>
          <w:rFonts w:hint="eastAsia"/>
          <w:color w:val="auto"/>
          <w:sz w:val="32"/>
          <w:szCs w:val="32"/>
          <w:lang w:eastAsia="zh-CN"/>
        </w:rPr>
        <w:t>。</w:t>
      </w:r>
    </w:p>
    <w:p>
      <w:pPr>
        <w:pageBreakBefore w:val="0"/>
        <w:shd w:val="clear"/>
        <w:kinsoku/>
        <w:wordWrap/>
        <w:overflowPunct/>
        <w:topLinePunct w:val="0"/>
        <w:bidi w:val="0"/>
        <w:snapToGrid/>
        <w:spacing w:line="560" w:lineRule="exact"/>
        <w:ind w:firstLine="640" w:firstLineChars="200"/>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color w:val="FF0000"/>
          <w:sz w:val="32"/>
          <w:szCs w:val="32"/>
          <w:lang w:eastAsia="zh-CN"/>
        </w:rPr>
      </w:pPr>
      <w:r>
        <w:rPr>
          <w:rFonts w:hint="eastAsia"/>
          <w:color w:val="auto"/>
          <w:sz w:val="32"/>
          <w:szCs w:val="32"/>
        </w:rPr>
        <w:t>指标1：政府采购率，指标值：</w:t>
      </w:r>
      <w:r>
        <w:rPr>
          <w:rFonts w:hint="eastAsia"/>
          <w:color w:val="auto"/>
          <w:sz w:val="32"/>
          <w:szCs w:val="32"/>
          <w:lang w:eastAsia="zh-CN"/>
        </w:rPr>
        <w:t>&gt;=95%</w:t>
      </w:r>
      <w:r>
        <w:rPr>
          <w:rFonts w:hint="eastAsia"/>
          <w:color w:val="auto"/>
          <w:sz w:val="32"/>
          <w:szCs w:val="32"/>
        </w:rPr>
        <w:t>，实际完成值</w:t>
      </w:r>
      <w:r>
        <w:rPr>
          <w:rFonts w:hint="eastAsia"/>
          <w:color w:val="auto"/>
          <w:sz w:val="32"/>
          <w:szCs w:val="32"/>
          <w:lang w:eastAsia="zh-CN"/>
        </w:rPr>
        <w:t>：100%</w:t>
      </w:r>
      <w:r>
        <w:rPr>
          <w:rFonts w:hint="eastAsia"/>
          <w:color w:val="auto"/>
          <w:sz w:val="32"/>
          <w:szCs w:val="32"/>
        </w:rPr>
        <w:t>，指标完成率</w:t>
      </w:r>
      <w:r>
        <w:rPr>
          <w:rFonts w:hint="eastAsia"/>
          <w:color w:val="auto"/>
          <w:sz w:val="32"/>
          <w:szCs w:val="32"/>
          <w:lang w:val="en-US" w:eastAsia="zh-CN"/>
        </w:rPr>
        <w:t>105.26</w:t>
      </w:r>
      <w:r>
        <w:rPr>
          <w:rFonts w:hint="eastAsia"/>
          <w:color w:val="auto"/>
          <w:sz w:val="32"/>
          <w:szCs w:val="32"/>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lang w:eastAsia="zh-CN"/>
        </w:rPr>
      </w:pPr>
      <w:r>
        <w:rPr>
          <w:rFonts w:hint="eastAsia"/>
          <w:color w:val="auto"/>
          <w:sz w:val="32"/>
          <w:szCs w:val="32"/>
        </w:rPr>
        <w:t>指标2：耗材验收合格率，指标值：</w:t>
      </w:r>
      <w:r>
        <w:rPr>
          <w:rFonts w:hint="eastAsia"/>
          <w:color w:val="auto"/>
          <w:sz w:val="32"/>
          <w:szCs w:val="32"/>
          <w:lang w:eastAsia="zh-CN"/>
        </w:rPr>
        <w:t>&gt;=95%</w:t>
      </w:r>
      <w:r>
        <w:rPr>
          <w:rFonts w:hint="eastAsia"/>
          <w:color w:val="auto"/>
          <w:sz w:val="32"/>
          <w:szCs w:val="32"/>
        </w:rPr>
        <w:t>，实际完成值</w:t>
      </w:r>
      <w:r>
        <w:rPr>
          <w:rFonts w:hint="eastAsia"/>
          <w:color w:val="auto"/>
          <w:sz w:val="32"/>
          <w:szCs w:val="32"/>
          <w:lang w:eastAsia="zh-CN"/>
        </w:rPr>
        <w:t>：100%</w:t>
      </w:r>
      <w:r>
        <w:rPr>
          <w:rFonts w:hint="eastAsia"/>
          <w:color w:val="auto"/>
          <w:sz w:val="32"/>
          <w:szCs w:val="32"/>
        </w:rPr>
        <w:t>，指标完成率</w:t>
      </w:r>
      <w:r>
        <w:rPr>
          <w:rFonts w:hint="eastAsia"/>
          <w:color w:val="auto"/>
          <w:sz w:val="32"/>
          <w:szCs w:val="32"/>
          <w:lang w:val="en-US" w:eastAsia="zh-CN"/>
        </w:rPr>
        <w:t>105.26%。</w:t>
      </w:r>
    </w:p>
    <w:p>
      <w:pPr>
        <w:pageBreakBefore w:val="0"/>
        <w:shd w:val="clear"/>
        <w:kinsoku/>
        <w:wordWrap/>
        <w:overflowPunct/>
        <w:topLinePunct w:val="0"/>
        <w:bidi w:val="0"/>
        <w:snapToGrid/>
        <w:spacing w:line="560" w:lineRule="exact"/>
        <w:ind w:firstLine="640" w:firstLineChars="200"/>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color w:val="FF0000"/>
          <w:sz w:val="32"/>
          <w:szCs w:val="32"/>
          <w:lang w:eastAsia="zh-CN"/>
        </w:rPr>
      </w:pPr>
      <w:bookmarkStart w:id="14" w:name="_Toc68703841"/>
      <w:r>
        <w:rPr>
          <w:rFonts w:hint="eastAsia"/>
          <w:color w:val="auto"/>
          <w:sz w:val="32"/>
          <w:szCs w:val="32"/>
        </w:rPr>
        <w:t>指标1：耗材送达及时率，指标值：</w:t>
      </w:r>
      <w:r>
        <w:rPr>
          <w:rFonts w:hint="eastAsia"/>
          <w:color w:val="auto"/>
          <w:sz w:val="32"/>
          <w:szCs w:val="32"/>
          <w:lang w:eastAsia="zh-CN"/>
        </w:rPr>
        <w:t>&gt;=95%</w:t>
      </w:r>
      <w:r>
        <w:rPr>
          <w:rFonts w:hint="eastAsia"/>
          <w:color w:val="auto"/>
          <w:sz w:val="32"/>
          <w:szCs w:val="32"/>
        </w:rPr>
        <w:t>，实际完成值</w:t>
      </w:r>
      <w:r>
        <w:rPr>
          <w:rFonts w:hint="eastAsia"/>
          <w:color w:val="auto"/>
          <w:sz w:val="32"/>
          <w:szCs w:val="32"/>
          <w:lang w:eastAsia="zh-CN"/>
        </w:rPr>
        <w:t>：100%</w:t>
      </w:r>
      <w:r>
        <w:rPr>
          <w:rFonts w:hint="eastAsia"/>
          <w:color w:val="auto"/>
          <w:sz w:val="32"/>
          <w:szCs w:val="32"/>
        </w:rPr>
        <w:t>，指标完成率</w:t>
      </w:r>
      <w:r>
        <w:rPr>
          <w:rFonts w:hint="eastAsia"/>
          <w:color w:val="auto"/>
          <w:sz w:val="32"/>
          <w:szCs w:val="32"/>
          <w:lang w:val="en-US" w:eastAsia="zh-CN"/>
        </w:rPr>
        <w:t>105.26</w:t>
      </w:r>
      <w:r>
        <w:rPr>
          <w:rFonts w:hint="eastAsia"/>
          <w:color w:val="auto"/>
          <w:sz w:val="32"/>
          <w:szCs w:val="32"/>
        </w:rPr>
        <w:t>%。</w:t>
      </w:r>
    </w:p>
    <w:p>
      <w:pPr>
        <w:pageBreakBefore w:val="0"/>
        <w:widowControl w:val="0"/>
        <w:numPr>
          <w:ilvl w:val="0"/>
          <w:numId w:val="0"/>
        </w:numPr>
        <w:kinsoku/>
        <w:wordWrap/>
        <w:overflowPunct/>
        <w:topLinePunct w:val="0"/>
        <w:autoSpaceDE/>
        <w:autoSpaceDN/>
        <w:bidi w:val="0"/>
        <w:adjustRightInd/>
        <w:snapToGrid/>
        <w:spacing w:before="0" w:after="0" w:line="560" w:lineRule="exact"/>
        <w:textAlignment w:val="auto"/>
        <w:outlineLvl w:val="9"/>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（四）项目效益情况</w:t>
      </w:r>
      <w:bookmarkEnd w:id="14"/>
    </w:p>
    <w:p>
      <w:pPr>
        <w:pageBreakBefore w:val="0"/>
        <w:shd w:val="clear"/>
        <w:kinsoku/>
        <w:wordWrap/>
        <w:overflowPunct/>
        <w:topLinePunct w:val="0"/>
        <w:bidi w:val="0"/>
        <w:snapToGrid/>
        <w:spacing w:line="560" w:lineRule="exact"/>
        <w:ind w:firstLine="640" w:firstLineChars="200"/>
        <w:outlineLvl w:val="9"/>
        <w:rPr>
          <w:rFonts w:hint="eastAsia"/>
          <w:lang w:val="en-US" w:eastAsia="zh-CN"/>
        </w:rPr>
      </w:pPr>
      <w:r>
        <w:rPr>
          <w:rFonts w:hint="eastAsia" w:ascii="仿宋_GB2312" w:hAnsi="仿宋_GB2312" w:eastAsia="仿宋_GB2312" w:cs="仿宋_GB2312"/>
          <w:sz w:val="32"/>
          <w:szCs w:val="32"/>
          <w:lang w:val="en-US" w:eastAsia="zh-CN"/>
        </w:rPr>
        <w:t>项目效益类指标包括项目实施效益和满意度两方面的内容，</w:t>
      </w:r>
      <w:r>
        <w:rPr>
          <w:rFonts w:hint="eastAsia" w:ascii="仿宋_GB2312" w:hAnsi="仿宋_GB2312" w:eastAsia="仿宋_GB2312" w:cs="仿宋_GB2312"/>
          <w:sz w:val="32"/>
          <w:szCs w:val="32"/>
          <w:highlight w:val="none"/>
          <w:lang w:val="en-US" w:eastAsia="zh-CN"/>
        </w:rPr>
        <w:t>由</w:t>
      </w:r>
      <w:r>
        <w:rPr>
          <w:rFonts w:hint="eastAsia" w:ascii="仿宋_GB2312" w:hAnsi="仿宋_GB2312" w:cs="仿宋_GB2312"/>
          <w:sz w:val="32"/>
          <w:szCs w:val="32"/>
          <w:highlight w:val="none"/>
          <w:lang w:val="en-US" w:eastAsia="zh-CN"/>
        </w:rPr>
        <w:t>2</w:t>
      </w:r>
      <w:r>
        <w:rPr>
          <w:rFonts w:hint="eastAsia" w:ascii="仿宋_GB2312" w:hAnsi="仿宋_GB2312" w:eastAsia="仿宋_GB2312" w:cs="仿宋_GB2312"/>
          <w:sz w:val="32"/>
          <w:szCs w:val="32"/>
          <w:highlight w:val="none"/>
          <w:lang w:val="en-US" w:eastAsia="zh-CN"/>
        </w:rPr>
        <w:t>个三级指标构成，权重分为20分，实际得分</w:t>
      </w:r>
      <w:r>
        <w:rPr>
          <w:rFonts w:hint="eastAsia" w:ascii="仿宋_GB2312" w:hAnsi="仿宋_GB2312" w:cs="仿宋_GB2312"/>
          <w:sz w:val="32"/>
          <w:szCs w:val="32"/>
          <w:highlight w:val="none"/>
          <w:lang w:val="en-US" w:eastAsia="zh-CN"/>
        </w:rPr>
        <w:t>20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%。具体效益指标及满意度指标完成情况如下</w:t>
      </w:r>
      <w:r>
        <w:rPr>
          <w:rFonts w:hint="eastAsia" w:ascii="仿宋_GB2312" w:hAnsi="仿宋_GB2312" w:eastAsia="仿宋_GB2312" w:cs="仿宋_GB2312"/>
          <w:sz w:val="32"/>
          <w:szCs w:val="32"/>
          <w:lang w:val="en-US" w:eastAsia="zh-CN"/>
        </w:rPr>
        <w:t>：</w:t>
      </w:r>
    </w:p>
    <w:p>
      <w:pPr>
        <w:pageBreakBefore w:val="0"/>
        <w:shd w:val="clear"/>
        <w:kinsoku/>
        <w:wordWrap/>
        <w:overflowPunct/>
        <w:topLinePunct w:val="0"/>
        <w:bidi w:val="0"/>
        <w:snapToGrid/>
        <w:spacing w:line="560" w:lineRule="exact"/>
        <w:ind w:firstLine="640" w:firstLineChars="200"/>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pPr>
        <w:pageBreakBefore w:val="0"/>
        <w:shd w:val="clear"/>
        <w:kinsoku/>
        <w:wordWrap/>
        <w:overflowPunct/>
        <w:topLinePunct w:val="0"/>
        <w:bidi w:val="0"/>
        <w:snapToGrid/>
        <w:spacing w:line="560" w:lineRule="exact"/>
        <w:ind w:firstLine="640" w:firstLineChars="200"/>
        <w:outlineLvl w:val="9"/>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①</w:t>
      </w:r>
      <w:r>
        <w:rPr>
          <w:rFonts w:hint="eastAsia" w:ascii="仿宋_GB2312" w:hAnsi="仿宋_GB2312" w:eastAsia="仿宋_GB2312" w:cs="仿宋_GB2312"/>
          <w:sz w:val="32"/>
          <w:szCs w:val="32"/>
          <w:highlight w:val="none"/>
        </w:rPr>
        <w:t>社会效益指标：</w:t>
      </w:r>
      <w:r>
        <w:rPr>
          <w:rFonts w:hint="eastAsia"/>
          <w:color w:val="auto"/>
          <w:sz w:val="32"/>
          <w:szCs w:val="32"/>
        </w:rPr>
        <w:t>确保出入境业务正常运行，指标值：</w:t>
      </w:r>
      <w:r>
        <w:rPr>
          <w:rFonts w:hint="eastAsia"/>
          <w:color w:val="auto"/>
          <w:sz w:val="32"/>
          <w:szCs w:val="32"/>
          <w:lang w:eastAsia="zh-CN"/>
        </w:rPr>
        <w:t>有效提升</w:t>
      </w:r>
      <w:r>
        <w:rPr>
          <w:rFonts w:hint="eastAsia"/>
          <w:color w:val="auto"/>
          <w:sz w:val="32"/>
          <w:szCs w:val="32"/>
        </w:rPr>
        <w:t>，实际完成值</w:t>
      </w:r>
      <w:r>
        <w:rPr>
          <w:rFonts w:hint="eastAsia"/>
          <w:color w:val="auto"/>
          <w:sz w:val="32"/>
          <w:szCs w:val="32"/>
          <w:lang w:eastAsia="zh-CN"/>
        </w:rPr>
        <w:t>：有效提升</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p>
    <w:p>
      <w:pPr>
        <w:pageBreakBefore w:val="0"/>
        <w:shd w:val="clear"/>
        <w:kinsoku/>
        <w:wordWrap/>
        <w:overflowPunct/>
        <w:topLinePunct w:val="0"/>
        <w:bidi w:val="0"/>
        <w:snapToGrid/>
        <w:spacing w:line="560" w:lineRule="exact"/>
        <w:ind w:firstLine="640" w:firstLineChars="200"/>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2.满意度</w:t>
      </w:r>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lang w:val="en-US" w:eastAsia="zh-CN"/>
        </w:rPr>
      </w:pPr>
      <w:r>
        <w:rPr>
          <w:rFonts w:hint="eastAsia" w:ascii="仿宋_GB2312" w:hAnsi="仿宋_GB2312" w:eastAsia="仿宋_GB2312" w:cs="仿宋_GB2312"/>
          <w:sz w:val="32"/>
          <w:szCs w:val="32"/>
          <w:highlight w:val="none"/>
          <w:lang w:val="en-US" w:eastAsia="zh-CN"/>
        </w:rPr>
        <w:t>满意度指标：</w:t>
      </w:r>
      <w:r>
        <w:rPr>
          <w:rFonts w:hint="eastAsia"/>
          <w:color w:val="auto"/>
          <w:sz w:val="32"/>
          <w:szCs w:val="32"/>
        </w:rPr>
        <w:t>业务窗口使用耗材满意度，</w:t>
      </w:r>
      <w:r>
        <w:rPr>
          <w:rFonts w:hint="eastAsia"/>
          <w:color w:val="auto"/>
          <w:sz w:val="32"/>
          <w:szCs w:val="32"/>
          <w:lang w:eastAsia="zh-CN"/>
        </w:rPr>
        <w:t>&gt;=95%</w:t>
      </w:r>
      <w:r>
        <w:rPr>
          <w:rFonts w:hint="eastAsia"/>
          <w:color w:val="auto"/>
          <w:sz w:val="32"/>
          <w:szCs w:val="32"/>
        </w:rPr>
        <w:t>，实际完成值</w:t>
      </w:r>
      <w:r>
        <w:rPr>
          <w:rFonts w:hint="eastAsia"/>
          <w:color w:val="auto"/>
          <w:sz w:val="32"/>
          <w:szCs w:val="32"/>
          <w:lang w:eastAsia="zh-CN"/>
        </w:rPr>
        <w:t>：100%</w:t>
      </w:r>
      <w:r>
        <w:rPr>
          <w:rFonts w:hint="eastAsia"/>
          <w:color w:val="auto"/>
          <w:sz w:val="32"/>
          <w:szCs w:val="32"/>
        </w:rPr>
        <w:t>，指标完成率</w:t>
      </w:r>
      <w:r>
        <w:rPr>
          <w:rFonts w:hint="eastAsia"/>
          <w:color w:val="auto"/>
          <w:sz w:val="32"/>
          <w:szCs w:val="32"/>
          <w:lang w:val="en-US" w:eastAsia="zh-CN"/>
        </w:rPr>
        <w:t>105.26</w:t>
      </w:r>
      <w:r>
        <w:rPr>
          <w:rFonts w:hint="eastAsia"/>
          <w:color w:val="auto"/>
          <w:sz w:val="32"/>
          <w:szCs w:val="32"/>
        </w:rPr>
        <w:t>%。</w:t>
      </w:r>
    </w:p>
    <w:p>
      <w:pPr>
        <w:pageBreakBefore w:val="0"/>
        <w:kinsoku/>
        <w:wordWrap/>
        <w:overflowPunct/>
        <w:topLinePunct w:val="0"/>
        <w:bidi w:val="0"/>
        <w:snapToGrid/>
        <w:spacing w:line="560" w:lineRule="exact"/>
        <w:outlineLvl w:val="9"/>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pPr>
        <w:pStyle w:val="21"/>
        <w:pageBreakBefore w:val="0"/>
        <w:kinsoku/>
        <w:wordWrap/>
        <w:overflowPunct/>
        <w:topLinePunct w:val="0"/>
        <w:bidi w:val="0"/>
        <w:snapToGrid/>
        <w:spacing w:line="560" w:lineRule="exact"/>
        <w:ind w:firstLine="640"/>
        <w:outlineLvl w:val="9"/>
      </w:pPr>
      <w:r>
        <w:rPr>
          <w:rFonts w:hint="eastAsia" w:ascii="仿宋_GB2312" w:hAnsi="仿宋_GB2312" w:eastAsia="仿宋_GB2312" w:cs="仿宋_GB2312"/>
          <w:color w:val="auto"/>
          <w:sz w:val="32"/>
          <w:szCs w:val="32"/>
        </w:rPr>
        <w:t>合作中心办证处电脑耗材费用</w:t>
      </w:r>
      <w:r>
        <w:rPr>
          <w:rFonts w:hint="eastAsia" w:ascii="仿宋_GB2312" w:hAnsi="仿宋_GB2312" w:eastAsia="仿宋_GB2312" w:cs="仿宋_GB2312"/>
          <w:color w:val="auto"/>
          <w:kern w:val="2"/>
          <w:sz w:val="32"/>
          <w:szCs w:val="32"/>
          <w:lang w:val="en-US" w:eastAsia="zh-CN" w:bidi="ar-SA"/>
        </w:rPr>
        <w:t>项目年初预算</w:t>
      </w:r>
      <w:r>
        <w:rPr>
          <w:rFonts w:hint="eastAsia" w:ascii="仿宋_GB2312" w:hAnsi="仿宋_GB2312" w:cs="仿宋_GB2312"/>
          <w:color w:val="auto"/>
          <w:kern w:val="2"/>
          <w:sz w:val="32"/>
          <w:szCs w:val="32"/>
          <w:lang w:val="en-US" w:eastAsia="zh-CN" w:bidi="ar-SA"/>
        </w:rPr>
        <w:t>20</w:t>
      </w:r>
      <w:r>
        <w:rPr>
          <w:rFonts w:hint="eastAsia" w:ascii="仿宋_GB2312" w:hAnsi="仿宋_GB2312" w:eastAsia="仿宋_GB2312" w:cs="仿宋_GB2312"/>
          <w:color w:val="auto"/>
          <w:kern w:val="2"/>
          <w:sz w:val="32"/>
          <w:szCs w:val="32"/>
          <w:lang w:val="en-US" w:eastAsia="zh-CN" w:bidi="ar-SA"/>
        </w:rPr>
        <w:t>万元，全年预算</w:t>
      </w:r>
      <w:r>
        <w:rPr>
          <w:rFonts w:hint="eastAsia" w:ascii="仿宋_GB2312" w:hAnsi="仿宋_GB2312" w:cs="仿宋_GB2312"/>
          <w:color w:val="auto"/>
          <w:kern w:val="2"/>
          <w:sz w:val="32"/>
          <w:szCs w:val="32"/>
          <w:lang w:val="en-US" w:eastAsia="zh-CN" w:bidi="ar-SA"/>
        </w:rPr>
        <w:t>20</w:t>
      </w:r>
      <w:r>
        <w:rPr>
          <w:rFonts w:hint="eastAsia" w:ascii="仿宋_GB2312" w:hAnsi="仿宋_GB2312" w:eastAsia="仿宋_GB2312" w:cs="仿宋_GB2312"/>
          <w:color w:val="auto"/>
          <w:kern w:val="2"/>
          <w:sz w:val="32"/>
          <w:szCs w:val="32"/>
          <w:lang w:val="en-US" w:eastAsia="zh-CN" w:bidi="ar-SA"/>
        </w:rPr>
        <w:t>万元，实际支出</w:t>
      </w:r>
      <w:r>
        <w:rPr>
          <w:rFonts w:hint="eastAsia" w:ascii="仿宋_GB2312" w:hAnsi="仿宋_GB2312" w:cs="仿宋_GB2312"/>
          <w:color w:val="auto"/>
          <w:kern w:val="2"/>
          <w:sz w:val="32"/>
          <w:szCs w:val="32"/>
          <w:lang w:val="en-US" w:eastAsia="zh-CN" w:bidi="ar-SA"/>
        </w:rPr>
        <w:t>16.29</w:t>
      </w:r>
      <w:r>
        <w:rPr>
          <w:rFonts w:hint="eastAsia" w:ascii="仿宋_GB2312" w:hAnsi="仿宋_GB2312" w:eastAsia="仿宋_GB2312" w:cs="仿宋_GB2312"/>
          <w:color w:val="auto"/>
          <w:kern w:val="2"/>
          <w:sz w:val="32"/>
          <w:szCs w:val="32"/>
          <w:lang w:val="en-US" w:eastAsia="zh-CN" w:bidi="ar-SA"/>
        </w:rPr>
        <w:t>万元，预算执行率为</w:t>
      </w:r>
      <w:r>
        <w:rPr>
          <w:rFonts w:hint="eastAsia" w:ascii="仿宋_GB2312" w:hAnsi="仿宋_GB2312" w:cs="仿宋_GB2312"/>
          <w:color w:val="auto"/>
          <w:kern w:val="2"/>
          <w:sz w:val="32"/>
          <w:szCs w:val="32"/>
          <w:lang w:val="en-US" w:eastAsia="zh-CN" w:bidi="ar-SA"/>
        </w:rPr>
        <w:t>81.45</w:t>
      </w:r>
      <w:r>
        <w:rPr>
          <w:rFonts w:hint="eastAsia" w:ascii="仿宋_GB2312" w:hAnsi="仿宋_GB2312" w:eastAsia="仿宋_GB2312" w:cs="仿宋_GB2312"/>
          <w:color w:val="auto"/>
          <w:kern w:val="2"/>
          <w:sz w:val="32"/>
          <w:szCs w:val="32"/>
          <w:lang w:val="en-US" w:eastAsia="zh-CN" w:bidi="ar-SA"/>
        </w:rPr>
        <w:t>%，项目绩效指标总体完成率为</w:t>
      </w:r>
      <w:r>
        <w:rPr>
          <w:rFonts w:hint="eastAsia" w:ascii="仿宋_GB2312" w:hAnsi="仿宋_GB2312" w:cs="仿宋_GB2312"/>
          <w:color w:val="auto"/>
          <w:kern w:val="2"/>
          <w:sz w:val="32"/>
          <w:szCs w:val="32"/>
          <w:lang w:val="en-US" w:eastAsia="zh-CN" w:bidi="ar-SA"/>
        </w:rPr>
        <w:t>93.54</w:t>
      </w:r>
      <w:r>
        <w:rPr>
          <w:rFonts w:hint="eastAsia"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color w:val="auto"/>
          <w:kern w:val="2"/>
          <w:sz w:val="32"/>
          <w:szCs w:val="32"/>
          <w:lang w:val="en-US" w:eastAsia="zh-Hans" w:bidi="ar-SA"/>
        </w:rPr>
        <w:t>总体</w:t>
      </w:r>
      <w:r>
        <w:rPr>
          <w:rFonts w:hint="eastAsia" w:ascii="仿宋_GB2312" w:hAnsi="仿宋_GB2312" w:eastAsia="仿宋_GB2312" w:cs="仿宋_GB2312"/>
          <w:color w:val="auto"/>
          <w:kern w:val="2"/>
          <w:sz w:val="32"/>
          <w:szCs w:val="32"/>
          <w:lang w:val="en-US" w:eastAsia="zh-CN" w:bidi="ar-SA"/>
        </w:rPr>
        <w:t>偏差率为</w:t>
      </w:r>
      <w:r>
        <w:rPr>
          <w:rFonts w:hint="eastAsia" w:ascii="仿宋_GB2312" w:hAnsi="仿宋_GB2312" w:cs="仿宋_GB2312"/>
          <w:color w:val="auto"/>
          <w:kern w:val="2"/>
          <w:sz w:val="32"/>
          <w:szCs w:val="32"/>
          <w:lang w:val="en-US" w:eastAsia="zh-CN" w:bidi="ar-SA"/>
        </w:rPr>
        <w:t>12.09</w:t>
      </w:r>
      <w:r>
        <w:rPr>
          <w:rFonts w:hint="eastAsia"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color w:val="auto"/>
          <w:kern w:val="2"/>
          <w:sz w:val="32"/>
          <w:szCs w:val="32"/>
          <w:lang w:val="en-US" w:eastAsia="zh-Hans" w:bidi="ar-SA"/>
        </w:rPr>
        <w:t>偏差</w:t>
      </w:r>
      <w:r>
        <w:rPr>
          <w:rFonts w:hint="eastAsia" w:ascii="仿宋_GB2312" w:hAnsi="仿宋_GB2312" w:eastAsia="仿宋_GB2312" w:cs="仿宋_GB2312"/>
          <w:color w:val="auto"/>
          <w:kern w:val="2"/>
          <w:sz w:val="32"/>
          <w:szCs w:val="32"/>
          <w:lang w:val="en-US" w:eastAsia="zh-CN" w:bidi="ar-SA"/>
        </w:rPr>
        <w:t>原因</w:t>
      </w:r>
      <w:r>
        <w:rPr>
          <w:rFonts w:hint="eastAsia" w:ascii="仿宋_GB2312" w:hAnsi="仿宋_GB2312" w:cs="仿宋_GB2312"/>
          <w:color w:val="auto"/>
          <w:kern w:val="2"/>
          <w:sz w:val="32"/>
          <w:szCs w:val="32"/>
          <w:lang w:val="en-US" w:eastAsia="zh-CN" w:bidi="ar-SA"/>
        </w:rPr>
        <w:t>：</w:t>
      </w:r>
      <w:r>
        <w:rPr>
          <w:rFonts w:hint="eastAsia"/>
          <w:color w:val="auto"/>
          <w:sz w:val="32"/>
          <w:szCs w:val="32"/>
        </w:rPr>
        <w:t>预算采购价格与政府采购交易价格存在差异</w:t>
      </w:r>
      <w:r>
        <w:rPr>
          <w:rFonts w:hint="eastAsia" w:ascii="仿宋_GB2312" w:hAnsi="仿宋_GB2312" w:eastAsia="仿宋_GB2312" w:cs="仿宋_GB2312"/>
          <w:color w:val="auto"/>
          <w:kern w:val="2"/>
          <w:sz w:val="32"/>
          <w:szCs w:val="32"/>
          <w:lang w:val="en-US" w:eastAsia="zh-CN" w:bidi="ar-SA"/>
        </w:rPr>
        <w:t>，</w:t>
      </w:r>
      <w:r>
        <w:rPr>
          <w:rFonts w:hint="eastAsia" w:ascii="仿宋_GB2312" w:hAnsi="仿宋_GB2312" w:cs="仿宋_GB2312"/>
          <w:color w:val="auto"/>
          <w:kern w:val="2"/>
          <w:sz w:val="32"/>
          <w:szCs w:val="32"/>
          <w:lang w:val="en-US" w:eastAsia="zh-CN" w:bidi="ar-SA"/>
        </w:rPr>
        <w:t>故存在偏差。</w:t>
      </w:r>
      <w:r>
        <w:rPr>
          <w:rFonts w:hint="eastAsia" w:ascii="仿宋_GB2312" w:hAnsi="仿宋_GB2312" w:eastAsia="仿宋_GB2312" w:cs="仿宋_GB2312"/>
          <w:color w:val="auto"/>
          <w:kern w:val="2"/>
          <w:sz w:val="32"/>
          <w:szCs w:val="32"/>
          <w:lang w:val="en-US" w:eastAsia="zh-Hans" w:bidi="ar-SA"/>
        </w:rPr>
        <w:t>改进</w:t>
      </w:r>
      <w:r>
        <w:rPr>
          <w:rFonts w:hint="eastAsia" w:ascii="仿宋_GB2312" w:hAnsi="仿宋_GB2312" w:eastAsia="仿宋_GB2312" w:cs="仿宋_GB2312"/>
          <w:color w:val="auto"/>
          <w:kern w:val="2"/>
          <w:sz w:val="32"/>
          <w:szCs w:val="32"/>
          <w:lang w:val="en-US" w:eastAsia="zh-CN" w:bidi="ar-SA"/>
        </w:rPr>
        <w:t>措施</w:t>
      </w:r>
      <w:r>
        <w:rPr>
          <w:rFonts w:hint="eastAsia" w:ascii="仿宋_GB2312" w:hAnsi="仿宋_GB2312" w:cs="仿宋_GB2312"/>
          <w:color w:val="auto"/>
          <w:kern w:val="2"/>
          <w:sz w:val="32"/>
          <w:szCs w:val="32"/>
          <w:lang w:val="en-US" w:eastAsia="zh-CN" w:bidi="ar-SA"/>
        </w:rPr>
        <w:t>进一步加强预算编制的科学性，</w:t>
      </w:r>
      <w:r>
        <w:rPr>
          <w:rFonts w:hint="eastAsia" w:ascii="Times New Roman" w:hAnsi="Times New Roman" w:eastAsia="仿宋_GB2312" w:cs="Times New Roman"/>
          <w:color w:val="auto"/>
          <w:sz w:val="32"/>
          <w:szCs w:val="32"/>
          <w:lang w:val="en-US" w:eastAsia="zh-CN"/>
        </w:rPr>
        <w:t>合理调整、纠正预算执行偏差，切实提高部门预算收支管理水平</w:t>
      </w:r>
      <w:r>
        <w:rPr>
          <w:rFonts w:hint="eastAsia" w:ascii="仿宋_GB2312" w:hAnsi="仿宋_GB2312" w:eastAsia="仿宋_GB2312" w:cs="仿宋_GB2312"/>
          <w:color w:val="auto"/>
          <w:kern w:val="2"/>
          <w:sz w:val="32"/>
          <w:szCs w:val="32"/>
          <w:lang w:val="en-US" w:eastAsia="zh-CN" w:bidi="ar-SA"/>
        </w:rPr>
        <w:t>。</w:t>
      </w:r>
    </w:p>
    <w:p>
      <w:pPr>
        <w:pageBreakBefore w:val="0"/>
        <w:kinsoku/>
        <w:wordWrap/>
        <w:overflowPunct/>
        <w:topLinePunct w:val="0"/>
        <w:bidi w:val="0"/>
        <w:snapToGrid/>
        <w:spacing w:line="560" w:lineRule="exact"/>
        <w:outlineLvl w:val="9"/>
        <w:rPr>
          <w:rFonts w:hint="eastAsia" w:ascii="Times New Roman" w:hAnsi="Times New Roman" w:eastAsia="黑体" w:cs="Times New Roman"/>
          <w:bCs/>
          <w:sz w:val="32"/>
          <w:szCs w:val="32"/>
          <w:lang w:val="en-US" w:eastAsia="zh-CN"/>
        </w:rPr>
      </w:pPr>
      <w:bookmarkStart w:id="15" w:name="_Toc68703842"/>
      <w:r>
        <w:rPr>
          <w:rFonts w:hint="eastAsia" w:eastAsia="黑体" w:cs="Times New Roman"/>
          <w:bCs/>
          <w:sz w:val="32"/>
          <w:szCs w:val="32"/>
          <w:lang w:val="en-US" w:eastAsia="zh-CN"/>
        </w:rPr>
        <w:t>六</w:t>
      </w:r>
      <w:r>
        <w:rPr>
          <w:rFonts w:hint="eastAsia" w:ascii="Times New Roman" w:hAnsi="Times New Roman" w:eastAsia="黑体" w:cs="Times New Roman"/>
          <w:bCs/>
          <w:sz w:val="32"/>
          <w:szCs w:val="32"/>
          <w:lang w:val="en-US" w:eastAsia="zh-CN"/>
        </w:rPr>
        <w:t>、主要经验及做法、存在的问题及原因分析</w:t>
      </w:r>
      <w:bookmarkEnd w:id="15"/>
    </w:p>
    <w:p>
      <w:pPr>
        <w:pageBreakBefore w:val="0"/>
        <w:kinsoku/>
        <w:wordWrap/>
        <w:overflowPunct/>
        <w:topLinePunct w:val="0"/>
        <w:bidi w:val="0"/>
        <w:snapToGrid/>
        <w:spacing w:line="560" w:lineRule="exact"/>
        <w:outlineLvl w:val="9"/>
        <w:rPr>
          <w:rFonts w:hint="eastAsia" w:ascii="Times New Roman" w:hAnsi="Times New Roman" w:eastAsia="楷体_GB2312" w:cs="Times New Roman"/>
          <w:b/>
          <w:bCs/>
          <w:kern w:val="2"/>
          <w:sz w:val="32"/>
          <w:szCs w:val="32"/>
          <w:lang w:val="en-US" w:eastAsia="zh-CN" w:bidi="ar-SA"/>
        </w:rPr>
      </w:pPr>
      <w:bookmarkStart w:id="16" w:name="_Toc68703843"/>
      <w:r>
        <w:rPr>
          <w:rFonts w:hint="eastAsia" w:ascii="Times New Roman" w:hAnsi="Times New Roman" w:eastAsia="楷体_GB2312" w:cs="Times New Roman"/>
          <w:b/>
          <w:bCs/>
          <w:kern w:val="2"/>
          <w:sz w:val="32"/>
          <w:szCs w:val="32"/>
          <w:lang w:val="en-US" w:eastAsia="zh-CN" w:bidi="ar-SA"/>
        </w:rPr>
        <w:t>（一）主要经验及做法</w:t>
      </w:r>
      <w:bookmarkEnd w:id="16"/>
    </w:p>
    <w:p>
      <w:pPr>
        <w:pageBreakBefore w:val="0"/>
        <w:kinsoku/>
        <w:wordWrap/>
        <w:overflowPunct/>
        <w:topLinePunct w:val="0"/>
        <w:bidi w:val="0"/>
        <w:snapToGrid/>
        <w:spacing w:line="560" w:lineRule="exact"/>
        <w:ind w:firstLine="640" w:firstLineChars="200"/>
        <w:outlineLvl w:val="9"/>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11"/>
        <w:pageBreakBefore w:val="0"/>
        <w:kinsoku/>
        <w:wordWrap/>
        <w:overflowPunct/>
        <w:topLinePunct w:val="0"/>
        <w:bidi w:val="0"/>
        <w:snapToGrid/>
        <w:spacing w:before="0" w:after="0" w:line="560" w:lineRule="exact"/>
        <w:ind w:firstLine="640" w:firstLineChars="200"/>
        <w:jc w:val="left"/>
        <w:outlineLvl w:val="9"/>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ageBreakBefore w:val="0"/>
        <w:widowControl w:val="0"/>
        <w:kinsoku/>
        <w:wordWrap/>
        <w:overflowPunct/>
        <w:topLinePunct w:val="0"/>
        <w:autoSpaceDE/>
        <w:autoSpaceDN/>
        <w:bidi w:val="0"/>
        <w:adjustRightInd/>
        <w:snapToGrid/>
        <w:spacing w:before="0" w:after="0" w:line="560" w:lineRule="exact"/>
        <w:textAlignment w:val="auto"/>
        <w:outlineLvl w:val="9"/>
        <w:rPr>
          <w:rFonts w:hint="eastAsia" w:ascii="Times New Roman" w:hAnsi="Times New Roman" w:eastAsia="楷体_GB2312" w:cs="Times New Roman"/>
          <w:b/>
          <w:bCs/>
          <w:kern w:val="2"/>
          <w:sz w:val="32"/>
          <w:szCs w:val="32"/>
          <w:lang w:val="en-US" w:eastAsia="zh-CN" w:bidi="ar-SA"/>
        </w:rPr>
      </w:pPr>
      <w:bookmarkStart w:id="17" w:name="_Toc68703844"/>
      <w:r>
        <w:rPr>
          <w:rFonts w:hint="eastAsia" w:ascii="Times New Roman" w:hAnsi="Times New Roman" w:eastAsia="楷体_GB2312" w:cs="Times New Roman"/>
          <w:b/>
          <w:bCs/>
          <w:kern w:val="2"/>
          <w:sz w:val="32"/>
          <w:szCs w:val="32"/>
          <w:lang w:val="en-US" w:eastAsia="zh-CN" w:bidi="ar-SA"/>
        </w:rPr>
        <w:t>（二）存在的问题及原因分析</w:t>
      </w:r>
      <w:bookmarkEnd w:id="17"/>
      <w:r>
        <w:rPr>
          <w:rFonts w:hint="eastAsia" w:ascii="Times New Roman" w:hAnsi="Times New Roman" w:eastAsia="楷体_GB2312" w:cs="Times New Roman"/>
          <w:b/>
          <w:bCs/>
          <w:kern w:val="2"/>
          <w:sz w:val="32"/>
          <w:szCs w:val="32"/>
          <w:lang w:val="en-US" w:eastAsia="zh-CN" w:bidi="ar-SA"/>
        </w:rPr>
        <w:t>　</w:t>
      </w:r>
    </w:p>
    <w:p>
      <w:pPr>
        <w:pageBreakBefore w:val="0"/>
        <w:shd w:val="clear"/>
        <w:kinsoku/>
        <w:wordWrap/>
        <w:overflowPunct/>
        <w:topLinePunct w:val="0"/>
        <w:bidi w:val="0"/>
        <w:snapToGrid/>
        <w:spacing w:line="560" w:lineRule="exact"/>
        <w:ind w:firstLine="640" w:firstLineChars="200"/>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pageBreakBefore w:val="0"/>
        <w:shd w:val="clear"/>
        <w:kinsoku/>
        <w:wordWrap/>
        <w:overflowPunct/>
        <w:topLinePunct w:val="0"/>
        <w:bidi w:val="0"/>
        <w:snapToGrid/>
        <w:spacing w:line="560" w:lineRule="exact"/>
        <w:ind w:firstLine="640" w:firstLineChars="200"/>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sz w:val="32"/>
          <w:szCs w:val="32"/>
          <w:highlight w:val="none"/>
          <w:lang w:val="en-US" w:eastAsia="zh-CN"/>
        </w:rPr>
        <w:t>因轮岗、调动等因素使我单位绩效工作人员流动频繁，造成了工作衔接不到位的情况。</w:t>
      </w:r>
    </w:p>
    <w:p>
      <w:pPr>
        <w:pageBreakBefore w:val="0"/>
        <w:shd w:val="clear"/>
        <w:kinsoku/>
        <w:wordWrap/>
        <w:overflowPunct/>
        <w:topLinePunct w:val="0"/>
        <w:bidi w:val="0"/>
        <w:snapToGrid/>
        <w:spacing w:line="560" w:lineRule="exact"/>
        <w:ind w:firstLine="640" w:firstLineChars="200"/>
        <w:outlineLvl w:val="9"/>
      </w:pPr>
      <w:r>
        <w:rPr>
          <w:rFonts w:hint="eastAsia" w:ascii="仿宋_GB2312" w:hAnsi="仿宋_GB2312" w:eastAsia="仿宋_GB2312" w:cs="仿宋_GB2312"/>
          <w:sz w:val="32"/>
          <w:szCs w:val="32"/>
          <w:highlight w:val="none"/>
          <w:lang w:val="en-US" w:eastAsia="zh-CN"/>
        </w:rPr>
        <w:t>3.</w:t>
      </w:r>
      <w:r>
        <w:rPr>
          <w:rFonts w:hint="eastAsia" w:ascii="仿宋_GB2312" w:hAnsi="仿宋_GB2312" w:cs="仿宋_GB2312"/>
          <w:sz w:val="32"/>
          <w:szCs w:val="32"/>
          <w:highlight w:val="none"/>
          <w:lang w:val="en-US" w:eastAsia="zh-CN"/>
        </w:rPr>
        <w:t>预算绩效职责安排不清，工作安排不到位，部分部门是财务科独自完成项目的绩效申报自评</w:t>
      </w:r>
      <w:r>
        <w:rPr>
          <w:rFonts w:hint="eastAsia" w:ascii="仿宋_GB2312" w:hAnsi="仿宋_GB2312" w:eastAsia="仿宋_GB2312" w:cs="仿宋_GB2312"/>
          <w:sz w:val="32"/>
          <w:szCs w:val="32"/>
          <w:highlight w:val="none"/>
          <w:lang w:val="en-US" w:eastAsia="zh-CN"/>
        </w:rPr>
        <w:t>。</w:t>
      </w:r>
      <w:r>
        <w:rPr>
          <w:rFonts w:hint="eastAsia" w:ascii="仿宋_GB2312" w:hAnsi="仿宋_GB2312" w:cs="仿宋_GB2312"/>
          <w:sz w:val="32"/>
          <w:szCs w:val="32"/>
          <w:highlight w:val="none"/>
          <w:lang w:val="en-US" w:eastAsia="zh-CN"/>
        </w:rPr>
        <w:t>由于财务科缺少专业人员，缺少业务科室的协调配合，承担了本该业务部门承担的绩效工作，简单将绩效目标制定，跟踪监控等专业性工作归口于财务人员，没有专人承担绩效管理职责，导致业务管理与绩效管理脱节，弱化了实施预算绩效管理的基本环节。</w:t>
      </w:r>
    </w:p>
    <w:p>
      <w:pPr>
        <w:pageBreakBefore w:val="0"/>
        <w:widowControl w:val="0"/>
        <w:numPr>
          <w:ilvl w:val="0"/>
          <w:numId w:val="0"/>
        </w:numPr>
        <w:kinsoku/>
        <w:wordWrap/>
        <w:overflowPunct/>
        <w:topLinePunct w:val="0"/>
        <w:autoSpaceDE/>
        <w:autoSpaceDN/>
        <w:bidi w:val="0"/>
        <w:adjustRightInd/>
        <w:snapToGrid/>
        <w:spacing w:before="0" w:after="0" w:line="560" w:lineRule="exact"/>
        <w:textAlignment w:val="auto"/>
        <w:outlineLvl w:val="9"/>
        <w:rPr>
          <w:rFonts w:hint="eastAsia" w:ascii="Times New Roman" w:hAnsi="Times New Roman" w:eastAsia="仿宋_GB2312" w:cs="Times New Roman"/>
          <w:b w:val="0"/>
          <w:bCs w:val="0"/>
          <w:color w:val="FF0000"/>
          <w:kern w:val="2"/>
          <w:sz w:val="32"/>
          <w:szCs w:val="32"/>
          <w:lang w:val="en-US" w:eastAsia="zh-CN" w:bidi="ar-SA"/>
        </w:rPr>
      </w:pPr>
      <w:bookmarkStart w:id="18" w:name="_Toc68703845"/>
      <w:r>
        <w:rPr>
          <w:rFonts w:hint="eastAsia" w:eastAsia="黑体" w:cs="Times New Roman"/>
          <w:b w:val="0"/>
          <w:bCs/>
          <w:kern w:val="2"/>
          <w:sz w:val="32"/>
          <w:szCs w:val="32"/>
          <w:lang w:val="en-US" w:eastAsia="zh-CN" w:bidi="ar-SA"/>
        </w:rPr>
        <w:t>七</w:t>
      </w:r>
      <w:r>
        <w:rPr>
          <w:rFonts w:hint="eastAsia" w:ascii="Times New Roman" w:hAnsi="Times New Roman" w:eastAsia="黑体" w:cs="Times New Roman"/>
          <w:b w:val="0"/>
          <w:bCs/>
          <w:kern w:val="2"/>
          <w:sz w:val="32"/>
          <w:szCs w:val="32"/>
          <w:lang w:val="en-US" w:eastAsia="zh-CN" w:bidi="ar-SA"/>
        </w:rPr>
        <w:t>、有关建议</w:t>
      </w:r>
      <w:bookmarkEnd w:id="18"/>
    </w:p>
    <w:p>
      <w:pPr>
        <w:pageBreakBefore w:val="0"/>
        <w:shd w:val="clear"/>
        <w:kinsoku/>
        <w:wordWrap/>
        <w:overflowPunct/>
        <w:topLinePunct w:val="0"/>
        <w:bidi w:val="0"/>
        <w:snapToGrid/>
        <w:spacing w:line="560" w:lineRule="exact"/>
        <w:ind w:firstLine="640" w:firstLineChars="200"/>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1.多进行有关绩效管理工作方面的培训。积极组织第三方开展绩效管理工作培训，进一步夯实业务基础，提高我单位绩效人员水平。</w:t>
      </w:r>
    </w:p>
    <w:p>
      <w:pPr>
        <w:pageBreakBefore w:val="0"/>
        <w:shd w:val="clear"/>
        <w:kinsoku/>
        <w:wordWrap/>
        <w:overflowPunct/>
        <w:topLinePunct w:val="0"/>
        <w:bidi w:val="0"/>
        <w:snapToGrid/>
        <w:spacing w:line="560" w:lineRule="exact"/>
        <w:ind w:firstLine="640" w:firstLineChars="200"/>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2.专门设定对绩效工作人员定职、定岗、定责等相关制度措施，进一步提升我单位绩效管理工作业务水平，扎实做好绩效管理工作。</w:t>
      </w:r>
    </w:p>
    <w:p>
      <w:pPr>
        <w:pageBreakBefore w:val="0"/>
        <w:shd w:val="clear"/>
        <w:kinsoku/>
        <w:wordWrap/>
        <w:overflowPunct/>
        <w:topLinePunct w:val="0"/>
        <w:bidi w:val="0"/>
        <w:snapToGrid/>
        <w:spacing w:line="560" w:lineRule="exact"/>
        <w:ind w:firstLine="640" w:firstLineChars="200"/>
        <w:outlineLvl w:val="9"/>
        <w:rPr>
          <w:sz w:val="22"/>
          <w:szCs w:val="28"/>
        </w:rPr>
      </w:pPr>
      <w:r>
        <w:rPr>
          <w:rFonts w:hint="eastAsia" w:ascii="仿宋_GB2312" w:hAnsi="仿宋_GB2312" w:eastAsia="仿宋_GB2312" w:cs="仿宋_GB2312"/>
          <w:sz w:val="32"/>
          <w:szCs w:val="32"/>
          <w:highlight w:val="none"/>
          <w:lang w:val="en-US" w:eastAsia="zh-CN"/>
        </w:rPr>
        <w:t>3.进一步完善项目评价过程中有关数据和资料的收集、整理、审核及分析。项目启动时同步做好档案的归纳与整理，及时整理、收集、汇总，健全档案资料。项目后续管理有待进一步加强和跟踪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6"/>
          <w:szCs w:val="32"/>
        </w:rPr>
        <w:t>。</w:t>
      </w:r>
    </w:p>
    <w:p>
      <w:pPr>
        <w:pageBreakBefore w:val="0"/>
        <w:shd w:val="clear"/>
        <w:kinsoku/>
        <w:wordWrap/>
        <w:overflowPunct/>
        <w:topLinePunct w:val="0"/>
        <w:bidi w:val="0"/>
        <w:snapToGrid/>
        <w:spacing w:line="560" w:lineRule="exact"/>
        <w:ind w:firstLine="640" w:firstLineChars="200"/>
        <w:outlineLvl w:val="9"/>
      </w:pPr>
      <w:r>
        <w:rPr>
          <w:rFonts w:hint="eastAsia" w:ascii="仿宋_GB2312" w:hAnsi="仿宋_GB2312" w:cs="仿宋_GB2312"/>
          <w:sz w:val="32"/>
          <w:szCs w:val="32"/>
          <w:highlight w:val="none"/>
          <w:lang w:val="en-US" w:eastAsia="zh-CN"/>
        </w:rPr>
        <w:t>4</w:t>
      </w:r>
      <w:r>
        <w:rPr>
          <w:rFonts w:hint="eastAsia" w:ascii="仿宋_GB2312" w:hAnsi="仿宋_GB2312" w:eastAsia="仿宋_GB2312" w:cs="仿宋_GB2312"/>
          <w:sz w:val="32"/>
          <w:szCs w:val="32"/>
          <w:highlight w:val="none"/>
          <w:lang w:val="en-US" w:eastAsia="zh-CN"/>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pageBreakBefore w:val="0"/>
        <w:widowControl w:val="0"/>
        <w:numPr>
          <w:ilvl w:val="0"/>
          <w:numId w:val="0"/>
        </w:numPr>
        <w:kinsoku/>
        <w:wordWrap/>
        <w:overflowPunct/>
        <w:topLinePunct w:val="0"/>
        <w:autoSpaceDE/>
        <w:autoSpaceDN/>
        <w:bidi w:val="0"/>
        <w:adjustRightInd/>
        <w:snapToGrid/>
        <w:spacing w:before="0" w:after="0" w:line="560" w:lineRule="exact"/>
        <w:textAlignment w:val="auto"/>
        <w:outlineLvl w:val="9"/>
        <w:rPr>
          <w:rFonts w:hint="eastAsia" w:ascii="Times New Roman" w:hAnsi="Times New Roman" w:eastAsia="黑体" w:cs="Times New Roman"/>
          <w:b w:val="0"/>
          <w:bCs/>
          <w:kern w:val="2"/>
          <w:sz w:val="32"/>
          <w:szCs w:val="32"/>
          <w:lang w:val="en-US" w:eastAsia="zh-CN" w:bidi="ar-SA"/>
        </w:rPr>
      </w:pPr>
      <w:bookmarkStart w:id="19" w:name="_Toc68703846"/>
      <w:r>
        <w:rPr>
          <w:rFonts w:hint="eastAsia" w:ascii="Times New Roman" w:hAnsi="Times New Roman" w:eastAsia="黑体" w:cs="Times New Roman"/>
          <w:b w:val="0"/>
          <w:bCs/>
          <w:kern w:val="2"/>
          <w:sz w:val="32"/>
          <w:szCs w:val="32"/>
          <w:lang w:val="en-US" w:eastAsia="zh-CN" w:bidi="ar-SA"/>
        </w:rPr>
        <w:t>八、其他需要说明的问题</w:t>
      </w:r>
      <w:bookmarkEnd w:id="19"/>
    </w:p>
    <w:p>
      <w:pPr>
        <w:pStyle w:val="11"/>
        <w:pageBreakBefore w:val="0"/>
        <w:kinsoku/>
        <w:wordWrap/>
        <w:overflowPunct/>
        <w:topLinePunct w:val="0"/>
        <w:bidi w:val="0"/>
        <w:snapToGrid/>
        <w:spacing w:before="0" w:after="0" w:line="560" w:lineRule="exact"/>
        <w:jc w:val="left"/>
        <w:outlineLvl w:val="9"/>
      </w:pPr>
      <w:r>
        <w:rPr>
          <w:rFonts w:hint="eastAsia" w:ascii="仿宋_GB2312" w:hAnsi="仿宋_GB2312" w:cs="仿宋_GB2312"/>
          <w:sz w:val="32"/>
          <w:szCs w:val="32"/>
          <w:lang w:eastAsia="zh-CN"/>
        </w:rPr>
        <w:t>　</w:t>
      </w:r>
      <w:r>
        <w:rPr>
          <w:rFonts w:hint="eastAsia" w:ascii="仿宋_GB2312" w:hAnsi="仿宋_GB2312" w:eastAsia="仿宋_GB2312" w:cs="仿宋_GB2312"/>
          <w:b w:val="0"/>
          <w:bCs w:val="0"/>
          <w:sz w:val="32"/>
          <w:szCs w:val="32"/>
          <w:lang w:eastAsia="zh-Hans"/>
        </w:rPr>
        <w:t>本项目无其他需说明的问题</w:t>
      </w:r>
      <w:r>
        <w:rPr>
          <w:rFonts w:hint="eastAsia" w:ascii="仿宋_GB2312" w:hAnsi="仿宋_GB2312" w:cs="仿宋_GB2312"/>
          <w:b w:val="0"/>
          <w:bCs w:val="0"/>
          <w:sz w:val="32"/>
          <w:szCs w:val="32"/>
          <w:lang w:eastAsia="zh-CN"/>
        </w:rPr>
        <w:t>。</w:t>
      </w:r>
    </w:p>
    <w:p>
      <w:pPr>
        <w:pageBreakBefore w:val="0"/>
        <w:kinsoku/>
        <w:wordWrap/>
        <w:overflowPunct/>
        <w:topLinePunct w:val="0"/>
        <w:bidi w:val="0"/>
        <w:snapToGrid/>
        <w:spacing w:line="560" w:lineRule="exact"/>
        <w:outlineLvl w:val="9"/>
      </w:pPr>
    </w:p>
    <w:p>
      <w:pPr>
        <w:pStyle w:val="2"/>
        <w:pageBreakBefore w:val="0"/>
        <w:kinsoku/>
        <w:wordWrap/>
        <w:overflowPunct/>
        <w:topLinePunct w:val="0"/>
        <w:bidi w:val="0"/>
        <w:snapToGrid/>
        <w:spacing w:line="560" w:lineRule="exact"/>
        <w:outlineLvl w:val="9"/>
        <w:rPr>
          <w:sz w:val="30"/>
          <w:szCs w:val="30"/>
        </w:rPr>
      </w:pPr>
    </w:p>
    <w:p>
      <w:pPr>
        <w:pStyle w:val="2"/>
        <w:pageBreakBefore w:val="0"/>
        <w:kinsoku/>
        <w:wordWrap/>
        <w:overflowPunct/>
        <w:topLinePunct w:val="0"/>
        <w:bidi w:val="0"/>
        <w:snapToGrid/>
        <w:spacing w:line="560" w:lineRule="exact"/>
        <w:outlineLvl w:val="9"/>
      </w:pPr>
    </w:p>
    <w:p>
      <w:pPr>
        <w:pStyle w:val="2"/>
        <w:pageBreakBefore w:val="0"/>
        <w:kinsoku/>
        <w:wordWrap/>
        <w:overflowPunct/>
        <w:topLinePunct w:val="0"/>
        <w:bidi w:val="0"/>
        <w:snapToGrid/>
        <w:spacing w:line="560" w:lineRule="exact"/>
        <w:outlineLvl w:val="9"/>
      </w:pPr>
    </w:p>
    <w:p>
      <w:pPr>
        <w:pStyle w:val="2"/>
        <w:pageBreakBefore w:val="0"/>
        <w:kinsoku/>
        <w:wordWrap/>
        <w:overflowPunct/>
        <w:topLinePunct w:val="0"/>
        <w:bidi w:val="0"/>
        <w:snapToGrid/>
        <w:spacing w:line="560" w:lineRule="exact"/>
        <w:outlineLvl w:val="9"/>
      </w:pPr>
    </w:p>
    <w:p>
      <w:pPr>
        <w:pStyle w:val="2"/>
        <w:pageBreakBefore w:val="0"/>
        <w:kinsoku/>
        <w:wordWrap/>
        <w:overflowPunct/>
        <w:topLinePunct w:val="0"/>
        <w:bidi w:val="0"/>
        <w:snapToGrid/>
        <w:spacing w:line="560" w:lineRule="exact"/>
        <w:outlineLvl w:val="9"/>
      </w:pPr>
    </w:p>
    <w:p>
      <w:pPr>
        <w:pStyle w:val="2"/>
        <w:pageBreakBefore w:val="0"/>
        <w:kinsoku/>
        <w:wordWrap/>
        <w:overflowPunct/>
        <w:topLinePunct w:val="0"/>
        <w:bidi w:val="0"/>
        <w:snapToGrid/>
        <w:spacing w:line="560" w:lineRule="exact"/>
        <w:outlineLvl w:val="9"/>
      </w:pPr>
    </w:p>
    <w:p>
      <w:pPr>
        <w:pStyle w:val="2"/>
        <w:pageBreakBefore w:val="0"/>
        <w:kinsoku/>
        <w:wordWrap/>
        <w:overflowPunct/>
        <w:topLinePunct w:val="0"/>
        <w:bidi w:val="0"/>
        <w:snapToGrid/>
        <w:spacing w:line="560" w:lineRule="exact"/>
        <w:outlineLvl w:val="9"/>
      </w:pPr>
    </w:p>
    <w:tbl>
      <w:tblPr>
        <w:tblW w:w="10300" w:type="dxa"/>
        <w:jc w:val="center"/>
        <w:tblInd w:w="-71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
      <w:tblGrid>
        <w:gridCol w:w="809"/>
        <w:gridCol w:w="810"/>
        <w:gridCol w:w="810"/>
        <w:gridCol w:w="811"/>
        <w:gridCol w:w="755"/>
        <w:gridCol w:w="472"/>
        <w:gridCol w:w="1126"/>
        <w:gridCol w:w="1002"/>
        <w:gridCol w:w="652"/>
        <w:gridCol w:w="587"/>
        <w:gridCol w:w="663"/>
        <w:gridCol w:w="464"/>
        <w:gridCol w:w="528"/>
        <w:gridCol w:w="81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839" w:hRule="atLeast"/>
          <w:jc w:val="center"/>
        </w:trPr>
        <w:tc>
          <w:tcPr>
            <w:tcW w:w="10300" w:type="dxa"/>
            <w:gridSpan w:val="14"/>
            <w:tcBorders>
              <w:top w:val="nil"/>
              <w:left w:val="nil"/>
              <w:bottom w:val="nil"/>
              <w:right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bdr w:val="none" w:color="auto" w:sz="0" w:space="0"/>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27" w:hRule="atLeast"/>
          <w:jc w:val="center"/>
        </w:trPr>
        <w:tc>
          <w:tcPr>
            <w:tcW w:w="10300" w:type="dxa"/>
            <w:gridSpan w:val="14"/>
            <w:tcBorders>
              <w:top w:val="nil"/>
              <w:left w:val="nil"/>
              <w:bottom w:val="nil"/>
              <w:right w:val="nil"/>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37" w:hRule="atLeast"/>
          <w:jc w:val="center"/>
        </w:trPr>
        <w:tc>
          <w:tcPr>
            <w:tcW w:w="161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项目名称</w:t>
            </w:r>
          </w:p>
        </w:tc>
        <w:tc>
          <w:tcPr>
            <w:tcW w:w="8681" w:type="dxa"/>
            <w:gridSpan w:val="1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合作中心办证处电脑耗材费用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7" w:hRule="atLeast"/>
          <w:jc w:val="center"/>
        </w:trPr>
        <w:tc>
          <w:tcPr>
            <w:tcW w:w="161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主管部门</w:t>
            </w:r>
          </w:p>
        </w:tc>
        <w:tc>
          <w:tcPr>
            <w:tcW w:w="3974"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中哈霍尔果斯国际边境合作中心办证处</w:t>
            </w:r>
          </w:p>
        </w:tc>
        <w:tc>
          <w:tcPr>
            <w:tcW w:w="165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实施单位</w:t>
            </w:r>
          </w:p>
        </w:tc>
        <w:tc>
          <w:tcPr>
            <w:tcW w:w="3053"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中哈霍尔果斯国际边境合作中心办证处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849" w:hRule="atLeast"/>
          <w:jc w:val="center"/>
        </w:trPr>
        <w:tc>
          <w:tcPr>
            <w:tcW w:w="1619"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项目资金</w:t>
            </w:r>
            <w:r>
              <w:rPr>
                <w:rFonts w:hint="eastAsia" w:ascii="宋体" w:hAnsi="宋体" w:eastAsia="宋体" w:cs="宋体"/>
                <w:i w:val="0"/>
                <w:color w:val="000000"/>
                <w:kern w:val="0"/>
                <w:sz w:val="20"/>
                <w:szCs w:val="20"/>
                <w:u w:val="none"/>
                <w:bdr w:val="none" w:color="auto" w:sz="0" w:space="0"/>
                <w:lang w:val="en-US" w:eastAsia="zh-CN" w:bidi="ar"/>
              </w:rPr>
              <w:br w:type="textWrapping"/>
            </w:r>
            <w:r>
              <w:rPr>
                <w:rFonts w:hint="eastAsia" w:ascii="宋体" w:hAnsi="宋体" w:eastAsia="宋体" w:cs="宋体"/>
                <w:i w:val="0"/>
                <w:color w:val="000000"/>
                <w:kern w:val="0"/>
                <w:sz w:val="20"/>
                <w:szCs w:val="20"/>
                <w:u w:val="none"/>
                <w:bdr w:val="none" w:color="auto" w:sz="0" w:space="0"/>
                <w:lang w:val="en-US" w:eastAsia="zh-CN" w:bidi="ar"/>
              </w:rPr>
              <w:t>（万元）</w:t>
            </w:r>
          </w:p>
        </w:tc>
        <w:tc>
          <w:tcPr>
            <w:tcW w:w="162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5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年初预算数</w:t>
            </w:r>
          </w:p>
        </w:tc>
        <w:tc>
          <w:tcPr>
            <w:tcW w:w="159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全年预算数</w:t>
            </w:r>
          </w:p>
        </w:tc>
        <w:tc>
          <w:tcPr>
            <w:tcW w:w="165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全年执行数</w:t>
            </w:r>
          </w:p>
        </w:tc>
        <w:tc>
          <w:tcPr>
            <w:tcW w:w="125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分值</w:t>
            </w:r>
          </w:p>
        </w:tc>
        <w:tc>
          <w:tcPr>
            <w:tcW w:w="99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执行率</w:t>
            </w:r>
          </w:p>
        </w:tc>
        <w:tc>
          <w:tcPr>
            <w:tcW w:w="81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8" w:hRule="atLeast"/>
          <w:jc w:val="center"/>
        </w:trPr>
        <w:tc>
          <w:tcPr>
            <w:tcW w:w="1619"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2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年度资金总额</w:t>
            </w:r>
          </w:p>
        </w:tc>
        <w:tc>
          <w:tcPr>
            <w:tcW w:w="75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20.00</w:t>
            </w:r>
          </w:p>
        </w:tc>
        <w:tc>
          <w:tcPr>
            <w:tcW w:w="159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w:t>
            </w:r>
          </w:p>
        </w:tc>
        <w:tc>
          <w:tcPr>
            <w:tcW w:w="165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16.29</w:t>
            </w:r>
          </w:p>
        </w:tc>
        <w:tc>
          <w:tcPr>
            <w:tcW w:w="125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99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81.45%</w:t>
            </w:r>
          </w:p>
        </w:tc>
        <w:tc>
          <w:tcPr>
            <w:tcW w:w="81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8.15分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68" w:hRule="atLeast"/>
          <w:jc w:val="center"/>
        </w:trPr>
        <w:tc>
          <w:tcPr>
            <w:tcW w:w="1619"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2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其中：当年财政拨款</w:t>
            </w:r>
          </w:p>
        </w:tc>
        <w:tc>
          <w:tcPr>
            <w:tcW w:w="75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w:t>
            </w:r>
          </w:p>
        </w:tc>
        <w:tc>
          <w:tcPr>
            <w:tcW w:w="159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w:t>
            </w:r>
          </w:p>
        </w:tc>
        <w:tc>
          <w:tcPr>
            <w:tcW w:w="165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16.29</w:t>
            </w:r>
          </w:p>
        </w:tc>
        <w:tc>
          <w:tcPr>
            <w:tcW w:w="125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99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81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8" w:hRule="atLeast"/>
          <w:jc w:val="center"/>
        </w:trPr>
        <w:tc>
          <w:tcPr>
            <w:tcW w:w="1619"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2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 xml:space="preserve">      上年结转资金</w:t>
            </w:r>
          </w:p>
        </w:tc>
        <w:tc>
          <w:tcPr>
            <w:tcW w:w="75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0</w:t>
            </w:r>
          </w:p>
        </w:tc>
        <w:tc>
          <w:tcPr>
            <w:tcW w:w="159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0</w:t>
            </w:r>
          </w:p>
        </w:tc>
        <w:tc>
          <w:tcPr>
            <w:tcW w:w="165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5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99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81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68" w:hRule="atLeast"/>
          <w:jc w:val="center"/>
        </w:trPr>
        <w:tc>
          <w:tcPr>
            <w:tcW w:w="1619"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21"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 xml:space="preserve">  其他资金</w:t>
            </w:r>
          </w:p>
        </w:tc>
        <w:tc>
          <w:tcPr>
            <w:tcW w:w="75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0</w:t>
            </w:r>
          </w:p>
        </w:tc>
        <w:tc>
          <w:tcPr>
            <w:tcW w:w="1598"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0</w:t>
            </w:r>
          </w:p>
        </w:tc>
        <w:tc>
          <w:tcPr>
            <w:tcW w:w="165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5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992"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c>
          <w:tcPr>
            <w:tcW w:w="81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7" w:hRule="atLeast"/>
          <w:jc w:val="center"/>
        </w:trPr>
        <w:tc>
          <w:tcPr>
            <w:tcW w:w="809"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年度总体目标</w:t>
            </w:r>
          </w:p>
        </w:tc>
        <w:tc>
          <w:tcPr>
            <w:tcW w:w="4784" w:type="dxa"/>
            <w:gridSpan w:val="6"/>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预期目标</w:t>
            </w:r>
          </w:p>
        </w:tc>
        <w:tc>
          <w:tcPr>
            <w:tcW w:w="4707" w:type="dxa"/>
            <w:gridSpan w:val="7"/>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2909" w:hRule="atLeast"/>
          <w:jc w:val="center"/>
        </w:trPr>
        <w:tc>
          <w:tcPr>
            <w:tcW w:w="80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784" w:type="dxa"/>
            <w:gridSpan w:val="6"/>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自2023年1月8日，国家调整实施新冠肺炎“乙类乙管”政策后，中哈霍尔果斯国际边境合作中心出入境通行证签发量较同期明显上升。预计2023年合作中心出入境通行证签发量将接近或突破峰值年份的68.6万人次，实现非税收入1029万元。为全面贯彻新时代治疆方略，立足“旅游兴州”战略，打造霍尔果斯“一带一路”合作倡议标杆示范区。申请电脑耗材经费20万元用于确保合作中心办证处出入境业务工作正常运转，更好的服务于霍尔果斯市经济高质量发展。</w:t>
            </w:r>
          </w:p>
        </w:tc>
        <w:tc>
          <w:tcPr>
            <w:tcW w:w="4707" w:type="dxa"/>
            <w:gridSpan w:val="7"/>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2023年，已按照计划完成了2批次耗材采购。其中采购制证塑封机2台6400元，打印/复印制证245箱44300元、打印机硒鼓660支112200元，共采购16.29万元，确保了合作中心办证处出入境业务工作正常运转，更好的服务于霍尔果斯市经济高质量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jc w:val="center"/>
        </w:trPr>
        <w:tc>
          <w:tcPr>
            <w:tcW w:w="809"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0"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一级指标</w:t>
            </w:r>
          </w:p>
        </w:tc>
        <w:tc>
          <w:tcPr>
            <w:tcW w:w="810"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二级指标</w:t>
            </w:r>
          </w:p>
        </w:tc>
        <w:tc>
          <w:tcPr>
            <w:tcW w:w="2038" w:type="dxa"/>
            <w:gridSpan w:val="3"/>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三级指标</w:t>
            </w:r>
          </w:p>
        </w:tc>
        <w:tc>
          <w:tcPr>
            <w:tcW w:w="1126"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年度指标值</w:t>
            </w:r>
          </w:p>
        </w:tc>
        <w:tc>
          <w:tcPr>
            <w:tcW w:w="1002"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实际完成值</w:t>
            </w:r>
          </w:p>
        </w:tc>
        <w:tc>
          <w:tcPr>
            <w:tcW w:w="1239"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分值</w:t>
            </w:r>
          </w:p>
        </w:tc>
        <w:tc>
          <w:tcPr>
            <w:tcW w:w="1127"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得分</w:t>
            </w:r>
          </w:p>
        </w:tc>
        <w:tc>
          <w:tcPr>
            <w:tcW w:w="1339"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551" w:hRule="atLeast"/>
          <w:jc w:val="center"/>
        </w:trPr>
        <w:tc>
          <w:tcPr>
            <w:tcW w:w="80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038" w:type="dxa"/>
            <w:gridSpan w:val="3"/>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26"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02"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39"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27"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39"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673" w:hRule="atLeast"/>
          <w:jc w:val="center"/>
        </w:trPr>
        <w:tc>
          <w:tcPr>
            <w:tcW w:w="809"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年度绩效指标完成情况</w:t>
            </w:r>
          </w:p>
        </w:tc>
        <w:tc>
          <w:tcPr>
            <w:tcW w:w="810"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产出指标</w:t>
            </w:r>
          </w:p>
        </w:tc>
        <w:tc>
          <w:tcPr>
            <w:tcW w:w="81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数量指标</w:t>
            </w:r>
          </w:p>
        </w:tc>
        <w:tc>
          <w:tcPr>
            <w:tcW w:w="2038"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计划采购耗材批次</w:t>
            </w:r>
          </w:p>
        </w:tc>
        <w:tc>
          <w:tcPr>
            <w:tcW w:w="11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&gt;=3批</w:t>
            </w:r>
          </w:p>
        </w:tc>
        <w:tc>
          <w:tcPr>
            <w:tcW w:w="100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2批</w:t>
            </w:r>
          </w:p>
        </w:tc>
        <w:tc>
          <w:tcPr>
            <w:tcW w:w="123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8</w:t>
            </w:r>
          </w:p>
        </w:tc>
        <w:tc>
          <w:tcPr>
            <w:tcW w:w="112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5.33</w:t>
            </w:r>
          </w:p>
        </w:tc>
        <w:tc>
          <w:tcPr>
            <w:tcW w:w="133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因预算采购价格与政府采购交易价格存在差异，第三批未采购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1673" w:hRule="atLeast"/>
          <w:jc w:val="center"/>
        </w:trPr>
        <w:tc>
          <w:tcPr>
            <w:tcW w:w="80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数量指标</w:t>
            </w:r>
          </w:p>
        </w:tc>
        <w:tc>
          <w:tcPr>
            <w:tcW w:w="2038"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采购硒鼓数量</w:t>
            </w:r>
          </w:p>
        </w:tc>
        <w:tc>
          <w:tcPr>
            <w:tcW w:w="11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&gt;=878支</w:t>
            </w:r>
          </w:p>
        </w:tc>
        <w:tc>
          <w:tcPr>
            <w:tcW w:w="100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660支</w:t>
            </w:r>
          </w:p>
        </w:tc>
        <w:tc>
          <w:tcPr>
            <w:tcW w:w="123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w:t>
            </w:r>
          </w:p>
        </w:tc>
        <w:tc>
          <w:tcPr>
            <w:tcW w:w="112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5.26</w:t>
            </w:r>
          </w:p>
        </w:tc>
        <w:tc>
          <w:tcPr>
            <w:tcW w:w="133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因预算采购价格与政府采购交易价格存在差异，采购660支硒鼓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7" w:hRule="atLeast"/>
          <w:jc w:val="center"/>
        </w:trPr>
        <w:tc>
          <w:tcPr>
            <w:tcW w:w="80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数量指标</w:t>
            </w:r>
          </w:p>
        </w:tc>
        <w:tc>
          <w:tcPr>
            <w:tcW w:w="2038"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采购制证塑封机数量</w:t>
            </w:r>
          </w:p>
        </w:tc>
        <w:tc>
          <w:tcPr>
            <w:tcW w:w="11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&gt;=2台</w:t>
            </w:r>
          </w:p>
        </w:tc>
        <w:tc>
          <w:tcPr>
            <w:tcW w:w="100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2台</w:t>
            </w:r>
          </w:p>
        </w:tc>
        <w:tc>
          <w:tcPr>
            <w:tcW w:w="123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w:t>
            </w:r>
          </w:p>
        </w:tc>
        <w:tc>
          <w:tcPr>
            <w:tcW w:w="112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w:t>
            </w:r>
          </w:p>
        </w:tc>
        <w:tc>
          <w:tcPr>
            <w:tcW w:w="133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37" w:hRule="atLeast"/>
          <w:jc w:val="center"/>
        </w:trPr>
        <w:tc>
          <w:tcPr>
            <w:tcW w:w="80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数量指标</w:t>
            </w:r>
          </w:p>
        </w:tc>
        <w:tc>
          <w:tcPr>
            <w:tcW w:w="2038"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采购打印/复印纸箱数</w:t>
            </w:r>
          </w:p>
        </w:tc>
        <w:tc>
          <w:tcPr>
            <w:tcW w:w="11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&gt;=233箱</w:t>
            </w:r>
          </w:p>
        </w:tc>
        <w:tc>
          <w:tcPr>
            <w:tcW w:w="100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245箱</w:t>
            </w:r>
          </w:p>
        </w:tc>
        <w:tc>
          <w:tcPr>
            <w:tcW w:w="123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w:t>
            </w:r>
          </w:p>
        </w:tc>
        <w:tc>
          <w:tcPr>
            <w:tcW w:w="112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w:t>
            </w:r>
          </w:p>
        </w:tc>
        <w:tc>
          <w:tcPr>
            <w:tcW w:w="133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因预算采购价格与政府采购交易价格存在差多采购了12箱复印纸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9" w:hRule="atLeast"/>
          <w:jc w:val="center"/>
        </w:trPr>
        <w:tc>
          <w:tcPr>
            <w:tcW w:w="80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质量指标</w:t>
            </w:r>
          </w:p>
        </w:tc>
        <w:tc>
          <w:tcPr>
            <w:tcW w:w="2038"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政府采购率</w:t>
            </w:r>
          </w:p>
        </w:tc>
        <w:tc>
          <w:tcPr>
            <w:tcW w:w="11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&gt;=95%</w:t>
            </w:r>
          </w:p>
        </w:tc>
        <w:tc>
          <w:tcPr>
            <w:tcW w:w="100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123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w:t>
            </w:r>
          </w:p>
        </w:tc>
        <w:tc>
          <w:tcPr>
            <w:tcW w:w="112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w:t>
            </w:r>
          </w:p>
        </w:tc>
        <w:tc>
          <w:tcPr>
            <w:tcW w:w="133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按时完成采购，满足出入境业务需要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849" w:hRule="atLeast"/>
          <w:jc w:val="center"/>
        </w:trPr>
        <w:tc>
          <w:tcPr>
            <w:tcW w:w="80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质量指标</w:t>
            </w:r>
          </w:p>
        </w:tc>
        <w:tc>
          <w:tcPr>
            <w:tcW w:w="2038"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耗材验收合格率</w:t>
            </w:r>
          </w:p>
        </w:tc>
        <w:tc>
          <w:tcPr>
            <w:tcW w:w="11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&gt;=95%</w:t>
            </w:r>
          </w:p>
        </w:tc>
        <w:tc>
          <w:tcPr>
            <w:tcW w:w="100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123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w:t>
            </w:r>
          </w:p>
        </w:tc>
        <w:tc>
          <w:tcPr>
            <w:tcW w:w="112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w:t>
            </w:r>
          </w:p>
        </w:tc>
        <w:tc>
          <w:tcPr>
            <w:tcW w:w="133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耗材验收合格，满足出入境业务需要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261" w:hRule="atLeast"/>
          <w:jc w:val="center"/>
        </w:trPr>
        <w:tc>
          <w:tcPr>
            <w:tcW w:w="80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时效指标</w:t>
            </w:r>
          </w:p>
        </w:tc>
        <w:tc>
          <w:tcPr>
            <w:tcW w:w="2038"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耗材送达及时率</w:t>
            </w:r>
          </w:p>
        </w:tc>
        <w:tc>
          <w:tcPr>
            <w:tcW w:w="11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&gt;=95%</w:t>
            </w:r>
          </w:p>
        </w:tc>
        <w:tc>
          <w:tcPr>
            <w:tcW w:w="100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123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w:t>
            </w:r>
          </w:p>
        </w:tc>
        <w:tc>
          <w:tcPr>
            <w:tcW w:w="112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7</w:t>
            </w:r>
          </w:p>
        </w:tc>
        <w:tc>
          <w:tcPr>
            <w:tcW w:w="133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耗材成交后按时送达，满足出入境业务需要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849" w:hRule="atLeast"/>
          <w:jc w:val="center"/>
        </w:trPr>
        <w:tc>
          <w:tcPr>
            <w:tcW w:w="80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0"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成本指标</w:t>
            </w:r>
          </w:p>
        </w:tc>
        <w:tc>
          <w:tcPr>
            <w:tcW w:w="81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经济成本指标</w:t>
            </w:r>
          </w:p>
        </w:tc>
        <w:tc>
          <w:tcPr>
            <w:tcW w:w="2038"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1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0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3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2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3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9" w:hRule="atLeast"/>
          <w:jc w:val="center"/>
        </w:trPr>
        <w:tc>
          <w:tcPr>
            <w:tcW w:w="80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社会成本指标</w:t>
            </w:r>
          </w:p>
        </w:tc>
        <w:tc>
          <w:tcPr>
            <w:tcW w:w="2038"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1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0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3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2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3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849" w:hRule="atLeast"/>
          <w:jc w:val="center"/>
        </w:trPr>
        <w:tc>
          <w:tcPr>
            <w:tcW w:w="80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生态环境成本指标</w:t>
            </w:r>
          </w:p>
        </w:tc>
        <w:tc>
          <w:tcPr>
            <w:tcW w:w="2038"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1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0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3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2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3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9" w:hRule="atLeast"/>
          <w:jc w:val="center"/>
        </w:trPr>
        <w:tc>
          <w:tcPr>
            <w:tcW w:w="80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0"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效益指标</w:t>
            </w:r>
          </w:p>
        </w:tc>
        <w:tc>
          <w:tcPr>
            <w:tcW w:w="81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经济效益指标</w:t>
            </w:r>
          </w:p>
        </w:tc>
        <w:tc>
          <w:tcPr>
            <w:tcW w:w="2038"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1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0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3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2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3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849" w:hRule="atLeast"/>
          <w:jc w:val="center"/>
        </w:trPr>
        <w:tc>
          <w:tcPr>
            <w:tcW w:w="80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社会效益指标</w:t>
            </w:r>
          </w:p>
        </w:tc>
        <w:tc>
          <w:tcPr>
            <w:tcW w:w="2038"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确保出入境业务正常运行</w:t>
            </w:r>
          </w:p>
        </w:tc>
        <w:tc>
          <w:tcPr>
            <w:tcW w:w="11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有效提升</w:t>
            </w:r>
          </w:p>
        </w:tc>
        <w:tc>
          <w:tcPr>
            <w:tcW w:w="100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有效提升</w:t>
            </w:r>
          </w:p>
        </w:tc>
        <w:tc>
          <w:tcPr>
            <w:tcW w:w="123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30</w:t>
            </w:r>
          </w:p>
        </w:tc>
        <w:tc>
          <w:tcPr>
            <w:tcW w:w="112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30</w:t>
            </w:r>
          </w:p>
        </w:tc>
        <w:tc>
          <w:tcPr>
            <w:tcW w:w="133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9" w:hRule="atLeast"/>
          <w:jc w:val="center"/>
        </w:trPr>
        <w:tc>
          <w:tcPr>
            <w:tcW w:w="80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生态效益指标</w:t>
            </w:r>
          </w:p>
        </w:tc>
        <w:tc>
          <w:tcPr>
            <w:tcW w:w="2038"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1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0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23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2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3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437" w:hRule="atLeast"/>
          <w:jc w:val="center"/>
        </w:trPr>
        <w:tc>
          <w:tcPr>
            <w:tcW w:w="809"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1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满意度指标</w:t>
            </w:r>
          </w:p>
        </w:tc>
        <w:tc>
          <w:tcPr>
            <w:tcW w:w="81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满意度指标</w:t>
            </w:r>
          </w:p>
        </w:tc>
        <w:tc>
          <w:tcPr>
            <w:tcW w:w="2038" w:type="dxa"/>
            <w:gridSpan w:val="3"/>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业务窗口使用耗材满意度</w:t>
            </w:r>
          </w:p>
        </w:tc>
        <w:tc>
          <w:tcPr>
            <w:tcW w:w="112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&gt;=95%</w:t>
            </w:r>
          </w:p>
        </w:tc>
        <w:tc>
          <w:tcPr>
            <w:tcW w:w="1002"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123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112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w:t>
            </w:r>
          </w:p>
        </w:tc>
        <w:tc>
          <w:tcPr>
            <w:tcW w:w="133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7" w:hRule="atLeast"/>
          <w:jc w:val="center"/>
        </w:trPr>
        <w:tc>
          <w:tcPr>
            <w:tcW w:w="6595" w:type="dxa"/>
            <w:gridSpan w:val="8"/>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总分</w:t>
            </w:r>
          </w:p>
        </w:tc>
        <w:tc>
          <w:tcPr>
            <w:tcW w:w="123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100</w:t>
            </w:r>
          </w:p>
        </w:tc>
        <w:tc>
          <w:tcPr>
            <w:tcW w:w="1127"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bdr w:val="none" w:color="auto" w:sz="0" w:space="0"/>
                <w:lang w:val="en-US" w:eastAsia="zh-CN" w:bidi="ar"/>
              </w:rPr>
              <w:t>93.74分</w:t>
            </w:r>
          </w:p>
        </w:tc>
        <w:tc>
          <w:tcPr>
            <w:tcW w:w="1339"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bl>
    <w:p>
      <w:pPr>
        <w:pageBreakBefore w:val="0"/>
        <w:kinsoku/>
        <w:wordWrap/>
        <w:overflowPunct/>
        <w:topLinePunct w:val="0"/>
        <w:bidi w:val="0"/>
        <w:snapToGrid/>
        <w:spacing w:line="560" w:lineRule="exact"/>
        <w:outlineLvl w:val="9"/>
        <w:rPr>
          <w:rFonts w:hint="eastAsia" w:ascii="黑体" w:hAnsi="黑体" w:eastAsia="黑体" w:cs="黑体"/>
          <w:bCs/>
          <w:sz w:val="32"/>
          <w:szCs w:val="32"/>
        </w:rPr>
        <w:sectPr>
          <w:headerReference r:id="rId3" w:type="default"/>
          <w:pgSz w:w="11906" w:h="16838"/>
          <w:pgMar w:top="1928" w:right="1531" w:bottom="1701" w:left="1531" w:header="737" w:footer="851" w:gutter="0"/>
          <w:cols w:space="720" w:num="1"/>
          <w:docGrid w:type="lines" w:linePitch="408" w:charSpace="0"/>
        </w:sectPr>
      </w:pPr>
    </w:p>
    <w:p>
      <w:pPr>
        <w:pStyle w:val="21"/>
        <w:pageBreakBefore w:val="0"/>
        <w:kinsoku/>
        <w:wordWrap/>
        <w:overflowPunct/>
        <w:topLinePunct w:val="0"/>
        <w:bidi w:val="0"/>
        <w:snapToGrid/>
        <w:spacing w:line="560" w:lineRule="exact"/>
        <w:jc w:val="center"/>
        <w:outlineLvl w:val="9"/>
        <w:rPr>
          <w:sz w:val="28"/>
          <w:szCs w:val="40"/>
        </w:rPr>
      </w:pPr>
      <w:bookmarkStart w:id="22" w:name="_GoBack"/>
      <w:bookmarkEnd w:id="22"/>
      <w:bookmarkStart w:id="20" w:name="_Toc30064_WPSOffice_Level1"/>
      <w:bookmarkStart w:id="21" w:name="_Toc26499_WPSOffice_Level2"/>
      <w:r>
        <w:rPr>
          <w:rFonts w:hint="eastAsia"/>
          <w:b/>
          <w:bCs/>
          <w:sz w:val="28"/>
          <w:szCs w:val="40"/>
          <w:highlight w:val="none"/>
          <w:lang w:val="en-US" w:eastAsia="zh-CN"/>
        </w:rPr>
        <w:t>合作中心办证处电脑耗材费用</w:t>
      </w:r>
      <w:r>
        <w:rPr>
          <w:rFonts w:hint="eastAsia"/>
          <w:b/>
          <w:bCs/>
          <w:sz w:val="28"/>
          <w:szCs w:val="40"/>
          <w:highlight w:val="none"/>
        </w:rPr>
        <w:t>项目绩效</w:t>
      </w:r>
      <w:r>
        <w:rPr>
          <w:rFonts w:hint="eastAsia"/>
          <w:b/>
          <w:bCs/>
          <w:sz w:val="28"/>
          <w:szCs w:val="40"/>
        </w:rPr>
        <w:t>评价指标体系及综合评分表</w:t>
      </w:r>
      <w:bookmarkEnd w:id="20"/>
      <w:bookmarkEnd w:id="21"/>
    </w:p>
    <w:tbl>
      <w:tblPr>
        <w:tblW w:w="15440" w:type="dxa"/>
        <w:jc w:val="center"/>
        <w:tblInd w:w="-110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
      <w:tblGrid>
        <w:gridCol w:w="761"/>
        <w:gridCol w:w="1174"/>
        <w:gridCol w:w="1399"/>
        <w:gridCol w:w="3494"/>
        <w:gridCol w:w="7110"/>
        <w:gridCol w:w="751"/>
        <w:gridCol w:w="75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90" w:hRule="atLeast"/>
          <w:jc w:val="center"/>
        </w:trPr>
        <w:tc>
          <w:tcPr>
            <w:tcW w:w="13938" w:type="dxa"/>
            <w:gridSpan w:val="5"/>
            <w:tcBorders>
              <w:top w:val="nil"/>
              <w:left w:val="nil"/>
              <w:bottom w:val="nil"/>
              <w:right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6"/>
                <w:szCs w:val="36"/>
                <w:u w:val="none"/>
              </w:rPr>
            </w:pPr>
            <w:r>
              <w:rPr>
                <w:rFonts w:hint="eastAsia" w:ascii="宋体" w:hAnsi="宋体" w:eastAsia="宋体" w:cs="宋体"/>
                <w:b/>
                <w:i w:val="0"/>
                <w:color w:val="000000"/>
                <w:kern w:val="0"/>
                <w:sz w:val="36"/>
                <w:szCs w:val="36"/>
                <w:u w:val="none"/>
                <w:bdr w:val="none" w:color="auto" w:sz="0" w:space="0"/>
                <w:lang w:val="en-US" w:eastAsia="zh-CN" w:bidi="ar"/>
              </w:rPr>
              <w:t>合作中心办证处电脑耗材费用项目支出绩效评价指标体系</w:t>
            </w:r>
          </w:p>
        </w:tc>
        <w:tc>
          <w:tcPr>
            <w:tcW w:w="751" w:type="dxa"/>
            <w:tcBorders>
              <w:top w:val="nil"/>
              <w:left w:val="nil"/>
              <w:bottom w:val="nil"/>
              <w:right w:val="nil"/>
            </w:tcBorders>
            <w:shd w:val="clear"/>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c>
          <w:tcPr>
            <w:tcW w:w="751" w:type="dxa"/>
            <w:tcBorders>
              <w:top w:val="nil"/>
              <w:left w:val="nil"/>
              <w:bottom w:val="nil"/>
              <w:right w:val="nil"/>
            </w:tcBorders>
            <w:shd w:val="clear"/>
            <w:noWrap/>
            <w:tcMar>
              <w:top w:w="15" w:type="dxa"/>
              <w:left w:w="15" w:type="dxa"/>
              <w:right w:w="15" w:type="dxa"/>
            </w:tcMar>
            <w:vAlign w:val="center"/>
          </w:tcPr>
          <w:p>
            <w:pPr>
              <w:jc w:val="center"/>
              <w:rPr>
                <w:rFonts w:hint="default" w:ascii="等线" w:hAnsi="等线" w:eastAsia="等线" w:cs="等线"/>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90" w:hRule="atLeast"/>
          <w:jc w:val="center"/>
        </w:trPr>
        <w:tc>
          <w:tcPr>
            <w:tcW w:w="76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一级指标</w:t>
            </w:r>
          </w:p>
        </w:tc>
        <w:tc>
          <w:tcPr>
            <w:tcW w:w="117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二级指标</w:t>
            </w:r>
          </w:p>
        </w:tc>
        <w:tc>
          <w:tcPr>
            <w:tcW w:w="13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三级指标</w:t>
            </w:r>
          </w:p>
        </w:tc>
        <w:tc>
          <w:tcPr>
            <w:tcW w:w="349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指标解释</w:t>
            </w:r>
          </w:p>
        </w:tc>
        <w:tc>
          <w:tcPr>
            <w:tcW w:w="711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指标说明</w:t>
            </w:r>
          </w:p>
        </w:tc>
        <w:tc>
          <w:tcPr>
            <w:tcW w:w="75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分值</w:t>
            </w:r>
          </w:p>
        </w:tc>
        <w:tc>
          <w:tcPr>
            <w:tcW w:w="751"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90" w:hRule="atLeast"/>
          <w:jc w:val="center"/>
        </w:trPr>
        <w:tc>
          <w:tcPr>
            <w:tcW w:w="76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决策　（20）</w:t>
            </w:r>
          </w:p>
        </w:tc>
        <w:tc>
          <w:tcPr>
            <w:tcW w:w="117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项目立项(6)</w:t>
            </w:r>
          </w:p>
        </w:tc>
        <w:tc>
          <w:tcPr>
            <w:tcW w:w="139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立项依据充分性</w:t>
            </w:r>
          </w:p>
        </w:tc>
        <w:tc>
          <w:tcPr>
            <w:tcW w:w="349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项目立项是否符合法律法规、相关政策、发展规划以及部门职责，用以反映和考核项目立项依据情况。</w:t>
            </w:r>
          </w:p>
        </w:tc>
        <w:tc>
          <w:tcPr>
            <w:tcW w:w="711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jc w:val="center"/>
        </w:trPr>
        <w:tc>
          <w:tcPr>
            <w:tcW w:w="7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1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①项目立项是否符合国家法律法规、国民经济发展规划和相关政策；</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0.60 </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90" w:hRule="atLeast"/>
          <w:jc w:val="center"/>
        </w:trPr>
        <w:tc>
          <w:tcPr>
            <w:tcW w:w="7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1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②项目立项是否符合行业发展规划和政策要求；</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0.60 </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jc w:val="center"/>
        </w:trPr>
        <w:tc>
          <w:tcPr>
            <w:tcW w:w="7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1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③项目立项是否与部门职责范围相符，属于部门履职所需；</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0.60 </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90" w:hRule="atLeast"/>
          <w:jc w:val="center"/>
        </w:trPr>
        <w:tc>
          <w:tcPr>
            <w:tcW w:w="7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1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④项目是否属于公共财政支持范围，是否符合中央、地方事权支出责任划分原则；</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0.60 </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jc w:val="center"/>
        </w:trPr>
        <w:tc>
          <w:tcPr>
            <w:tcW w:w="7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1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⑤项目是否与相关部门同类项目或部门内部相关项目重复。</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0.60 </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90" w:hRule="atLeast"/>
          <w:jc w:val="center"/>
        </w:trPr>
        <w:tc>
          <w:tcPr>
            <w:tcW w:w="7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9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立项程序规范性</w:t>
            </w:r>
          </w:p>
        </w:tc>
        <w:tc>
          <w:tcPr>
            <w:tcW w:w="349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项目申请、设立过程是否符合相关要求，用以反映和考核项目立项的规范情况。</w:t>
            </w:r>
          </w:p>
        </w:tc>
        <w:tc>
          <w:tcPr>
            <w:tcW w:w="711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jc w:val="center"/>
        </w:trPr>
        <w:tc>
          <w:tcPr>
            <w:tcW w:w="7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1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①项目是否按照规定的程序申请设立；</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90" w:hRule="atLeast"/>
          <w:jc w:val="center"/>
        </w:trPr>
        <w:tc>
          <w:tcPr>
            <w:tcW w:w="7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1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②审批文件、材料是否符合相关要求；</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jc w:val="center"/>
        </w:trPr>
        <w:tc>
          <w:tcPr>
            <w:tcW w:w="7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1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③事前是否已经过必要的可行性研究、专家论证、风险评估、绩效评估、集体决策。</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90" w:hRule="atLeast"/>
          <w:jc w:val="center"/>
        </w:trPr>
        <w:tc>
          <w:tcPr>
            <w:tcW w:w="7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绩效目标(3)</w:t>
            </w:r>
          </w:p>
        </w:tc>
        <w:tc>
          <w:tcPr>
            <w:tcW w:w="139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绩效目标合理性</w:t>
            </w:r>
          </w:p>
        </w:tc>
        <w:tc>
          <w:tcPr>
            <w:tcW w:w="349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项目所设定的绩效目标是否依据充分，是否符合客观实际，用以反映和考核项目绩效目标与项目实施的相符情况。</w:t>
            </w:r>
          </w:p>
        </w:tc>
        <w:tc>
          <w:tcPr>
            <w:tcW w:w="711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jc w:val="center"/>
        </w:trPr>
        <w:tc>
          <w:tcPr>
            <w:tcW w:w="7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1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（如未设定预算绩效目标，也可考核其他工作任务目标）</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90" w:hRule="atLeast"/>
          <w:jc w:val="center"/>
        </w:trPr>
        <w:tc>
          <w:tcPr>
            <w:tcW w:w="7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1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①项目是否有绩效目标；</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0.75 </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jc w:val="center"/>
        </w:trPr>
        <w:tc>
          <w:tcPr>
            <w:tcW w:w="7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1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②项目绩效目标与实际工作内容是否具有相关性；</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0.75 </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90" w:hRule="atLeast"/>
          <w:jc w:val="center"/>
        </w:trPr>
        <w:tc>
          <w:tcPr>
            <w:tcW w:w="7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1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③项目预期产出效益和效果是否符合正常的业绩水平；</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0.75 </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jc w:val="center"/>
        </w:trPr>
        <w:tc>
          <w:tcPr>
            <w:tcW w:w="7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1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④是否与预算确定的项目投资额或资金量相匹配。</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0.75 </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0.61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90" w:hRule="atLeast"/>
          <w:jc w:val="center"/>
        </w:trPr>
        <w:tc>
          <w:tcPr>
            <w:tcW w:w="7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绩效目标（3）</w:t>
            </w:r>
          </w:p>
        </w:tc>
        <w:tc>
          <w:tcPr>
            <w:tcW w:w="139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绩效指标明确性</w:t>
            </w:r>
          </w:p>
        </w:tc>
        <w:tc>
          <w:tcPr>
            <w:tcW w:w="349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依据绩效目标设定的绩效指标是否清晰、细化、可衡量等，用以反映和考核项目绩效目标的明细化情况。</w:t>
            </w:r>
          </w:p>
        </w:tc>
        <w:tc>
          <w:tcPr>
            <w:tcW w:w="711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jc w:val="center"/>
        </w:trPr>
        <w:tc>
          <w:tcPr>
            <w:tcW w:w="7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1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①是否将项目绩效目标细化分解为具体的绩效指标；</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90" w:hRule="atLeast"/>
          <w:jc w:val="center"/>
        </w:trPr>
        <w:tc>
          <w:tcPr>
            <w:tcW w:w="7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1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②是否通过清晰、可衡量的指标值予以体现；</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jc w:val="center"/>
        </w:trPr>
        <w:tc>
          <w:tcPr>
            <w:tcW w:w="7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1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③是否与项目目标任务数或计划数相对应。</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90" w:hRule="atLeast"/>
          <w:jc w:val="center"/>
        </w:trPr>
        <w:tc>
          <w:tcPr>
            <w:tcW w:w="7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资金投入（8）</w:t>
            </w:r>
          </w:p>
        </w:tc>
        <w:tc>
          <w:tcPr>
            <w:tcW w:w="139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预算编制科学性</w:t>
            </w:r>
          </w:p>
        </w:tc>
        <w:tc>
          <w:tcPr>
            <w:tcW w:w="349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项目预算编制是否经过科学论证、有明确标准，资金额度与年度目标是否相适应，用以反映和考核项目预算编制的科学性、合理性情况。</w:t>
            </w:r>
          </w:p>
        </w:tc>
        <w:tc>
          <w:tcPr>
            <w:tcW w:w="711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jc w:val="center"/>
        </w:trPr>
        <w:tc>
          <w:tcPr>
            <w:tcW w:w="7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1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①预算编制是否经过科学论证；</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90" w:hRule="atLeast"/>
          <w:jc w:val="center"/>
        </w:trPr>
        <w:tc>
          <w:tcPr>
            <w:tcW w:w="7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1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②预算内容与项目内容是否匹配；</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jc w:val="center"/>
        </w:trPr>
        <w:tc>
          <w:tcPr>
            <w:tcW w:w="7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1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③预算额度测算依据是否充分，是否按照标准编制；</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90" w:hRule="atLeast"/>
          <w:jc w:val="center"/>
        </w:trPr>
        <w:tc>
          <w:tcPr>
            <w:tcW w:w="7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1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④预算确定的项目投资额或资金量是否与工作任务相匹配。</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jc w:val="center"/>
        </w:trPr>
        <w:tc>
          <w:tcPr>
            <w:tcW w:w="7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9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资金分配合理性</w:t>
            </w:r>
          </w:p>
        </w:tc>
        <w:tc>
          <w:tcPr>
            <w:tcW w:w="349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项目预算资金分配是否有测算依据，与补助单位或地方实际是否相适应，用以反映和考核项目预算资金分配的科学性、合理性情况。</w:t>
            </w:r>
          </w:p>
        </w:tc>
        <w:tc>
          <w:tcPr>
            <w:tcW w:w="711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90" w:hRule="atLeast"/>
          <w:jc w:val="center"/>
        </w:trPr>
        <w:tc>
          <w:tcPr>
            <w:tcW w:w="7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1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①预算资金分配依据是否充分；</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jc w:val="center"/>
        </w:trPr>
        <w:tc>
          <w:tcPr>
            <w:tcW w:w="7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1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②资金分配额度是否合理，与项目单位或地方实际是否相适应。</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90" w:hRule="atLeast"/>
          <w:jc w:val="center"/>
        </w:trPr>
        <w:tc>
          <w:tcPr>
            <w:tcW w:w="76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过程（20）</w:t>
            </w:r>
          </w:p>
        </w:tc>
        <w:tc>
          <w:tcPr>
            <w:tcW w:w="117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资金管理(8)</w:t>
            </w:r>
          </w:p>
        </w:tc>
        <w:tc>
          <w:tcPr>
            <w:tcW w:w="139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资金到位率</w:t>
            </w:r>
          </w:p>
        </w:tc>
        <w:tc>
          <w:tcPr>
            <w:tcW w:w="349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实际到位资金与预算资金的比率，用以反映和考核资金落实情况对项目实施的总体保障程度。</w:t>
            </w:r>
          </w:p>
        </w:tc>
        <w:tc>
          <w:tcPr>
            <w:tcW w:w="711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资金到位率=（实际到位资金/预算资金）×100%。</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jc w:val="center"/>
        </w:trPr>
        <w:tc>
          <w:tcPr>
            <w:tcW w:w="7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1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实际到位资金：一定时期（本年度或项目期）内落实到具体项目的资金。</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90" w:hRule="atLeast"/>
          <w:jc w:val="center"/>
        </w:trPr>
        <w:tc>
          <w:tcPr>
            <w:tcW w:w="7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1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预算资金：一定时期（本年度或项目期）内预算安排到具体项目的资金。</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jc w:val="center"/>
        </w:trPr>
        <w:tc>
          <w:tcPr>
            <w:tcW w:w="7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9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预算执行率</w:t>
            </w:r>
          </w:p>
        </w:tc>
        <w:tc>
          <w:tcPr>
            <w:tcW w:w="349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项目预算资金是否按照计划执行，用以反映或考核项目预算执行情况。</w:t>
            </w:r>
          </w:p>
        </w:tc>
        <w:tc>
          <w:tcPr>
            <w:tcW w:w="711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预算执行率=（实际支出资金/实际到位资金）×100%。</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1.63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90" w:hRule="atLeast"/>
          <w:jc w:val="center"/>
        </w:trPr>
        <w:tc>
          <w:tcPr>
            <w:tcW w:w="7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1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实际支出资金：一定时期（本年度或项目期）内项目实际拨付的资金。</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1.63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jc w:val="center"/>
        </w:trPr>
        <w:tc>
          <w:tcPr>
            <w:tcW w:w="7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资金管理(4)</w:t>
            </w:r>
          </w:p>
        </w:tc>
        <w:tc>
          <w:tcPr>
            <w:tcW w:w="139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资金使用合规性</w:t>
            </w:r>
          </w:p>
        </w:tc>
        <w:tc>
          <w:tcPr>
            <w:tcW w:w="349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项目资金使用是否符合相关的财务管理制度规定，用以反映和考核项目资金的规范运行情况。</w:t>
            </w:r>
          </w:p>
        </w:tc>
        <w:tc>
          <w:tcPr>
            <w:tcW w:w="711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90" w:hRule="atLeast"/>
          <w:jc w:val="center"/>
        </w:trPr>
        <w:tc>
          <w:tcPr>
            <w:tcW w:w="7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1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①是否符合国家财经法规和财务管理制度以及有关专项资金管理办法的规定；</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jc w:val="center"/>
        </w:trPr>
        <w:tc>
          <w:tcPr>
            <w:tcW w:w="7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1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②资金的拨付是否有完整的审批程序和手续；</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90" w:hRule="atLeast"/>
          <w:jc w:val="center"/>
        </w:trPr>
        <w:tc>
          <w:tcPr>
            <w:tcW w:w="7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1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③是否符合项目预算批复或合同规定的用途；</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jc w:val="center"/>
        </w:trPr>
        <w:tc>
          <w:tcPr>
            <w:tcW w:w="7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1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④是否存在截留、挤占、挪用、虚列支出等情况。</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90" w:hRule="atLeast"/>
          <w:jc w:val="center"/>
        </w:trPr>
        <w:tc>
          <w:tcPr>
            <w:tcW w:w="7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组织实施（8）</w:t>
            </w:r>
          </w:p>
        </w:tc>
        <w:tc>
          <w:tcPr>
            <w:tcW w:w="139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管理制度健全性</w:t>
            </w:r>
          </w:p>
        </w:tc>
        <w:tc>
          <w:tcPr>
            <w:tcW w:w="349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项目实施单位的财务和业务管理制度是否健全，用以反映和考核财务和业务管理制度对项目顺利实施的保障情况。</w:t>
            </w:r>
          </w:p>
        </w:tc>
        <w:tc>
          <w:tcPr>
            <w:tcW w:w="711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jc w:val="center"/>
        </w:trPr>
        <w:tc>
          <w:tcPr>
            <w:tcW w:w="7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1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①是否已制定或具有相应的财务和业务管理制度；</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90" w:hRule="atLeast"/>
          <w:jc w:val="center"/>
        </w:trPr>
        <w:tc>
          <w:tcPr>
            <w:tcW w:w="7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1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②财务和业务管理制度是否合法、合规、完整。</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jc w:val="center"/>
        </w:trPr>
        <w:tc>
          <w:tcPr>
            <w:tcW w:w="7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9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制度执行有效性</w:t>
            </w:r>
          </w:p>
        </w:tc>
        <w:tc>
          <w:tcPr>
            <w:tcW w:w="349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项目实施是否符合相关管理规定，用以反映和考核相关管理制度的有效执行情况。</w:t>
            </w:r>
          </w:p>
        </w:tc>
        <w:tc>
          <w:tcPr>
            <w:tcW w:w="711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90" w:hRule="atLeast"/>
          <w:jc w:val="center"/>
        </w:trPr>
        <w:tc>
          <w:tcPr>
            <w:tcW w:w="7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1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①是否遵守相关法律法规和相关管理规定；</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jc w:val="center"/>
        </w:trPr>
        <w:tc>
          <w:tcPr>
            <w:tcW w:w="7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1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②项目调整及支出调整手续是否完备；</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90" w:hRule="atLeast"/>
          <w:jc w:val="center"/>
        </w:trPr>
        <w:tc>
          <w:tcPr>
            <w:tcW w:w="7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1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③项目合同书、验收报告、技术鉴定等资料是否齐全并及时归档；</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jc w:val="center"/>
        </w:trPr>
        <w:tc>
          <w:tcPr>
            <w:tcW w:w="7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1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④项目实施的人员条件、场地设备、信息支撑等是否落实到位。</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90" w:hRule="atLeast"/>
          <w:jc w:val="center"/>
        </w:trPr>
        <w:tc>
          <w:tcPr>
            <w:tcW w:w="76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产出（40）</w:t>
            </w:r>
          </w:p>
        </w:tc>
        <w:tc>
          <w:tcPr>
            <w:tcW w:w="117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产出数量(10)</w:t>
            </w:r>
          </w:p>
        </w:tc>
        <w:tc>
          <w:tcPr>
            <w:tcW w:w="139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实际完成率</w:t>
            </w:r>
          </w:p>
        </w:tc>
        <w:tc>
          <w:tcPr>
            <w:tcW w:w="349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项目实施的实际产出数与计划产出数的比率，用以反映和考核项目产出数量目标的实现程度。</w:t>
            </w:r>
          </w:p>
        </w:tc>
        <w:tc>
          <w:tcPr>
            <w:tcW w:w="711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实际完成率=（实际产出数/计划产出数）×100%。</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2.44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jc w:val="center"/>
        </w:trPr>
        <w:tc>
          <w:tcPr>
            <w:tcW w:w="7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1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实际产出数：一定时期（本年度或项目期）内项目实际产出的产品或提供的服务数量。</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90" w:hRule="atLeast"/>
          <w:jc w:val="center"/>
        </w:trPr>
        <w:tc>
          <w:tcPr>
            <w:tcW w:w="7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1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计划产出数：项目绩效目标确定的在一定时期（本年度或项目期）内计划产出的产品或提供的服务数量。</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4.00 </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jc w:val="center"/>
        </w:trPr>
        <w:tc>
          <w:tcPr>
            <w:tcW w:w="7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产出质量(10)</w:t>
            </w:r>
          </w:p>
        </w:tc>
        <w:tc>
          <w:tcPr>
            <w:tcW w:w="139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质量达标率</w:t>
            </w:r>
          </w:p>
        </w:tc>
        <w:tc>
          <w:tcPr>
            <w:tcW w:w="349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项目完成的质量达标产出数与实际产出数的比率，用以反映和考核项目产出质量目标的实现程度。</w:t>
            </w:r>
          </w:p>
        </w:tc>
        <w:tc>
          <w:tcPr>
            <w:tcW w:w="711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质量达标率=（质量达标产出数/实际产出数）×100%。</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90" w:hRule="atLeast"/>
          <w:jc w:val="center"/>
        </w:trPr>
        <w:tc>
          <w:tcPr>
            <w:tcW w:w="7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1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jc w:val="center"/>
        </w:trPr>
        <w:tc>
          <w:tcPr>
            <w:tcW w:w="7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产出时效(10)</w:t>
            </w:r>
          </w:p>
        </w:tc>
        <w:tc>
          <w:tcPr>
            <w:tcW w:w="139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完成及时性</w:t>
            </w:r>
          </w:p>
        </w:tc>
        <w:tc>
          <w:tcPr>
            <w:tcW w:w="349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项目实际完成时间与计划完成时间的比较，用以反映和考核项目产出时效目标的实现程度。</w:t>
            </w:r>
          </w:p>
        </w:tc>
        <w:tc>
          <w:tcPr>
            <w:tcW w:w="711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实际完成时间：项目实施单位完成该项目实际所耗用的时间。</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90" w:hRule="atLeast"/>
          <w:jc w:val="center"/>
        </w:trPr>
        <w:tc>
          <w:tcPr>
            <w:tcW w:w="7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1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计划完成时间：按照项目实施计划或相关规定完成该项目所需的时间。</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jc w:val="center"/>
        </w:trPr>
        <w:tc>
          <w:tcPr>
            <w:tcW w:w="7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产出成本(10)</w:t>
            </w:r>
          </w:p>
        </w:tc>
        <w:tc>
          <w:tcPr>
            <w:tcW w:w="139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成本节约率</w:t>
            </w:r>
          </w:p>
        </w:tc>
        <w:tc>
          <w:tcPr>
            <w:tcW w:w="349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完成项目计划工作目标的实际节约成本与计划成本的比率，用以反映和考核项目的成本节约程度。</w:t>
            </w:r>
          </w:p>
        </w:tc>
        <w:tc>
          <w:tcPr>
            <w:tcW w:w="711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成本节约率=[（计划成本-实际成本）/计划成本]×100%。</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90" w:hRule="atLeast"/>
          <w:jc w:val="center"/>
        </w:trPr>
        <w:tc>
          <w:tcPr>
            <w:tcW w:w="7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1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实际成本：项目实施单位如期、保质、保量完成既定工作目标实际所耗费的支出。</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jc w:val="center"/>
        </w:trPr>
        <w:tc>
          <w:tcPr>
            <w:tcW w:w="7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9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49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711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计划成本：项目实施单位为完成工作目标计划安排的支出，一般以项目预算为参考。</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4.00 </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90" w:hRule="atLeast"/>
          <w:jc w:val="center"/>
        </w:trPr>
        <w:tc>
          <w:tcPr>
            <w:tcW w:w="761"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效益（20）</w:t>
            </w:r>
          </w:p>
        </w:tc>
        <w:tc>
          <w:tcPr>
            <w:tcW w:w="1174"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项目效益（20）</w:t>
            </w:r>
          </w:p>
        </w:tc>
        <w:tc>
          <w:tcPr>
            <w:tcW w:w="13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实施效益</w:t>
            </w:r>
          </w:p>
        </w:tc>
        <w:tc>
          <w:tcPr>
            <w:tcW w:w="349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项目实施所产生的效益。</w:t>
            </w:r>
          </w:p>
        </w:tc>
        <w:tc>
          <w:tcPr>
            <w:tcW w:w="711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项目实施所产生的社会效益、经济效益、生态效益、可持续影响等。可根据项目实际情况有选择地设置和细化。</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jc w:val="center"/>
        </w:trPr>
        <w:tc>
          <w:tcPr>
            <w:tcW w:w="76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174"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3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满意度</w:t>
            </w:r>
          </w:p>
        </w:tc>
        <w:tc>
          <w:tcPr>
            <w:tcW w:w="3494"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社会公众或服务对象对项目实施效果的满意程度。</w:t>
            </w:r>
          </w:p>
        </w:tc>
        <w:tc>
          <w:tcPr>
            <w:tcW w:w="711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社会公众或服务对象是指因该项目实施而受到影响的部门（单位）、群体或个人。一般采取社会调查的方式。</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90" w:hRule="atLeast"/>
          <w:jc w:val="center"/>
        </w:trPr>
        <w:tc>
          <w:tcPr>
            <w:tcW w:w="13938" w:type="dxa"/>
            <w:gridSpan w:val="5"/>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总分</w:t>
            </w:r>
          </w:p>
        </w:tc>
        <w:tc>
          <w:tcPr>
            <w:tcW w:w="751"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 xml:space="preserve">100.00 </w:t>
            </w:r>
          </w:p>
        </w:tc>
        <w:tc>
          <w:tcPr>
            <w:tcW w:w="751" w:type="dxa"/>
            <w:tcBorders>
              <w:top w:val="single" w:color="000000" w:sz="8" w:space="0"/>
              <w:left w:val="single" w:color="000000" w:sz="8" w:space="0"/>
              <w:bottom w:val="single" w:color="000000" w:sz="8"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 xml:space="preserve">98.56 </w:t>
            </w:r>
          </w:p>
        </w:tc>
      </w:tr>
    </w:tbl>
    <w:p>
      <w:pPr>
        <w:pageBreakBefore w:val="0"/>
        <w:kinsoku/>
        <w:wordWrap/>
        <w:overflowPunct/>
        <w:topLinePunct w:val="0"/>
        <w:bidi w:val="0"/>
        <w:snapToGrid/>
        <w:spacing w:line="560" w:lineRule="exact"/>
        <w:outlineLvl w:val="9"/>
      </w:pPr>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2010600030101010101"/>
    <w:charset w:val="86"/>
    <w:family w:val="auto"/>
    <w:pitch w:val="default"/>
    <w:sig w:usb0="00000000" w:usb1="00000000" w:usb2="00000016" w:usb3="00000000" w:csb0="0004000F" w:csb1="00000000"/>
  </w:font>
  <w:font w:name="方正小标宋_GBK">
    <w:altName w:val="微软雅黑"/>
    <w:panose1 w:val="00000000000000000000"/>
    <w:charset w:val="86"/>
    <w:family w:val="script"/>
    <w:pitch w:val="default"/>
    <w:sig w:usb0="00000000" w:usb1="00000000" w:usb2="00000000" w:usb3="00000000" w:csb0="00040000" w:csb1="00000000"/>
  </w:font>
  <w:font w:name="红豆小标宋简体">
    <w:altName w:val="宋体"/>
    <w:panose1 w:val="02000509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微软雅黑"/>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FDFF5F47"/>
    <w:multiLevelType w:val="singleLevel"/>
    <w:tmpl w:val="FDFF5F47"/>
    <w:lvl w:ilvl="0" w:tentative="0">
      <w:start w:val="1"/>
      <w:numFmt w:val="decimal"/>
      <w:lvlText w:val="%1."/>
      <w:lvlJc w:val="left"/>
      <w:pPr>
        <w:tabs>
          <w:tab w:val="left" w:pos="312"/>
        </w:tabs>
      </w:pPr>
    </w:lvl>
  </w:abstractNum>
  <w:abstractNum w:abstractNumId="2">
    <w:nsid w:val="42717433"/>
    <w:multiLevelType w:val="singleLevel"/>
    <w:tmpl w:val="42717433"/>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4ZjMzZTkxMDUzOWUwYzQ4OTViM2UwODBmYmY3N2QifQ=="/>
  </w:docVars>
  <w:rsids>
    <w:rsidRoot w:val="007D49C5"/>
    <w:rsid w:val="000D63FA"/>
    <w:rsid w:val="005438FE"/>
    <w:rsid w:val="005B64E8"/>
    <w:rsid w:val="00614288"/>
    <w:rsid w:val="00670592"/>
    <w:rsid w:val="00792CFE"/>
    <w:rsid w:val="007D49C5"/>
    <w:rsid w:val="008175E0"/>
    <w:rsid w:val="008C631D"/>
    <w:rsid w:val="00A114ED"/>
    <w:rsid w:val="00B24331"/>
    <w:rsid w:val="01583141"/>
    <w:rsid w:val="05253FFE"/>
    <w:rsid w:val="0F2A6BF7"/>
    <w:rsid w:val="0FEE6FAE"/>
    <w:rsid w:val="104C34B8"/>
    <w:rsid w:val="109627EE"/>
    <w:rsid w:val="15C164C0"/>
    <w:rsid w:val="17136327"/>
    <w:rsid w:val="181871E2"/>
    <w:rsid w:val="19166846"/>
    <w:rsid w:val="1BE35EAC"/>
    <w:rsid w:val="20E92B23"/>
    <w:rsid w:val="22AC2218"/>
    <w:rsid w:val="23FA49B3"/>
    <w:rsid w:val="2729052F"/>
    <w:rsid w:val="28C14634"/>
    <w:rsid w:val="2EC724D4"/>
    <w:rsid w:val="2EE30257"/>
    <w:rsid w:val="34DA27CE"/>
    <w:rsid w:val="36411DC5"/>
    <w:rsid w:val="36B72533"/>
    <w:rsid w:val="386A38DA"/>
    <w:rsid w:val="3E4E4846"/>
    <w:rsid w:val="4057649F"/>
    <w:rsid w:val="42FC5679"/>
    <w:rsid w:val="450B6AE4"/>
    <w:rsid w:val="4B500612"/>
    <w:rsid w:val="4F4F10AC"/>
    <w:rsid w:val="53B37437"/>
    <w:rsid w:val="54873A1A"/>
    <w:rsid w:val="548D462B"/>
    <w:rsid w:val="56796849"/>
    <w:rsid w:val="568F383B"/>
    <w:rsid w:val="5A19426B"/>
    <w:rsid w:val="5D555EEF"/>
    <w:rsid w:val="5DA95371"/>
    <w:rsid w:val="686F7714"/>
    <w:rsid w:val="6A862BA8"/>
    <w:rsid w:val="6B1D2CDE"/>
    <w:rsid w:val="6DFC1C65"/>
    <w:rsid w:val="743D52CE"/>
    <w:rsid w:val="75FA041F"/>
    <w:rsid w:val="760F49BD"/>
    <w:rsid w:val="76920AAF"/>
    <w:rsid w:val="76E870A0"/>
    <w:rsid w:val="79213C3F"/>
    <w:rsid w:val="7AE40DD7"/>
    <w:rsid w:val="7D595379"/>
    <w:rsid w:val="7EA85AE6"/>
    <w:rsid w:val="7FDC0581"/>
    <w:rsid w:val="7FEC59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6"/>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5">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footer"/>
    <w:basedOn w:val="1"/>
    <w:link w:val="20"/>
    <w:semiHidden/>
    <w:unhideWhenUsed/>
    <w:qFormat/>
    <w:uiPriority w:val="99"/>
    <w:pPr>
      <w:tabs>
        <w:tab w:val="center" w:pos="4153"/>
        <w:tab w:val="right" w:pos="8306"/>
      </w:tabs>
      <w:snapToGrid w:val="0"/>
      <w:jc w:val="left"/>
    </w:pPr>
    <w:rPr>
      <w:sz w:val="18"/>
      <w:szCs w:val="18"/>
    </w:rPr>
  </w:style>
  <w:style w:type="paragraph" w:styleId="8">
    <w:name w:val="header"/>
    <w:basedOn w:val="1"/>
    <w:link w:val="1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0">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11">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4">
    <w:name w:val="Strong"/>
    <w:qFormat/>
    <w:uiPriority w:val="0"/>
    <w:rPr>
      <w:b/>
      <w:bCs/>
    </w:rPr>
  </w:style>
  <w:style w:type="character" w:styleId="15">
    <w:name w:val="Hyperlink"/>
    <w:basedOn w:val="13"/>
    <w:unhideWhenUsed/>
    <w:qFormat/>
    <w:uiPriority w:val="99"/>
    <w:rPr>
      <w:color w:val="0563C1" w:themeColor="hyperlink"/>
      <w:u w:val="single"/>
      <w14:textFill>
        <w14:solidFill>
          <w14:schemeClr w14:val="hlink"/>
        </w14:solidFill>
      </w14:textFill>
    </w:rPr>
  </w:style>
  <w:style w:type="character" w:customStyle="1" w:styleId="16">
    <w:name w:val="标题 1 Char"/>
    <w:basedOn w:val="13"/>
    <w:link w:val="3"/>
    <w:qFormat/>
    <w:uiPriority w:val="9"/>
    <w:rPr>
      <w:rFonts w:ascii="Times New Roman" w:hAnsi="Times New Roman" w:eastAsia="仿宋_GB2312" w:cs="Times New Roman"/>
      <w:b/>
      <w:bCs/>
      <w:kern w:val="44"/>
      <w:sz w:val="44"/>
      <w:szCs w:val="44"/>
    </w:rPr>
  </w:style>
  <w:style w:type="character" w:customStyle="1" w:styleId="17">
    <w:name w:val="标题 2 Char"/>
    <w:basedOn w:val="13"/>
    <w:link w:val="4"/>
    <w:qFormat/>
    <w:uiPriority w:val="9"/>
    <w:rPr>
      <w:rFonts w:asciiTheme="majorHAnsi" w:hAnsiTheme="majorHAnsi" w:eastAsiaTheme="majorEastAsia" w:cstheme="majorBidi"/>
      <w:b/>
      <w:bCs/>
      <w:sz w:val="32"/>
      <w:szCs w:val="32"/>
    </w:rPr>
  </w:style>
  <w:style w:type="paragraph" w:customStyle="1" w:styleId="18">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9">
    <w:name w:val="页眉 Char"/>
    <w:basedOn w:val="13"/>
    <w:link w:val="8"/>
    <w:semiHidden/>
    <w:qFormat/>
    <w:uiPriority w:val="99"/>
    <w:rPr>
      <w:rFonts w:ascii="Times New Roman" w:hAnsi="Times New Roman" w:eastAsia="仿宋_GB2312" w:cs="Times New Roman"/>
      <w:sz w:val="18"/>
      <w:szCs w:val="18"/>
    </w:rPr>
  </w:style>
  <w:style w:type="character" w:customStyle="1" w:styleId="20">
    <w:name w:val="页脚 Char"/>
    <w:basedOn w:val="13"/>
    <w:link w:val="7"/>
    <w:semiHidden/>
    <w:qFormat/>
    <w:uiPriority w:val="99"/>
    <w:rPr>
      <w:rFonts w:ascii="Times New Roman" w:hAnsi="Times New Roman" w:eastAsia="仿宋_GB2312" w:cs="Times New Roman"/>
      <w:sz w:val="18"/>
      <w:szCs w:val="18"/>
    </w:rPr>
  </w:style>
  <w:style w:type="paragraph" w:customStyle="1" w:styleId="21">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24</Pages>
  <Words>5042</Words>
  <Characters>5242</Characters>
  <Lines>37</Lines>
  <Paragraphs>10</Paragraphs>
  <TotalTime>4</TotalTime>
  <ScaleCrop>false</ScaleCrop>
  <LinksUpToDate>false</LinksUpToDate>
  <CharactersWithSpaces>5253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2024-06-12T09:31:24Z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DAFCBB5D8CF84F7F918EEE8924C0041D</vt:lpwstr>
  </property>
</Properties>
</file>