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2" w:name="_GoBack"/>
      <w:bookmarkEnd w:id="22"/>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hint="eastAsia" w:ascii="方正仿宋_GB2312" w:hAnsi="方正仿宋_GB2312" w:eastAsia="方正仿宋_GB2312" w:cs="方正仿宋_GB2312"/>
          <w:b/>
          <w:bCs/>
          <w:kern w:val="0"/>
          <w:sz w:val="48"/>
          <w:szCs w:val="48"/>
        </w:rPr>
      </w:pPr>
      <w:r>
        <w:rPr>
          <w:rFonts w:hint="eastAsia" w:ascii="方正仿宋_GB2312" w:hAnsi="方正仿宋_GB2312" w:eastAsia="方正仿宋_GB2312" w:cs="方正仿宋_GB2312"/>
          <w:b/>
          <w:bCs/>
          <w:kern w:val="0"/>
          <w:sz w:val="48"/>
          <w:szCs w:val="48"/>
        </w:rPr>
        <w:t>村级后备岗补贴项目支出绩效评价</w:t>
      </w:r>
    </w:p>
    <w:p>
      <w:pPr>
        <w:spacing w:line="540" w:lineRule="exact"/>
        <w:jc w:val="center"/>
        <w:rPr>
          <w:rFonts w:hint="eastAsia" w:ascii="方正仿宋_GB2312" w:hAnsi="方正仿宋_GB2312" w:eastAsia="方正仿宋_GB2312" w:cs="方正仿宋_GB2312"/>
          <w:b/>
          <w:bCs/>
          <w:kern w:val="0"/>
          <w:sz w:val="48"/>
          <w:szCs w:val="48"/>
        </w:rPr>
      </w:pPr>
      <w:r>
        <w:rPr>
          <w:rFonts w:hint="eastAsia" w:ascii="方正仿宋_GB2312" w:hAnsi="方正仿宋_GB2312" w:eastAsia="方正仿宋_GB2312" w:cs="方正仿宋_GB2312"/>
          <w:b/>
          <w:bCs/>
          <w:kern w:val="0"/>
          <w:sz w:val="48"/>
          <w:szCs w:val="48"/>
        </w:rPr>
        <w:t>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村级后备岗补贴项目</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伊车嘎善锡伯族乡人民政府</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伊车嘎善锡伯族乡人民政府</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陈晓婷</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11</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ascii="仿宋_GB2312" w:hAnsi="仿宋"/>
          <w:color w:val="auto"/>
          <w:sz w:val="32"/>
          <w:szCs w:val="32"/>
        </w:rPr>
        <w:t>为响应党的二十大提出关于加强基层鲜明导向，抓党建促乡村振兴，加强村委会党建工作，强化为群众</w:t>
      </w:r>
      <w:r>
        <w:rPr>
          <w:rFonts w:hint="eastAsia" w:ascii="仿宋_GB2312" w:hAnsi="仿宋"/>
          <w:color w:val="auto"/>
          <w:sz w:val="32"/>
          <w:szCs w:val="32"/>
          <w:lang w:eastAsia="zh-CN"/>
        </w:rPr>
        <w:t>办实事</w:t>
      </w:r>
      <w:r>
        <w:rPr>
          <w:rFonts w:hint="eastAsia" w:ascii="仿宋_GB2312" w:hAnsi="仿宋"/>
          <w:color w:val="auto"/>
          <w:sz w:val="32"/>
          <w:szCs w:val="32"/>
        </w:rPr>
        <w:t>好事的能力，解决基层人员力量不足问题，增加就业岗位，提高人员收入，提升干部服务能力，增强群众对基层组织的信任度，更好的完成上级部门安排的工作部署，为实现治理基层治理体系和治理能力迈上一个新的台阶。</w:t>
      </w:r>
      <w:r>
        <w:rPr>
          <w:rFonts w:hint="eastAsia" w:ascii="仿宋_GB2312" w:hAnsi="仿宋"/>
          <w:color w:val="auto"/>
          <w:sz w:val="32"/>
          <w:szCs w:val="32"/>
          <w:lang w:val="en-US" w:eastAsia="zh-CN"/>
        </w:rPr>
        <w:t>1、完成本年度全乡13名后备干部工资的发放，全年共计发放完成12次，计划于2023年12月20日前发放完成。保障伊车乡工作的正常开展，按时完成上级部门下达的任务。2、保障基层工作的正常开展。3、不断促进乡村振兴工作持续有效进行，有效提高了后备岗干部工作的积极性，后备岗干部满意度不断提高。</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rPr>
      </w:pPr>
      <w:r>
        <w:rPr>
          <w:rFonts w:hint="eastAsia" w:ascii="仿宋_GB2312"/>
          <w:sz w:val="32"/>
          <w:szCs w:val="32"/>
        </w:rPr>
        <w:t>主要内容：</w:t>
      </w:r>
      <w:r>
        <w:rPr>
          <w:rFonts w:hint="eastAsia" w:ascii="仿宋_GB2312" w:hAnsi="仿宋"/>
          <w:color w:val="auto"/>
          <w:sz w:val="32"/>
          <w:szCs w:val="32"/>
          <w:lang w:val="en-US" w:eastAsia="zh-CN"/>
        </w:rPr>
        <w:t>1、完成本年度全乡13名后备干部工资的发放，全年共计发放完成12次，计划于2023年12月20日前发放完成。保障伊车乡工作的正常开展，按时完成上级部门下达的任务。2、保障基层工作的正常开展。3、不断促进乡村振兴工作持续有效进行，有效提高了后备岗干部工作的积极性，后备岗干部满意度不断提高</w:t>
      </w:r>
      <w:r>
        <w:rPr>
          <w:rFonts w:hint="eastAsia" w:ascii="仿宋_GB2312" w:hAnsi="仿宋"/>
          <w:color w:val="auto"/>
          <w:sz w:val="32"/>
          <w:szCs w:val="32"/>
        </w:rPr>
        <w:t>。</w:t>
      </w:r>
    </w:p>
    <w:p>
      <w:pPr>
        <w:spacing w:line="560" w:lineRule="exact"/>
        <w:ind w:left="318" w:leftChars="106" w:firstLine="320" w:firstLineChars="100"/>
      </w:pPr>
      <w:r>
        <w:rPr>
          <w:rFonts w:hint="eastAsia" w:ascii="仿宋_GB2312"/>
          <w:sz w:val="32"/>
          <w:szCs w:val="32"/>
        </w:rPr>
        <w:t>实施情况：</w:t>
      </w:r>
      <w:r>
        <w:rPr>
          <w:rFonts w:ascii="宋体" w:hAnsi="宋体" w:eastAsia="宋体" w:cs="宋体"/>
          <w:sz w:val="24"/>
          <w:szCs w:val="24"/>
        </w:rPr>
        <w:br w:type="textWrapping"/>
      </w:r>
      <w:r>
        <w:rPr>
          <w:rFonts w:hint="eastAsia" w:eastAsia="仿宋_GB2312"/>
          <w:sz w:val="32"/>
          <w:szCs w:val="32"/>
        </w:rPr>
        <w:t>1、完成本年度全乡13名后备干部工资及社保缴费的发放，保障伊车乡工作的正常开展，按时完成上级部门下达的任务。2、保障基层工作的正常开展。3、不断促进乡村振兴工作持续有效进行，有效提高了后备岗干部工作的积极性，后备岗干部满意度不断提高。</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71.85</w:t>
      </w:r>
      <w:r>
        <w:rPr>
          <w:rFonts w:hint="eastAsia"/>
          <w:color w:val="auto"/>
          <w:sz w:val="32"/>
          <w:szCs w:val="32"/>
        </w:rPr>
        <w:t>万元，全年预算数</w:t>
      </w:r>
      <w:r>
        <w:rPr>
          <w:rFonts w:hint="eastAsia"/>
          <w:color w:val="auto"/>
          <w:sz w:val="32"/>
          <w:szCs w:val="32"/>
          <w:lang w:val="en-US" w:eastAsia="zh-CN"/>
        </w:rPr>
        <w:t>71.85</w:t>
      </w:r>
      <w:r>
        <w:rPr>
          <w:rFonts w:hint="eastAsia"/>
          <w:color w:val="auto"/>
          <w:sz w:val="32"/>
          <w:szCs w:val="32"/>
        </w:rPr>
        <w:t>万元，实际总投入</w:t>
      </w:r>
      <w:r>
        <w:rPr>
          <w:rFonts w:hint="eastAsia"/>
          <w:color w:val="auto"/>
          <w:sz w:val="32"/>
          <w:szCs w:val="32"/>
          <w:lang w:val="en-US" w:eastAsia="zh-CN"/>
        </w:rPr>
        <w:t>67.62</w:t>
      </w:r>
      <w:r>
        <w:rPr>
          <w:rFonts w:hint="eastAsia"/>
          <w:color w:val="auto"/>
          <w:sz w:val="32"/>
          <w:szCs w:val="32"/>
        </w:rPr>
        <w:t>万元，该项目资金落实到位</w:t>
      </w:r>
      <w:r>
        <w:rPr>
          <w:rFonts w:hint="eastAsia"/>
          <w:color w:val="auto"/>
          <w:sz w:val="32"/>
          <w:szCs w:val="32"/>
          <w:lang w:val="en-US" w:eastAsia="zh-CN"/>
        </w:rPr>
        <w:t>67.62</w:t>
      </w:r>
      <w:r>
        <w:rPr>
          <w:rFonts w:hint="eastAsia"/>
          <w:color w:val="auto"/>
          <w:sz w:val="32"/>
          <w:szCs w:val="32"/>
        </w:rPr>
        <w:t>万元，资金来源为</w:t>
      </w:r>
      <w:r>
        <w:rPr>
          <w:rFonts w:hint="eastAsia"/>
          <w:color w:val="auto"/>
          <w:sz w:val="32"/>
          <w:szCs w:val="32"/>
          <w:lang w:val="en-US" w:eastAsia="zh-CN"/>
        </w:rPr>
        <w:t>财政预算资金</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资金使用情况：该项目年初预算数</w:t>
      </w:r>
      <w:r>
        <w:rPr>
          <w:rFonts w:hint="eastAsia"/>
          <w:color w:val="auto"/>
          <w:sz w:val="32"/>
          <w:szCs w:val="32"/>
          <w:lang w:val="en-US" w:eastAsia="zh-CN"/>
        </w:rPr>
        <w:t>71.85</w:t>
      </w:r>
      <w:r>
        <w:rPr>
          <w:rFonts w:hint="eastAsia"/>
          <w:color w:val="auto"/>
          <w:sz w:val="32"/>
          <w:szCs w:val="32"/>
        </w:rPr>
        <w:t>万元，全年预算数</w:t>
      </w:r>
      <w:r>
        <w:rPr>
          <w:rFonts w:hint="eastAsia"/>
          <w:color w:val="auto"/>
          <w:sz w:val="32"/>
          <w:szCs w:val="32"/>
          <w:lang w:val="en-US" w:eastAsia="zh-CN"/>
        </w:rPr>
        <w:t>71.85</w:t>
      </w:r>
      <w:r>
        <w:rPr>
          <w:rFonts w:hint="eastAsia"/>
          <w:color w:val="auto"/>
          <w:sz w:val="32"/>
          <w:szCs w:val="32"/>
        </w:rPr>
        <w:t>万元，全年执行数</w:t>
      </w:r>
      <w:r>
        <w:rPr>
          <w:rFonts w:hint="eastAsia"/>
          <w:color w:val="auto"/>
          <w:sz w:val="32"/>
          <w:szCs w:val="32"/>
          <w:lang w:val="en-US" w:eastAsia="zh-CN"/>
        </w:rPr>
        <w:t>67.62</w:t>
      </w:r>
      <w:r>
        <w:rPr>
          <w:rFonts w:hint="eastAsia"/>
          <w:color w:val="auto"/>
          <w:sz w:val="32"/>
          <w:szCs w:val="32"/>
        </w:rPr>
        <w:t>万元，预算执行率为</w:t>
      </w:r>
      <w:r>
        <w:rPr>
          <w:rFonts w:hint="eastAsia"/>
          <w:color w:val="auto"/>
          <w:sz w:val="32"/>
          <w:szCs w:val="32"/>
          <w:lang w:val="en-US" w:eastAsia="zh-CN"/>
        </w:rPr>
        <w:t>94.11</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val="en-US" w:eastAsia="zh-CN"/>
        </w:rPr>
        <w:t>村级后备岗补贴67.62</w:t>
      </w:r>
      <w:r>
        <w:rPr>
          <w:rFonts w:hint="eastAsia"/>
          <w:color w:val="auto"/>
          <w:sz w:val="32"/>
          <w:szCs w:val="32"/>
        </w:rPr>
        <w:t>万元。</w:t>
      </w:r>
      <w:bookmarkStart w:id="2" w:name="_Toc68703829"/>
    </w:p>
    <w:p>
      <w:pPr>
        <w:spacing w:line="560" w:lineRule="exact"/>
        <w:rPr>
          <w:color w:val="FF0000"/>
          <w:sz w:val="32"/>
          <w:szCs w:val="32"/>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color w:val="auto"/>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ascii="宋体" w:hAnsi="宋体" w:eastAsia="宋体" w:cs="宋体"/>
          <w:sz w:val="24"/>
          <w:szCs w:val="24"/>
        </w:rPr>
        <w:br w:type="textWrapping"/>
      </w:r>
      <w:r>
        <w:rPr>
          <w:rFonts w:hint="eastAsia" w:ascii="宋体" w:hAnsi="宋体" w:eastAsia="宋体" w:cs="宋体"/>
          <w:sz w:val="24"/>
          <w:szCs w:val="24"/>
          <w:lang w:eastAsia="zh-CN"/>
        </w:rPr>
        <w:t>　　　</w:t>
      </w:r>
      <w:r>
        <w:rPr>
          <w:rFonts w:hint="eastAsia"/>
          <w:color w:val="auto"/>
          <w:sz w:val="32"/>
          <w:szCs w:val="32"/>
        </w:rPr>
        <w:t>1、完成本年度全乡13名后备干部工资的发放，全年共计发放完成12次，计划于2023年12月20日前发放完成。保障伊车乡工作的正常开展，按时完成上级部门下达的任务。2、保障基层工作的正常开展。3、不断促进乡村振兴工作持续有效进行，有效提高了后备岗干部工作的积极性，后备岗干部满意度不断提高。</w:t>
      </w:r>
    </w:p>
    <w:p>
      <w:pPr>
        <w:spacing w:line="560" w:lineRule="exact"/>
        <w:rPr>
          <w:rFonts w:hint="eastAsia"/>
          <w:color w:val="auto"/>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cs="Times New Roman"/>
          <w:b w:val="0"/>
          <w:bCs w:val="0"/>
          <w:color w:val="auto"/>
          <w:sz w:val="32"/>
          <w:szCs w:val="32"/>
          <w:lang w:val="en-US" w:eastAsia="zh-CN"/>
        </w:rPr>
        <w:t>每月发放一次</w:t>
      </w:r>
      <w:r>
        <w:rPr>
          <w:rFonts w:hint="eastAsia"/>
          <w:color w:val="auto"/>
          <w:sz w:val="32"/>
          <w:szCs w:val="32"/>
        </w:rPr>
        <w:t>后备干部工资</w:t>
      </w:r>
      <w:r>
        <w:rPr>
          <w:rFonts w:hint="eastAsia" w:cs="Times New Roman"/>
          <w:b w:val="0"/>
          <w:bCs w:val="0"/>
          <w:color w:val="auto"/>
          <w:sz w:val="32"/>
          <w:szCs w:val="32"/>
          <w:lang w:val="en-US" w:eastAsia="zh-CN"/>
        </w:rPr>
        <w:t>，</w:t>
      </w:r>
      <w:r>
        <w:rPr>
          <w:rFonts w:hint="eastAsia"/>
          <w:color w:val="auto"/>
          <w:sz w:val="32"/>
          <w:szCs w:val="32"/>
        </w:rPr>
        <w:t>计划于2023年12月20日前发放完成。保障伊车乡工作的正常开展，按时完成上级部门下达的任务。2、保障基层工作的正常开展。3、不断促进乡村振兴工作持续有效进行，有效提高了后备岗干部工作的积极性，后备岗干部满意度不断提高。</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村级后备岗补贴资金项目所包含的全部项目内容。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rPr>
        <w:t>村级后备岗补贴资金项目</w:t>
      </w:r>
      <w:r>
        <w:rPr>
          <w:rFonts w:hint="eastAsia"/>
          <w:color w:val="auto"/>
          <w:sz w:val="32"/>
          <w:szCs w:val="32"/>
        </w:rPr>
        <w:t>评价，评价核心为资金的支出完成情况和效果。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w:t>
      </w:r>
      <w:r>
        <w:rPr>
          <w:rFonts w:hint="eastAsia"/>
          <w:color w:val="000000"/>
          <w:spacing w:val="17"/>
          <w:sz w:val="32"/>
          <w:szCs w:val="32"/>
          <w:lang w:val="en-US" w:eastAsia="zh-CN"/>
        </w:rPr>
        <w:t>40</w:t>
      </w:r>
      <w:r>
        <w:rPr>
          <w:rFonts w:eastAsia="仿宋_GB2312"/>
          <w:color w:val="000000"/>
          <w:spacing w:val="17"/>
          <w:sz w:val="32"/>
          <w:szCs w:val="32"/>
        </w:rPr>
        <w:t>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bookmarkStart w:id="9" w:name="_Toc68703836"/>
    </w:p>
    <w:p>
      <w:pPr>
        <w:pageBreakBefore w:val="0"/>
        <w:widowControl w:val="0"/>
        <w:numPr>
          <w:ilvl w:val="0"/>
          <w:numId w:val="3"/>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评价结论</w:t>
      </w:r>
      <w:bookmarkEnd w:id="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 99.16分，属于“优（良/中/差）”。其中，项目决策类指标权重为20分，得分为 20分，得分率为 100%。项目过程类指标权重为20分，得分为19.76分，得分率为 98.8%。项目产出类指标权重为40分，得分为39.4分，得分率为 98.5%。项目效益类指标权重为20分，得分为20分，得分率为100%。具体打分情况详见：附件1综合评分表。</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19.76</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39.4</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99.16</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w:t>
      </w:r>
      <w:r>
        <w:rPr>
          <w:rFonts w:hint="eastAsia"/>
          <w:b w:val="0"/>
          <w:bCs w:val="0"/>
          <w:color w:val="auto"/>
          <w:sz w:val="32"/>
          <w:szCs w:val="32"/>
          <w:lang w:val="en-US" w:eastAsia="zh-CN"/>
        </w:rPr>
        <w:t>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19.76</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98.8</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项目资金使用符合相关的财务管理</w:t>
      </w:r>
      <w:r>
        <w:rPr>
          <w:rFonts w:hint="eastAsia" w:ascii="仿宋_GB2312" w:hAnsi="仿宋_GB2312" w:eastAsia="仿宋_GB2312" w:cs="仿宋_GB2312"/>
          <w:sz w:val="32"/>
          <w:szCs w:val="32"/>
          <w:lang w:val="en-US" w:eastAsia="zh-CN"/>
        </w:rPr>
        <w:t>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71.85</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67.62</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94.11</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39.4</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98.5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指标1：发放后备干部工资次数，指标值：</w:t>
      </w:r>
      <w:r>
        <w:rPr>
          <w:rFonts w:hint="eastAsia"/>
          <w:color w:val="auto"/>
          <w:sz w:val="32"/>
          <w:szCs w:val="32"/>
          <w:lang w:eastAsia="zh-CN"/>
        </w:rPr>
        <w:t>&gt;=12次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12</w:t>
      </w:r>
      <w:r>
        <w:rPr>
          <w:rFonts w:hint="eastAsia"/>
          <w:color w:val="auto"/>
          <w:sz w:val="32"/>
          <w:szCs w:val="32"/>
          <w:lang w:eastAsia="zh-CN"/>
        </w:rPr>
        <w:t>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指标2：发放后备干部工资人数，指标值：</w:t>
      </w:r>
      <w:r>
        <w:rPr>
          <w:rFonts w:hint="eastAsia"/>
          <w:color w:val="auto"/>
          <w:sz w:val="32"/>
          <w:szCs w:val="32"/>
          <w:lang w:eastAsia="zh-CN"/>
        </w:rPr>
        <w:t>&gt;=</w:t>
      </w:r>
      <w:r>
        <w:rPr>
          <w:rFonts w:hint="eastAsia"/>
          <w:color w:val="auto"/>
          <w:sz w:val="32"/>
          <w:szCs w:val="32"/>
          <w:lang w:val="en-US" w:eastAsia="zh-CN"/>
        </w:rPr>
        <w:t>13</w:t>
      </w:r>
      <w:r>
        <w:rPr>
          <w:rFonts w:hint="eastAsia"/>
          <w:color w:val="auto"/>
          <w:sz w:val="32"/>
          <w:szCs w:val="32"/>
          <w:lang w:eastAsia="zh-CN"/>
        </w:rPr>
        <w:t>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13</w:t>
      </w:r>
      <w:r>
        <w:rPr>
          <w:rFonts w:hint="eastAsia"/>
          <w:color w:val="auto"/>
          <w:sz w:val="32"/>
          <w:szCs w:val="32"/>
          <w:lang w:eastAsia="zh-CN"/>
        </w:rPr>
        <w:t>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w:t>
      </w:r>
      <w:r>
        <w:rPr>
          <w:rFonts w:hint="eastAsia"/>
          <w:color w:val="auto"/>
          <w:sz w:val="32"/>
          <w:szCs w:val="32"/>
          <w:lang w:eastAsia="zh-CN"/>
        </w:rPr>
        <w:t>发放后备干部工资保障率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val="en-US" w:eastAsia="zh-CN"/>
        </w:rPr>
      </w:pPr>
      <w:bookmarkStart w:id="14" w:name="_Toc68703841"/>
      <w:r>
        <w:rPr>
          <w:rFonts w:hint="eastAsia" w:ascii="仿宋_GB2312" w:hAnsi="仿宋_GB2312" w:eastAsia="仿宋_GB2312" w:cs="仿宋_GB2312"/>
          <w:sz w:val="32"/>
          <w:szCs w:val="32"/>
          <w:highlight w:val="none"/>
          <w:lang w:eastAsia="zh-CN"/>
        </w:rPr>
        <w:t>　</w:t>
      </w: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发放后备干部工资及时率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eastAsia="仿宋_GB2312"/>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人均后备干部工资支出成本</w:t>
      </w:r>
      <w:r>
        <w:rPr>
          <w:rFonts w:hint="eastAsia"/>
          <w:color w:val="auto"/>
          <w:sz w:val="32"/>
          <w:szCs w:val="32"/>
        </w:rPr>
        <w:t>，指标值：</w:t>
      </w:r>
      <w:r>
        <w:rPr>
          <w:rFonts w:hint="eastAsia"/>
          <w:color w:val="auto"/>
          <w:sz w:val="32"/>
          <w:szCs w:val="32"/>
          <w:lang w:eastAsia="zh-CN"/>
        </w:rPr>
        <w:t>&lt;=5.53万元</w:t>
      </w:r>
      <w:r>
        <w:rPr>
          <w:rFonts w:hint="eastAsia"/>
          <w:color w:val="auto"/>
          <w:sz w:val="32"/>
          <w:szCs w:val="32"/>
        </w:rPr>
        <w:t>，实际完成值</w:t>
      </w:r>
      <w:r>
        <w:rPr>
          <w:rFonts w:hint="eastAsia"/>
          <w:color w:val="auto"/>
          <w:sz w:val="32"/>
          <w:szCs w:val="32"/>
          <w:lang w:eastAsia="zh-CN"/>
        </w:rPr>
        <w:t>：5.2万元</w:t>
      </w:r>
      <w:r>
        <w:rPr>
          <w:rFonts w:hint="eastAsia"/>
          <w:color w:val="auto"/>
          <w:sz w:val="32"/>
          <w:szCs w:val="32"/>
        </w:rPr>
        <w:t>，指标完成率</w:t>
      </w:r>
      <w:r>
        <w:rPr>
          <w:rFonts w:hint="eastAsia"/>
          <w:color w:val="auto"/>
          <w:sz w:val="32"/>
          <w:szCs w:val="32"/>
          <w:lang w:val="en-US" w:eastAsia="zh-CN"/>
        </w:rPr>
        <w:t>94</w:t>
      </w:r>
      <w:r>
        <w:rPr>
          <w:rFonts w:hint="eastAsia"/>
          <w:color w:val="auto"/>
          <w:sz w:val="32"/>
          <w:szCs w:val="32"/>
        </w:rPr>
        <w:t>%，偏差原因：相关工作人员经验不足，绩效管理意识不高，对于指标的编制还不够完善</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w:t>
      </w:r>
      <w:r>
        <w:rPr>
          <w:rFonts w:hint="eastAsia" w:ascii="仿宋_GB2312" w:hAnsi="仿宋_GB2312" w:eastAsia="仿宋_GB2312" w:cs="仿宋_GB2312"/>
          <w:sz w:val="32"/>
          <w:szCs w:val="32"/>
          <w:lang w:val="en-US" w:eastAsia="zh-CN"/>
        </w:rPr>
        <w:t>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提升后备干部服务能力</w:t>
      </w:r>
      <w:r>
        <w:rPr>
          <w:rFonts w:hint="eastAsia"/>
          <w:color w:val="auto"/>
          <w:sz w:val="32"/>
          <w:szCs w:val="32"/>
        </w:rPr>
        <w:t>，指标值：</w:t>
      </w:r>
      <w:r>
        <w:rPr>
          <w:rFonts w:hint="eastAsia"/>
          <w:color w:val="auto"/>
          <w:sz w:val="32"/>
          <w:szCs w:val="32"/>
          <w:lang w:eastAsia="zh-CN"/>
        </w:rPr>
        <w:t>有效保障</w:t>
      </w:r>
      <w:r>
        <w:rPr>
          <w:rFonts w:hint="eastAsia"/>
          <w:color w:val="auto"/>
          <w:sz w:val="32"/>
          <w:szCs w:val="32"/>
        </w:rPr>
        <w:t>，实际完成值</w:t>
      </w:r>
      <w:r>
        <w:rPr>
          <w:rFonts w:hint="eastAsia"/>
          <w:color w:val="auto"/>
          <w:sz w:val="32"/>
          <w:szCs w:val="32"/>
          <w:lang w:eastAsia="zh-CN"/>
        </w:rPr>
        <w:t>：有效保障</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pacing w:line="560" w:lineRule="exact"/>
        <w:ind w:firstLine="640" w:firstLineChars="20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后备干部满意度</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eastAsia="仿宋_GB2312" w:cs="仿宋_GB2312"/>
          <w:color w:val="auto"/>
          <w:kern w:val="2"/>
          <w:sz w:val="32"/>
          <w:szCs w:val="32"/>
          <w:lang w:val="en-US" w:eastAsia="zh-CN" w:bidi="ar-SA"/>
        </w:rPr>
        <w:t>村级后备岗补贴项目年初预算</w:t>
      </w:r>
      <w:r>
        <w:rPr>
          <w:rFonts w:hint="eastAsia" w:ascii="仿宋_GB2312" w:hAnsi="仿宋_GB2312" w:cs="仿宋_GB2312"/>
          <w:color w:val="auto"/>
          <w:kern w:val="2"/>
          <w:sz w:val="32"/>
          <w:szCs w:val="32"/>
          <w:lang w:val="en-US" w:eastAsia="zh-CN" w:bidi="ar-SA"/>
        </w:rPr>
        <w:t>71.85</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71.85</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67.62</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94.11</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99.14</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5.03</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原因相关工作人员经验不足，绩效管理意识不高，对于指标的编制还不够完善。</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bookmarkStart w:id="19" w:name="_Toc68703846"/>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eastAsia="黑体" w:cs="Times New Roman"/>
          <w:b w:val="0"/>
          <w:bCs/>
          <w:kern w:val="2"/>
          <w:sz w:val="32"/>
          <w:szCs w:val="32"/>
          <w:lang w:val="en-US" w:eastAsia="zh-CN" w:bidi="ar-SA"/>
        </w:rPr>
      </w:pPr>
      <w:r>
        <w:rPr>
          <w:rFonts w:hint="eastAsia" w:eastAsia="黑体" w:cs="Times New Roman"/>
          <w:b w:val="0"/>
          <w:bCs/>
          <w:kern w:val="2"/>
          <w:sz w:val="32"/>
          <w:szCs w:val="32"/>
          <w:lang w:val="en-US" w:eastAsia="zh-CN" w:bidi="ar-SA"/>
        </w:rPr>
        <w:t>八、其他需要说明的问题</w:t>
      </w:r>
      <w:bookmarkEnd w:id="19"/>
    </w:p>
    <w:p>
      <w:pPr>
        <w:pStyle w:val="3"/>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cs="仿宋_GB2312"/>
          <w:b w:val="0"/>
          <w:bCs w:val="0"/>
          <w:sz w:val="32"/>
          <w:szCs w:val="32"/>
          <w:lang w:eastAsia="zh-CN"/>
        </w:rPr>
      </w:pPr>
      <w:r>
        <w:rPr>
          <w:rFonts w:hint="eastAsia" w:ascii="仿宋_GB2312" w:hAnsi="仿宋_GB2312" w:eastAsia="仿宋_GB2312" w:cs="仿宋_GB2312"/>
          <w:b w:val="0"/>
          <w:bCs w:val="0"/>
          <w:sz w:val="32"/>
          <w:szCs w:val="32"/>
          <w:lang w:eastAsia="zh-Hans"/>
        </w:rPr>
        <w:t>本项目无其他需说明的问题</w:t>
      </w:r>
      <w:r>
        <w:rPr>
          <w:rFonts w:hint="eastAsia" w:ascii="仿宋_GB2312" w:hAnsi="仿宋_GB2312" w:cs="仿宋_GB2312"/>
          <w:b w:val="0"/>
          <w:bCs w:val="0"/>
          <w:sz w:val="32"/>
          <w:szCs w:val="32"/>
          <w:lang w:eastAsia="zh-CN"/>
        </w:rPr>
        <w:t>。</w:t>
      </w:r>
    </w:p>
    <w:p/>
    <w:tbl>
      <w:tblPr>
        <w:tblStyle w:val="11"/>
        <w:tblW w:w="8834" w:type="dxa"/>
        <w:tblInd w:w="0" w:type="dxa"/>
        <w:tblLayout w:type="fixed"/>
        <w:tblCellMar>
          <w:top w:w="0" w:type="dxa"/>
          <w:left w:w="0" w:type="dxa"/>
          <w:bottom w:w="0" w:type="dxa"/>
          <w:right w:w="0" w:type="dxa"/>
        </w:tblCellMar>
      </w:tblPr>
      <w:tblGrid>
        <w:gridCol w:w="695"/>
        <w:gridCol w:w="695"/>
        <w:gridCol w:w="695"/>
        <w:gridCol w:w="695"/>
        <w:gridCol w:w="646"/>
        <w:gridCol w:w="406"/>
        <w:gridCol w:w="966"/>
        <w:gridCol w:w="858"/>
        <w:gridCol w:w="561"/>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项目名称</w:t>
            </w:r>
          </w:p>
        </w:tc>
        <w:tc>
          <w:tcPr>
            <w:tcW w:w="7444"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村级后备岗补贴</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主管部门</w:t>
            </w:r>
          </w:p>
        </w:tc>
        <w:tc>
          <w:tcPr>
            <w:tcW w:w="340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霍尔果斯市伊车嘎善锡伯乡人民政府</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霍尔果斯市伊车嘎善锡伯乡人民政府</w:t>
            </w:r>
          </w:p>
        </w:tc>
      </w:tr>
      <w:tr>
        <w:tblPrEx>
          <w:tblLayout w:type="fixed"/>
          <w:tblCellMar>
            <w:top w:w="0" w:type="dxa"/>
            <w:left w:w="0" w:type="dxa"/>
            <w:bottom w:w="0" w:type="dxa"/>
            <w:right w:w="0" w:type="dxa"/>
          </w:tblCellMar>
        </w:tblPrEx>
        <w:trPr>
          <w:trHeight w:val="276" w:hRule="atLeast"/>
        </w:trPr>
        <w:tc>
          <w:tcPr>
            <w:tcW w:w="13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71.85</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71.85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67.62</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94.11%</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9.41分</w:t>
            </w:r>
          </w:p>
        </w:tc>
      </w:tr>
      <w:tr>
        <w:tblPrEx>
          <w:tblLayout w:type="fixed"/>
          <w:tblCellMar>
            <w:top w:w="0" w:type="dxa"/>
            <w:left w:w="0" w:type="dxa"/>
            <w:bottom w:w="0" w:type="dxa"/>
            <w:right w:w="0" w:type="dxa"/>
          </w:tblCellMar>
        </w:tblPrEx>
        <w:trPr>
          <w:trHeight w:val="638"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71.85</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71.85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67.62</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完成本年度全乡13名后备干部工资的发放，全年共计发放完成12次，计划于2023年12月20日前发放完成。保障伊车乡工作的正常开展，按时完成上级部门下达的任务。2、保障基层工作的正常开展。3、不断促进乡村振兴工作持续有效进行，有效提高了后备岗干部工作的积极性，后备岗干部满意度不断提高。</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完成本年度全乡13名后备干部工资及社保缴费的发放，保障伊车乡工作的正常开展，按时完成上级部门下达的任务。2、保障基层工作的正常开展。3、不断促进乡村振兴工作持续有效进行，有效提高了后备岗干部工作的积极性，后备岗干部满意度不断提高。</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一级指标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二级指标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三级指标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年度指标值</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实际完成值</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产出指标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发放后备干部工资次数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&gt;=12次</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12次</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发放后备干部工资人数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&gt;=13人</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13人</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发放后备干部工资保障率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时效指标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发放后备干部工资及时率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成本指标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人均后备干部工资支出成本</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&lt;=5.53万元</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5.2万元</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18.8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相关工作人员经验不足，绩效管理意识不高，对于指标的编制还不够完善。</w:t>
            </w: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效益指标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提升后备干部服务能力</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有效保障</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有效保障</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满意度指标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满意度指标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后备干部满意度</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95%</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26499_WPSOffice_Level2"/>
      <w:bookmarkStart w:id="21" w:name="_Toc30064_WPSOffice_Level1"/>
      <w:r>
        <w:rPr>
          <w:rFonts w:hint="eastAsia"/>
          <w:b/>
          <w:bCs/>
          <w:sz w:val="28"/>
          <w:szCs w:val="40"/>
          <w:highlight w:val="none"/>
          <w:lang w:val="en-US" w:eastAsia="zh-CN"/>
        </w:rPr>
        <w:t>村级后备岗补贴</w:t>
      </w:r>
      <w:r>
        <w:rPr>
          <w:rFonts w:hint="eastAsia"/>
          <w:b/>
          <w:bCs/>
          <w:sz w:val="28"/>
          <w:szCs w:val="40"/>
          <w:highlight w:val="none"/>
        </w:rPr>
        <w:t>项目</w:t>
      </w:r>
      <w:r>
        <w:rPr>
          <w:rFonts w:hint="eastAsia"/>
          <w:b/>
          <w:bCs/>
          <w:sz w:val="28"/>
          <w:szCs w:val="40"/>
        </w:rPr>
        <w:t>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3.76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B0DCAB5-B141-489F-A157-8DBA5A4DD435}"/>
  </w:font>
  <w:font w:name="黑体">
    <w:panose1 w:val="02010609060101010101"/>
    <w:charset w:val="86"/>
    <w:family w:val="auto"/>
    <w:pitch w:val="default"/>
    <w:sig w:usb0="800002BF" w:usb1="38CF7CFA" w:usb2="00000016" w:usb3="00000000" w:csb0="00040001" w:csb1="00000000"/>
    <w:embedRegular r:id="rId2" w:fontKey="{3D477041-6915-468B-8504-8E31378AD23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738B83D6-19D0-4E49-AF8D-081EBC048373}"/>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仿宋_GB2312">
    <w:altName w:val="仿宋"/>
    <w:panose1 w:val="02000000000000000000"/>
    <w:charset w:val="86"/>
    <w:family w:val="auto"/>
    <w:pitch w:val="default"/>
    <w:sig w:usb0="00000000" w:usb1="00000000" w:usb2="00000012" w:usb3="00000000" w:csb0="00040001" w:csb1="00000000"/>
    <w:embedRegular r:id="rId4" w:fontKey="{6C614CCE-DBF1-4495-BD52-A3D147FFE9F7}"/>
  </w:font>
  <w:font w:name="红豆小标宋简体">
    <w:altName w:val="宋体"/>
    <w:panose1 w:val="02000509000000000000"/>
    <w:charset w:val="86"/>
    <w:family w:val="auto"/>
    <w:pitch w:val="default"/>
    <w:sig w:usb0="00000000" w:usb1="00000000" w:usb2="00000012" w:usb3="00000000" w:csb0="00040001" w:csb1="00000000"/>
    <w:embedRegular r:id="rId5" w:fontKey="{D1B9C4A6-AAB4-4DFD-98CC-3D41D44F4C09}"/>
  </w:font>
  <w:font w:name="楷体_GB2312">
    <w:panose1 w:val="02010609030101010101"/>
    <w:charset w:val="86"/>
    <w:family w:val="auto"/>
    <w:pitch w:val="default"/>
    <w:sig w:usb0="00000001" w:usb1="080E0000" w:usb2="00000000" w:usb3="00000000" w:csb0="00040000" w:csb1="00000000"/>
    <w:embedRegular r:id="rId6" w:fontKey="{9AE1CC45-356E-44FD-BC7E-436274EB0BA8}"/>
  </w:font>
  <w:font w:name="仿宋">
    <w:panose1 w:val="02010609060101010101"/>
    <w:charset w:val="86"/>
    <w:family w:val="modern"/>
    <w:pitch w:val="default"/>
    <w:sig w:usb0="800002BF" w:usb1="38CF7CFA" w:usb2="00000016" w:usb3="00000000" w:csb0="00040001" w:csb1="00000000"/>
    <w:embedRegular r:id="rId7" w:fontKey="{738E8D2A-217B-43A3-A05E-D253869808CE}"/>
  </w:font>
  <w:font w:name="方正仿宋_GBK">
    <w:panose1 w:val="02000000000000000000"/>
    <w:charset w:val="86"/>
    <w:family w:val="auto"/>
    <w:pitch w:val="default"/>
    <w:sig w:usb0="00000000" w:usb1="00000000" w:usb2="00000000" w:usb3="00000000" w:csb0="00000000" w:csb1="00000000"/>
    <w:embedRegular r:id="rId8" w:fontKey="{16C39010-854B-4DA2-80A9-CAFBEDDF5E6C}"/>
  </w:font>
  <w:font w:name="楷体">
    <w:panose1 w:val="02010609060101010101"/>
    <w:charset w:val="86"/>
    <w:family w:val="modern"/>
    <w:pitch w:val="default"/>
    <w:sig w:usb0="800002BF" w:usb1="38CF7CFA" w:usb2="00000016" w:usb3="00000000" w:csb0="00040001" w:csb1="00000000"/>
    <w:embedRegular r:id="rId9" w:fontKey="{7639E13E-6B44-4BF7-8E0C-D9210BED9F71}"/>
  </w:font>
  <w:font w:name="方正小标宋简体">
    <w:panose1 w:val="02000000000000000000"/>
    <w:charset w:val="86"/>
    <w:family w:val="auto"/>
    <w:pitch w:val="default"/>
    <w:sig w:usb0="A00002BF" w:usb1="184F6CFA" w:usb2="00000012" w:usb3="00000000" w:csb0="00040001" w:csb1="00000000"/>
    <w:embedRegular r:id="rId10" w:fontKey="{537C86AB-EB71-4BD7-B790-6013DBB76D38}"/>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3D9F5852"/>
    <w:multiLevelType w:val="singleLevel"/>
    <w:tmpl w:val="3D9F5852"/>
    <w:lvl w:ilvl="0" w:tentative="0">
      <w:start w:val="2"/>
      <w:numFmt w:val="chineseCounting"/>
      <w:suff w:val="nothing"/>
      <w:lvlText w:val="（%1）"/>
      <w:lvlJc w:val="left"/>
      <w:rPr>
        <w:rFonts w:hint="eastAsia"/>
      </w:r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E3E23D4"/>
    <w:rsid w:val="0F2A6BF7"/>
    <w:rsid w:val="109627EE"/>
    <w:rsid w:val="17136327"/>
    <w:rsid w:val="178B5B00"/>
    <w:rsid w:val="181871E2"/>
    <w:rsid w:val="19166846"/>
    <w:rsid w:val="1DBC7ED6"/>
    <w:rsid w:val="20E92B23"/>
    <w:rsid w:val="22AC2218"/>
    <w:rsid w:val="2729052F"/>
    <w:rsid w:val="28C14634"/>
    <w:rsid w:val="2DDC399E"/>
    <w:rsid w:val="2E161159"/>
    <w:rsid w:val="2E6B7B48"/>
    <w:rsid w:val="2EC724D4"/>
    <w:rsid w:val="2EE30257"/>
    <w:rsid w:val="309A5E3E"/>
    <w:rsid w:val="34DA27CE"/>
    <w:rsid w:val="35520826"/>
    <w:rsid w:val="36411DC5"/>
    <w:rsid w:val="36B72533"/>
    <w:rsid w:val="3925710A"/>
    <w:rsid w:val="3D895D82"/>
    <w:rsid w:val="4057649F"/>
    <w:rsid w:val="40D318DD"/>
    <w:rsid w:val="450B6AE4"/>
    <w:rsid w:val="54873A1A"/>
    <w:rsid w:val="56796849"/>
    <w:rsid w:val="568F383B"/>
    <w:rsid w:val="5D555EEF"/>
    <w:rsid w:val="5D89352C"/>
    <w:rsid w:val="5DA95371"/>
    <w:rsid w:val="60277BAD"/>
    <w:rsid w:val="62C03875"/>
    <w:rsid w:val="65EC1827"/>
    <w:rsid w:val="686F7714"/>
    <w:rsid w:val="6A862BA8"/>
    <w:rsid w:val="6DFC1C65"/>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9477</Words>
  <Characters>9887</Characters>
  <Lines>37</Lines>
  <Paragraphs>10</Paragraphs>
  <TotalTime>4</TotalTime>
  <ScaleCrop>false</ScaleCrop>
  <LinksUpToDate>false</LinksUpToDate>
  <CharactersWithSpaces>9959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2026-07-02T08:10:36Z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579E9C79A7494FA5B07AE435C15A2DF1_13</vt:lpwstr>
  </property>
</Properties>
</file>