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bookmarkStart w:id="22" w:name="_GoBack"/>
      <w:bookmarkEnd w:id="22"/>
    </w:p>
    <w:p>
      <w:pPr>
        <w:jc w:val="center"/>
        <w:rPr>
          <w:rFonts w:ascii="宋体" w:hAnsi="宋体" w:eastAsia="宋体" w:cs="Arial"/>
          <w:b/>
          <w:bCs/>
          <w:sz w:val="48"/>
          <w:szCs w:val="48"/>
        </w:rPr>
      </w:pPr>
    </w:p>
    <w:p>
      <w:pPr>
        <w:jc w:val="center"/>
        <w:rPr>
          <w:rFonts w:ascii="宋体" w:hAnsi="宋体" w:eastAsia="宋体" w:cs="Arial"/>
          <w:b/>
          <w:bCs/>
          <w:sz w:val="48"/>
          <w:szCs w:val="48"/>
        </w:rPr>
      </w:pPr>
    </w:p>
    <w:p>
      <w:pPr>
        <w:spacing w:line="540" w:lineRule="exact"/>
        <w:jc w:val="center"/>
        <w:rPr>
          <w:rFonts w:eastAsia="方正小标宋_GBK"/>
          <w:kern w:val="0"/>
          <w:sz w:val="48"/>
          <w:szCs w:val="48"/>
        </w:rPr>
      </w:pPr>
      <w:r>
        <w:rPr>
          <w:rFonts w:hint="eastAsia" w:eastAsia="方正小标宋_GBK"/>
          <w:kern w:val="0"/>
          <w:sz w:val="48"/>
          <w:szCs w:val="48"/>
        </w:rPr>
        <w:t>农村“四老人员”补助</w:t>
      </w:r>
      <w:r>
        <w:rPr>
          <w:rFonts w:eastAsia="方正小标宋_GBK"/>
          <w:kern w:val="0"/>
          <w:sz w:val="48"/>
          <w:szCs w:val="48"/>
        </w:rPr>
        <w:t>资金项目支出绩效评价报告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3</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jc w:val="both"/>
        <w:rPr>
          <w:rFonts w:hint="eastAsia" w:ascii="宋体" w:hAnsi="宋体" w:eastAsia="宋体" w:cs="仿宋_GB2312"/>
          <w:b/>
          <w:bCs/>
          <w:color w:val="000000"/>
          <w:kern w:val="0"/>
          <w:sz w:val="32"/>
          <w:szCs w:val="32"/>
          <w:lang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项目名称：</w:t>
      </w:r>
      <w:r>
        <w:rPr>
          <w:rFonts w:hint="eastAsia" w:ascii="宋体" w:hAnsi="宋体" w:eastAsia="宋体" w:cs="仿宋_GB2312"/>
          <w:b/>
          <w:bCs/>
          <w:color w:val="000000"/>
          <w:kern w:val="0"/>
          <w:sz w:val="32"/>
          <w:szCs w:val="32"/>
          <w:lang w:eastAsia="zh-CN"/>
        </w:rPr>
        <w:t>农村“四老人员”补助资金项目</w:t>
      </w:r>
    </w:p>
    <w:p>
      <w:pPr>
        <w:spacing w:line="560" w:lineRule="exact"/>
        <w:jc w:val="both"/>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实施单位（公章）：</w:t>
      </w:r>
      <w:r>
        <w:rPr>
          <w:rFonts w:hint="eastAsia" w:ascii="宋体" w:hAnsi="宋体" w:eastAsia="宋体" w:cs="仿宋_GB2312"/>
          <w:b/>
          <w:bCs/>
          <w:color w:val="000000"/>
          <w:kern w:val="0"/>
          <w:sz w:val="32"/>
          <w:szCs w:val="32"/>
          <w:lang w:val="en-US" w:eastAsia="zh-CN"/>
        </w:rPr>
        <w:t>伊车嘎善锡伯族乡人民政府</w:t>
      </w:r>
    </w:p>
    <w:p>
      <w:pPr>
        <w:spacing w:line="560" w:lineRule="exact"/>
        <w:jc w:val="both"/>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主管部门（公章）：</w:t>
      </w:r>
      <w:r>
        <w:rPr>
          <w:rFonts w:hint="eastAsia" w:ascii="宋体" w:hAnsi="宋体" w:eastAsia="宋体" w:cs="仿宋_GB2312"/>
          <w:b/>
          <w:bCs/>
          <w:color w:val="000000"/>
          <w:kern w:val="0"/>
          <w:sz w:val="32"/>
          <w:szCs w:val="32"/>
          <w:lang w:val="en-US" w:eastAsia="zh-CN"/>
        </w:rPr>
        <w:t>霍尔果斯市人民政府</w:t>
      </w:r>
    </w:p>
    <w:p>
      <w:pPr>
        <w:spacing w:line="560" w:lineRule="exact"/>
        <w:ind w:firstLine="321" w:firstLineChars="100"/>
        <w:jc w:val="both"/>
        <w:rPr>
          <w:rFonts w:hint="eastAsia"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bCs/>
          <w:color w:val="000000"/>
          <w:kern w:val="0"/>
          <w:sz w:val="32"/>
          <w:szCs w:val="32"/>
          <w:lang w:val="en-US" w:eastAsia="zh-CN"/>
        </w:rPr>
        <w:t>陈晓婷</w:t>
      </w:r>
    </w:p>
    <w:p>
      <w:pPr>
        <w:spacing w:line="560" w:lineRule="exact"/>
        <w:ind w:firstLine="321" w:firstLineChars="100"/>
        <w:jc w:val="both"/>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年</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月</w:t>
      </w:r>
      <w:r>
        <w:rPr>
          <w:rFonts w:hint="eastAsia" w:ascii="宋体" w:hAnsi="宋体" w:eastAsia="宋体" w:cs="仿宋_GB2312"/>
          <w:color w:val="000000"/>
          <w:kern w:val="0"/>
          <w:sz w:val="32"/>
          <w:szCs w:val="32"/>
          <w:lang w:val="en-US" w:eastAsia="zh-CN"/>
        </w:rPr>
        <w:t>11</w:t>
      </w:r>
      <w:r>
        <w:rPr>
          <w:rFonts w:hint="eastAsia" w:ascii="宋体" w:hAnsi="宋体" w:eastAsia="宋体" w:cs="仿宋_GB2312"/>
          <w:color w:val="000000"/>
          <w:kern w:val="0"/>
          <w:sz w:val="32"/>
          <w:szCs w:val="32"/>
        </w:rPr>
        <w:t>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numPr>
          <w:ilvl w:val="0"/>
          <w:numId w:val="1"/>
        </w:numPr>
        <w:spacing w:line="560" w:lineRule="exact"/>
        <w:rPr>
          <w:rFonts w:hint="eastAsia" w:ascii="Times New Roman" w:hAnsi="Times New Roman" w:eastAsia="黑体" w:cs="Times New Roman"/>
          <w:bCs/>
          <w:sz w:val="32"/>
          <w:szCs w:val="32"/>
        </w:rPr>
      </w:pPr>
      <w:bookmarkStart w:id="0" w:name="_Toc68703827"/>
      <w:r>
        <w:rPr>
          <w:rFonts w:hint="eastAsia" w:ascii="Times New Roman" w:hAnsi="Times New Roman" w:eastAsia="黑体" w:cs="Times New Roman"/>
          <w:bCs/>
          <w:sz w:val="32"/>
          <w:szCs w:val="32"/>
        </w:rPr>
        <w:t>基本情况</w:t>
      </w:r>
      <w:bookmarkEnd w:id="0"/>
      <w:bookmarkStart w:id="1" w:name="_Toc68703828"/>
    </w:p>
    <w:p>
      <w:pPr>
        <w:numPr>
          <w:ilvl w:val="0"/>
          <w:numId w:val="0"/>
        </w:num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（一）</w:t>
      </w:r>
      <w:r>
        <w:rPr>
          <w:rFonts w:hint="eastAsia" w:ascii="Times New Roman" w:hAnsi="Times New Roman" w:eastAsia="楷体_GB2312" w:cs="Times New Roman"/>
          <w:b/>
          <w:bCs/>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lang w:eastAsia="zh-CN"/>
        </w:rPr>
      </w:pPr>
      <w:r>
        <w:rPr>
          <w:rFonts w:hint="eastAsia" w:ascii="Times New Roman" w:hAnsi="Times New Roman" w:cs="Times New Roman"/>
          <w:b w:val="0"/>
          <w:bCs w:val="0"/>
          <w:sz w:val="32"/>
          <w:szCs w:val="32"/>
          <w:lang w:val="en-US" w:eastAsia="zh-CN"/>
        </w:rPr>
        <w:t>　</w:t>
      </w:r>
      <w:r>
        <w:rPr>
          <w:rFonts w:hint="eastAsia" w:ascii="Times New Roman" w:hAnsi="Times New Roman" w:eastAsia="仿宋_GB2312" w:cs="Times New Roman"/>
          <w:b w:val="0"/>
          <w:bCs w:val="0"/>
          <w:sz w:val="32"/>
          <w:szCs w:val="32"/>
          <w:lang w:val="en-US" w:eastAsia="zh-CN"/>
        </w:rPr>
        <w:t>1.项目背景：</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FF0000"/>
          <w:sz w:val="32"/>
          <w:szCs w:val="32"/>
        </w:rPr>
      </w:pPr>
      <w:r>
        <w:rPr>
          <w:rFonts w:hint="eastAsia" w:ascii="仿宋_GB2312" w:hAnsi="仿宋"/>
          <w:color w:val="auto"/>
          <w:sz w:val="32"/>
          <w:szCs w:val="32"/>
        </w:rPr>
        <w:t>为响应党的二十大提出关于加强基层鲜明导向，抓党建促乡村振兴，加强村委会党建工作，强化为群众</w:t>
      </w:r>
      <w:r>
        <w:rPr>
          <w:rFonts w:hint="eastAsia" w:ascii="仿宋_GB2312" w:hAnsi="仿宋"/>
          <w:color w:val="auto"/>
          <w:sz w:val="32"/>
          <w:szCs w:val="32"/>
          <w:lang w:eastAsia="zh-CN"/>
        </w:rPr>
        <w:t>办实事</w:t>
      </w:r>
      <w:r>
        <w:rPr>
          <w:rFonts w:hint="eastAsia" w:ascii="仿宋_GB2312" w:hAnsi="仿宋"/>
          <w:color w:val="auto"/>
          <w:sz w:val="32"/>
          <w:szCs w:val="32"/>
        </w:rPr>
        <w:t>好事的能力，解决基层人员力量不足问题，增加就业岗位，提高人员收入，提升干部服务能力，增强群众对基层组织的信任度，更好的完成上级部门安排的工作部署，为实现治理基层治理体系和治理能力迈上一个新的台阶。</w:t>
      </w:r>
      <w:r>
        <w:rPr>
          <w:rFonts w:hint="eastAsia" w:ascii="仿宋_GB2312" w:hAnsi="仿宋"/>
          <w:color w:val="auto"/>
          <w:sz w:val="32"/>
          <w:szCs w:val="32"/>
          <w:lang w:val="en-US" w:eastAsia="zh-CN"/>
        </w:rPr>
        <w:t>1、</w:t>
      </w:r>
      <w:r>
        <w:rPr>
          <w:rFonts w:hint="eastAsia" w:ascii="仿宋_GB2312" w:hAnsi="仿宋"/>
          <w:color w:val="auto"/>
          <w:sz w:val="32"/>
          <w:szCs w:val="32"/>
        </w:rPr>
        <w:t>完成本年度全乡119人四老人员补贴的发放，全年共计发放完成12次，计划于2023年12月20日前发放完成。保障伊车乡工作的正常开展，按时完成上级部门下达的任务。2、保障基层工作的正常开展。3、不断促进乡村振兴工作有效进行，提高四老人员生活质量。</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eastAsia="zh-CN"/>
        </w:rPr>
      </w:pPr>
      <w:r>
        <w:rPr>
          <w:rFonts w:hint="eastAsia" w:ascii="Times New Roman" w:hAnsi="Times New Roman" w:cs="Times New Roman"/>
          <w:b w:val="0"/>
          <w:bCs w:val="0"/>
          <w:sz w:val="32"/>
          <w:szCs w:val="32"/>
          <w:lang w:eastAsia="zh-CN"/>
        </w:rPr>
        <w:t>　</w:t>
      </w:r>
      <w:r>
        <w:rPr>
          <w:rFonts w:hint="eastAsia" w:ascii="Times New Roman" w:hAnsi="Times New Roman" w:eastAsia="仿宋_GB2312" w:cs="Times New Roman"/>
          <w:b w:val="0"/>
          <w:bCs w:val="0"/>
          <w:sz w:val="32"/>
          <w:szCs w:val="32"/>
          <w:lang w:eastAsia="zh-CN"/>
        </w:rPr>
        <w:t>2</w:t>
      </w:r>
      <w:r>
        <w:rPr>
          <w:rFonts w:hint="eastAsia"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eastAsia="zh-CN"/>
        </w:rPr>
        <w:t>主要内容及实施情况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color w:val="FF0000"/>
          <w:sz w:val="32"/>
          <w:szCs w:val="32"/>
        </w:rPr>
      </w:pPr>
      <w:r>
        <w:rPr>
          <w:rFonts w:hint="eastAsia" w:ascii="仿宋_GB2312"/>
          <w:sz w:val="32"/>
          <w:szCs w:val="32"/>
        </w:rPr>
        <w:t>主要内容：</w:t>
      </w:r>
      <w:r>
        <w:rPr>
          <w:rFonts w:hint="eastAsia" w:ascii="仿宋_GB2312" w:hAnsi="仿宋"/>
          <w:color w:val="auto"/>
          <w:sz w:val="32"/>
          <w:szCs w:val="32"/>
          <w:lang w:val="en-US" w:eastAsia="zh-CN"/>
        </w:rPr>
        <w:t>1、</w:t>
      </w:r>
      <w:r>
        <w:rPr>
          <w:rFonts w:hint="eastAsia" w:ascii="仿宋_GB2312" w:hAnsi="仿宋"/>
          <w:color w:val="auto"/>
          <w:sz w:val="32"/>
          <w:szCs w:val="32"/>
        </w:rPr>
        <w:t>完成本年度全乡119人四老人员补贴的发放，全年共计发放完成12次，计划于2023年12月20日前发放完成。保障伊车乡工作的正常开展，按时完成上级部门下达的任务。2、保障基层工作的正常开展。3、不断促进乡村振兴工作有效进行，提高四老人员生活质量。</w:t>
      </w:r>
    </w:p>
    <w:p>
      <w:pPr>
        <w:keepNext w:val="0"/>
        <w:keepLines w:val="0"/>
        <w:pageBreakBefore w:val="0"/>
        <w:widowControl w:val="0"/>
        <w:kinsoku/>
        <w:wordWrap/>
        <w:overflowPunct/>
        <w:topLinePunct w:val="0"/>
        <w:autoSpaceDE/>
        <w:autoSpaceDN/>
        <w:bidi w:val="0"/>
        <w:adjustRightInd/>
        <w:snapToGrid/>
        <w:spacing w:line="560" w:lineRule="exact"/>
        <w:ind w:left="318" w:leftChars="106" w:firstLine="0" w:firstLineChars="0"/>
        <w:jc w:val="left"/>
        <w:textAlignment w:val="auto"/>
        <w:rPr>
          <w:rFonts w:hint="eastAsia" w:ascii="仿宋_GB2312"/>
          <w:sz w:val="32"/>
          <w:szCs w:val="32"/>
        </w:rPr>
      </w:pPr>
      <w:r>
        <w:rPr>
          <w:rFonts w:hint="eastAsia" w:ascii="仿宋_GB2312"/>
          <w:sz w:val="32"/>
          <w:szCs w:val="32"/>
        </w:rPr>
        <w:t>实施情况：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color w:val="auto"/>
          <w:sz w:val="32"/>
          <w:szCs w:val="32"/>
        </w:rPr>
      </w:pPr>
      <w:r>
        <w:rPr>
          <w:rFonts w:hint="eastAsia" w:ascii="仿宋_GB2312" w:hAnsi="仿宋"/>
          <w:color w:val="auto"/>
          <w:sz w:val="32"/>
          <w:szCs w:val="32"/>
        </w:rPr>
        <w:t>完成全乡112名四老人员补贴的发放，大大提高了四老人员的生活保障，提升了对政府工作的高度认可，不断保障基层工作有序开展。</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cs="Times New Roman"/>
          <w:b w:val="0"/>
          <w:bCs w:val="0"/>
          <w:sz w:val="32"/>
          <w:szCs w:val="32"/>
          <w:lang w:eastAsia="zh-CN"/>
        </w:rPr>
      </w:pPr>
      <w:r>
        <w:rPr>
          <w:rFonts w:hint="eastAsia" w:ascii="Times New Roman" w:hAnsi="Times New Roman" w:cs="Times New Roman"/>
          <w:b w:val="0"/>
          <w:bCs w:val="0"/>
          <w:sz w:val="32"/>
          <w:szCs w:val="32"/>
          <w:lang w:eastAsia="zh-CN"/>
        </w:rPr>
        <w:t>　3</w:t>
      </w:r>
      <w:r>
        <w:rPr>
          <w:rFonts w:hint="eastAsia" w:ascii="Times New Roman" w:hAnsi="Times New Roman" w:cs="Times New Roman"/>
          <w:b w:val="0"/>
          <w:bCs w:val="0"/>
          <w:sz w:val="32"/>
          <w:szCs w:val="32"/>
          <w:lang w:val="en-US" w:eastAsia="zh-CN"/>
        </w:rPr>
        <w:t>.</w:t>
      </w:r>
      <w:r>
        <w:rPr>
          <w:rFonts w:hint="eastAsia" w:ascii="Times New Roman" w:hAnsi="Times New Roman" w:cs="Times New Roman"/>
          <w:b w:val="0"/>
          <w:bCs w:val="0"/>
          <w:sz w:val="32"/>
          <w:szCs w:val="32"/>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sz w:val="32"/>
          <w:szCs w:val="32"/>
        </w:rPr>
        <w:t>资金投入情况：</w:t>
      </w:r>
      <w:r>
        <w:rPr>
          <w:rFonts w:hint="eastAsia"/>
          <w:color w:val="auto"/>
          <w:sz w:val="32"/>
          <w:szCs w:val="32"/>
        </w:rPr>
        <w:t>该项目年初预算数</w:t>
      </w:r>
      <w:r>
        <w:rPr>
          <w:rFonts w:hint="eastAsia"/>
          <w:color w:val="auto"/>
          <w:sz w:val="32"/>
          <w:szCs w:val="32"/>
          <w:lang w:val="en-US" w:eastAsia="zh-CN"/>
        </w:rPr>
        <w:t>150.65</w:t>
      </w:r>
      <w:r>
        <w:rPr>
          <w:rFonts w:hint="eastAsia"/>
          <w:color w:val="auto"/>
          <w:sz w:val="32"/>
          <w:szCs w:val="32"/>
        </w:rPr>
        <w:t>万元，全年预算数</w:t>
      </w:r>
      <w:r>
        <w:rPr>
          <w:rFonts w:hint="eastAsia"/>
          <w:color w:val="auto"/>
          <w:sz w:val="32"/>
          <w:szCs w:val="32"/>
          <w:lang w:val="en-US" w:eastAsia="zh-CN"/>
        </w:rPr>
        <w:t>150.65</w:t>
      </w:r>
      <w:r>
        <w:rPr>
          <w:rFonts w:hint="eastAsia"/>
          <w:color w:val="auto"/>
          <w:sz w:val="32"/>
          <w:szCs w:val="32"/>
        </w:rPr>
        <w:t>万元，实际总投入</w:t>
      </w:r>
      <w:r>
        <w:rPr>
          <w:rFonts w:hint="eastAsia"/>
          <w:color w:val="auto"/>
          <w:sz w:val="32"/>
          <w:szCs w:val="32"/>
          <w:lang w:val="en-US" w:eastAsia="zh-CN"/>
        </w:rPr>
        <w:t>145.35</w:t>
      </w:r>
      <w:r>
        <w:rPr>
          <w:rFonts w:hint="eastAsia"/>
          <w:color w:val="auto"/>
          <w:sz w:val="32"/>
          <w:szCs w:val="32"/>
        </w:rPr>
        <w:t>万元，该项目资金落实到位</w:t>
      </w:r>
      <w:r>
        <w:rPr>
          <w:rFonts w:hint="eastAsia"/>
          <w:color w:val="auto"/>
          <w:sz w:val="32"/>
          <w:szCs w:val="32"/>
          <w:lang w:val="en-US" w:eastAsia="zh-CN"/>
        </w:rPr>
        <w:t>145.35</w:t>
      </w:r>
      <w:r>
        <w:rPr>
          <w:rFonts w:hint="eastAsia"/>
          <w:color w:val="auto"/>
          <w:sz w:val="32"/>
          <w:szCs w:val="32"/>
        </w:rPr>
        <w:t>万元，资金来源为</w:t>
      </w:r>
      <w:r>
        <w:rPr>
          <w:rFonts w:hint="eastAsia"/>
          <w:color w:val="auto"/>
          <w:sz w:val="32"/>
          <w:szCs w:val="32"/>
          <w:lang w:val="en-US" w:eastAsia="zh-CN"/>
        </w:rPr>
        <w:t>财政预算资金</w:t>
      </w:r>
      <w:r>
        <w:rPr>
          <w:rFonts w:hint="eastAsia"/>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hint="eastAsia"/>
          <w:color w:val="auto"/>
          <w:sz w:val="32"/>
          <w:szCs w:val="32"/>
        </w:rPr>
        <w:t>资金使用情况：该项目年初预算数</w:t>
      </w:r>
      <w:r>
        <w:rPr>
          <w:rFonts w:hint="eastAsia"/>
          <w:color w:val="auto"/>
          <w:sz w:val="32"/>
          <w:szCs w:val="32"/>
          <w:lang w:val="en-US" w:eastAsia="zh-CN"/>
        </w:rPr>
        <w:t>150.65</w:t>
      </w:r>
      <w:r>
        <w:rPr>
          <w:rFonts w:hint="eastAsia"/>
          <w:color w:val="auto"/>
          <w:sz w:val="32"/>
          <w:szCs w:val="32"/>
        </w:rPr>
        <w:t>万元，全年预算数</w:t>
      </w:r>
      <w:r>
        <w:rPr>
          <w:rFonts w:hint="eastAsia"/>
          <w:color w:val="auto"/>
          <w:sz w:val="32"/>
          <w:szCs w:val="32"/>
          <w:lang w:val="en-US" w:eastAsia="zh-CN"/>
        </w:rPr>
        <w:t>150.65</w:t>
      </w:r>
      <w:r>
        <w:rPr>
          <w:rFonts w:hint="eastAsia"/>
          <w:color w:val="auto"/>
          <w:sz w:val="32"/>
          <w:szCs w:val="32"/>
        </w:rPr>
        <w:t>万元，全年执行数</w:t>
      </w:r>
      <w:r>
        <w:rPr>
          <w:rFonts w:hint="eastAsia"/>
          <w:color w:val="auto"/>
          <w:sz w:val="32"/>
          <w:szCs w:val="32"/>
          <w:lang w:val="en-US" w:eastAsia="zh-CN"/>
        </w:rPr>
        <w:t>145.35</w:t>
      </w:r>
      <w:r>
        <w:rPr>
          <w:rFonts w:hint="eastAsia"/>
          <w:color w:val="auto"/>
          <w:sz w:val="32"/>
          <w:szCs w:val="32"/>
        </w:rPr>
        <w:t>万元，预算执行率为</w:t>
      </w:r>
      <w:r>
        <w:rPr>
          <w:rFonts w:hint="eastAsia"/>
          <w:color w:val="auto"/>
          <w:sz w:val="32"/>
          <w:szCs w:val="32"/>
          <w:lang w:val="en-US" w:eastAsia="zh-CN"/>
        </w:rPr>
        <w:t>96.48</w:t>
      </w:r>
      <w:r>
        <w:rPr>
          <w:rFonts w:hint="eastAsia"/>
          <w:color w:val="auto"/>
          <w:sz w:val="32"/>
          <w:szCs w:val="32"/>
        </w:rPr>
        <w:t>%，</w:t>
      </w:r>
      <w:r>
        <w:rPr>
          <w:rFonts w:hint="eastAsia"/>
          <w:color w:val="auto"/>
          <w:sz w:val="32"/>
          <w:szCs w:val="32"/>
          <w:lang w:eastAsia="zh-CN"/>
        </w:rPr>
        <w:t>主要</w:t>
      </w:r>
      <w:r>
        <w:rPr>
          <w:rFonts w:hint="eastAsia"/>
          <w:color w:val="auto"/>
          <w:sz w:val="32"/>
          <w:szCs w:val="32"/>
        </w:rPr>
        <w:t>用于：</w:t>
      </w:r>
      <w:r>
        <w:rPr>
          <w:rFonts w:hint="eastAsia"/>
          <w:color w:val="auto"/>
          <w:sz w:val="32"/>
          <w:szCs w:val="32"/>
          <w:lang w:val="en-US" w:eastAsia="zh-CN"/>
        </w:rPr>
        <w:t>四老人员补助145.35</w:t>
      </w:r>
      <w:r>
        <w:rPr>
          <w:rFonts w:hint="eastAsia"/>
          <w:color w:val="auto"/>
          <w:sz w:val="32"/>
          <w:szCs w:val="32"/>
        </w:rPr>
        <w:t>万元。</w:t>
      </w:r>
      <w:bookmarkStart w:id="2" w:name="_Toc68703829"/>
    </w:p>
    <w:p>
      <w:pPr>
        <w:spacing w:line="560" w:lineRule="exact"/>
        <w:rPr>
          <w:color w:val="FF0000"/>
          <w:sz w:val="32"/>
          <w:szCs w:val="32"/>
        </w:rPr>
      </w:pPr>
      <w:r>
        <w:rPr>
          <w:rFonts w:hint="eastAsia" w:ascii="Times New Roman" w:hAnsi="Times New Roman" w:eastAsia="楷体_GB2312" w:cs="Times New Roman"/>
          <w:b/>
          <w:bCs/>
          <w:sz w:val="32"/>
          <w:szCs w:val="32"/>
          <w:lang w:eastAsia="zh-CN"/>
        </w:rPr>
        <w:t>（二）项目绩效目标</w:t>
      </w:r>
      <w:bookmarkEnd w:id="2"/>
    </w:p>
    <w:p>
      <w:pPr>
        <w:keepNext w:val="0"/>
        <w:keepLines w:val="0"/>
        <w:pageBreakBefore w:val="0"/>
        <w:widowControl w:val="0"/>
        <w:kinsoku/>
        <w:wordWrap/>
        <w:overflowPunct/>
        <w:topLinePunct w:val="0"/>
        <w:autoSpaceDE/>
        <w:autoSpaceDN/>
        <w:bidi w:val="0"/>
        <w:adjustRightInd/>
        <w:snapToGrid/>
        <w:spacing w:line="560" w:lineRule="exact"/>
        <w:textAlignment w:val="auto"/>
        <w:rPr>
          <w:color w:val="auto"/>
          <w:sz w:val="32"/>
          <w:szCs w:val="32"/>
        </w:rPr>
      </w:pPr>
      <w:r>
        <w:rPr>
          <w:rFonts w:hint="eastAsia"/>
          <w:b w:val="0"/>
          <w:bCs w:val="0"/>
          <w:sz w:val="32"/>
          <w:szCs w:val="32"/>
          <w:lang w:eastAsia="zh-CN"/>
        </w:rPr>
        <w:t>　</w:t>
      </w:r>
      <w:r>
        <w:rPr>
          <w:rFonts w:hint="eastAsia" w:ascii="Times New Roman" w:hAnsi="Times New Roman" w:eastAsia="仿宋_GB2312" w:cs="Times New Roman"/>
          <w:b w:val="0"/>
          <w:bCs w:val="0"/>
          <w:sz w:val="32"/>
          <w:szCs w:val="32"/>
          <w:lang w:val="en-US" w:eastAsia="zh-CN"/>
        </w:rPr>
        <w:t>1.总体目标：</w:t>
      </w:r>
      <w:r>
        <w:rPr>
          <w:rFonts w:ascii="宋体" w:hAnsi="宋体" w:eastAsia="宋体" w:cs="宋体"/>
          <w:sz w:val="24"/>
          <w:szCs w:val="24"/>
        </w:rPr>
        <w:br w:type="textWrapping"/>
      </w:r>
      <w:r>
        <w:rPr>
          <w:rFonts w:hint="eastAsia" w:ascii="宋体" w:hAnsi="宋体" w:eastAsia="宋体" w:cs="宋体"/>
          <w:sz w:val="24"/>
          <w:szCs w:val="24"/>
          <w:lang w:eastAsia="zh-CN"/>
        </w:rPr>
        <w:t>　　</w:t>
      </w:r>
      <w:r>
        <w:rPr>
          <w:rFonts w:hint="eastAsia"/>
          <w:color w:val="auto"/>
          <w:sz w:val="32"/>
          <w:szCs w:val="32"/>
        </w:rPr>
        <w:t>1、完成本年度全乡119人四老人员补贴的发放，全年共计发放完成12次，计划于2023年12月20日前发放完成。保障伊车乡工作的正常开展，按时完成上级部门下达的任务。2、保障基层工作的正常开展。3、不断促进乡村振兴工作有效进行，提高四老人员生活质量。</w:t>
      </w:r>
    </w:p>
    <w:p>
      <w:pPr>
        <w:spacing w:line="560" w:lineRule="exact"/>
        <w:rPr>
          <w:rFonts w:hint="eastAsia"/>
          <w:color w:val="auto"/>
          <w:sz w:val="32"/>
          <w:szCs w:val="32"/>
        </w:rPr>
      </w:pPr>
      <w:r>
        <w:rPr>
          <w:rFonts w:hint="eastAsia"/>
          <w:b w:val="0"/>
          <w:bCs w:val="0"/>
          <w:sz w:val="32"/>
          <w:szCs w:val="32"/>
          <w:lang w:eastAsia="zh-CN"/>
        </w:rPr>
        <w:t>　　</w:t>
      </w:r>
      <w:r>
        <w:rPr>
          <w:rFonts w:hint="eastAsia" w:ascii="Times New Roman" w:hAnsi="Times New Roman" w:eastAsia="仿宋_GB2312" w:cs="Times New Roman"/>
          <w:b w:val="0"/>
          <w:bCs w:val="0"/>
          <w:sz w:val="32"/>
          <w:szCs w:val="32"/>
          <w:lang w:val="en-US" w:eastAsia="zh-CN"/>
        </w:rPr>
        <w:t>2.阶段性目标：</w:t>
      </w:r>
      <w:bookmarkStart w:id="3" w:name="_Toc68703830"/>
      <w:r>
        <w:rPr>
          <w:rFonts w:hint="eastAsia" w:cs="Times New Roman"/>
          <w:b w:val="0"/>
          <w:bCs w:val="0"/>
          <w:color w:val="auto"/>
          <w:sz w:val="32"/>
          <w:szCs w:val="32"/>
          <w:lang w:val="en-US" w:eastAsia="zh-CN"/>
        </w:rPr>
        <w:t>每季度发放一次四老人员补助，</w:t>
      </w:r>
      <w:r>
        <w:rPr>
          <w:rFonts w:hint="eastAsia"/>
          <w:color w:val="auto"/>
          <w:sz w:val="32"/>
          <w:szCs w:val="32"/>
        </w:rPr>
        <w:t>计划于2023年12月20日前发放完成。保障伊车乡工作的正常开展，按时完成上级部门下达的任务。2、保障基层工作的正常开展。3、不断促进乡村振兴工作有效进行，提高四老人员生活质量。</w:t>
      </w:r>
    </w:p>
    <w:p>
      <w:pPr>
        <w:spacing w:line="560" w:lineRule="exact"/>
        <w:rPr>
          <w:rFonts w:hint="eastAsia" w:ascii="Times New Roman" w:hAnsi="Times New Roman" w:eastAsia="黑体" w:cs="Times New Roman"/>
          <w:bCs/>
          <w:sz w:val="32"/>
          <w:szCs w:val="32"/>
          <w:lang w:val="en-US" w:eastAsia="zh-CN"/>
        </w:rPr>
      </w:pPr>
      <w:r>
        <w:rPr>
          <w:rFonts w:hint="eastAsia" w:ascii="Times New Roman" w:hAnsi="Times New Roman" w:eastAsia="黑体" w:cs="Times New Roman"/>
          <w:bCs/>
          <w:sz w:val="32"/>
          <w:szCs w:val="32"/>
          <w:lang w:val="en-US" w:eastAsia="zh-CN"/>
        </w:rPr>
        <w:t>二、绩效评价工作开展情况</w:t>
      </w:r>
      <w:bookmarkEnd w:id="3"/>
    </w:p>
    <w:p>
      <w:pPr>
        <w:numPr>
          <w:ilvl w:val="0"/>
          <w:numId w:val="0"/>
        </w:numPr>
        <w:spacing w:line="560" w:lineRule="exact"/>
        <w:rPr>
          <w:rFonts w:hint="eastAsia" w:ascii="Times New Roman" w:hAnsi="Times New Roman" w:eastAsia="楷体_GB2312" w:cs="Times New Roman"/>
          <w:b/>
          <w:bCs/>
          <w:sz w:val="32"/>
          <w:szCs w:val="32"/>
          <w:lang w:eastAsia="zh-CN"/>
        </w:rPr>
      </w:pPr>
      <w:bookmarkStart w:id="4" w:name="_Toc68703831"/>
      <w:r>
        <w:rPr>
          <w:rFonts w:hint="eastAsia" w:ascii="Times New Roman" w:hAnsi="Times New Roman" w:eastAsia="楷体_GB2312" w:cs="Times New Roman"/>
          <w:b/>
          <w:bCs/>
          <w:sz w:val="32"/>
          <w:szCs w:val="32"/>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1.绩效评价目的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20"/>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cs="Times New Roman"/>
          <w:b/>
          <w:bCs/>
          <w:sz w:val="30"/>
          <w:szCs w:val="30"/>
          <w:lang w:val="en-US" w:eastAsia="zh-CN"/>
        </w:rPr>
        <w:t>　</w:t>
      </w:r>
      <w:r>
        <w:rPr>
          <w:rFonts w:hint="eastAsia" w:ascii="Times New Roman" w:hAnsi="Times New Roman" w:eastAsia="仿宋_GB2312" w:cs="Times New Roman"/>
          <w:b w:val="0"/>
          <w:bCs w:val="0"/>
          <w:sz w:val="32"/>
          <w:szCs w:val="32"/>
          <w:lang w:val="en-US" w:eastAsia="zh-CN"/>
        </w:rPr>
        <w:t>2.绩效评价对象：</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农村“四老人员”补助资金项目所包含的全部项目内容。</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color w:val="auto"/>
          <w:sz w:val="32"/>
          <w:szCs w:val="32"/>
        </w:rPr>
        <w:t>本次评价从项目决策（包括绩效目标、决策过程）、项目管理（包括项目资金、项目实施）、项目产出（包括项目产出数量、产出质量、产出时效和产出成本）项目效益四个维度进行</w:t>
      </w:r>
      <w:r>
        <w:rPr>
          <w:rFonts w:hint="eastAsia" w:ascii="仿宋_GB2312" w:hAnsi="仿宋_GB2312" w:eastAsia="仿宋_GB2312" w:cs="仿宋_GB2312"/>
          <w:sz w:val="32"/>
          <w:szCs w:val="32"/>
        </w:rPr>
        <w:t>农村“四老人员”补助资金项目</w:t>
      </w:r>
      <w:r>
        <w:rPr>
          <w:rFonts w:hint="eastAsia"/>
          <w:color w:val="auto"/>
          <w:sz w:val="32"/>
          <w:szCs w:val="32"/>
        </w:rPr>
        <w:t>评价，评价核心为资金的支出完成情况和效果。</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5" w:name="_Toc68703832"/>
      <w:r>
        <w:rPr>
          <w:rFonts w:hint="eastAsia" w:ascii="Times New Roman" w:hAnsi="Times New Roman" w:eastAsia="楷体_GB2312" w:cs="Times New Roman"/>
          <w:b/>
          <w:bCs/>
          <w:kern w:val="2"/>
          <w:sz w:val="32"/>
          <w:szCs w:val="32"/>
          <w:lang w:val="en-US" w:eastAsia="zh-CN" w:bidi="ar-SA"/>
        </w:rPr>
        <w:t>（二）绩效评价原则、评价指标体系</w:t>
      </w:r>
      <w:r>
        <w:rPr>
          <w:rFonts w:eastAsia="楷体_GB2312"/>
          <w:b/>
          <w:bCs/>
          <w:sz w:val="32"/>
          <w:szCs w:val="32"/>
        </w:rPr>
        <w:t>（详情见表1）</w:t>
      </w:r>
      <w:r>
        <w:rPr>
          <w:rFonts w:hint="eastAsia" w:ascii="Times New Roman" w:hAnsi="Times New Roman" w:eastAsia="楷体_GB2312" w:cs="Times New Roman"/>
          <w:b/>
          <w:bCs/>
          <w:kern w:val="2"/>
          <w:sz w:val="32"/>
          <w:szCs w:val="32"/>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pPr>
      <w:r>
        <w:rPr>
          <w:rFonts w:ascii="Times New Roman" w:hAnsi="Times New Roman" w:eastAsia="仿宋_GB2312"/>
          <w:b w:val="0"/>
          <w:bCs w:val="0"/>
        </w:rPr>
        <w:t>（4）公开透明。绩效评价结果应依法依规公开，并自觉接受社会监督。</w:t>
      </w:r>
    </w:p>
    <w:p>
      <w:pPr>
        <w:spacing w:line="360" w:lineRule="auto"/>
        <w:ind w:firstLine="600" w:firstLineChars="200"/>
        <w:jc w:val="left"/>
        <w:rPr>
          <w:rFonts w:hint="eastAsia"/>
          <w:sz w:val="32"/>
          <w:szCs w:val="32"/>
        </w:rPr>
      </w:pPr>
      <w:r>
        <w:rPr>
          <w:rFonts w:hint="eastAsia"/>
        </w:rPr>
        <w:t>2、</w:t>
      </w:r>
      <w:r>
        <w:rPr>
          <w:rFonts w:hint="eastAsia"/>
          <w:sz w:val="32"/>
          <w:szCs w:val="32"/>
        </w:rPr>
        <w:t>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w:t>
      </w:r>
      <w:r>
        <w:rPr>
          <w:rFonts w:hint="eastAsia"/>
          <w:color w:val="000000"/>
          <w:spacing w:val="17"/>
          <w:sz w:val="32"/>
          <w:szCs w:val="32"/>
          <w:lang w:val="en-US" w:eastAsia="zh-CN"/>
        </w:rPr>
        <w:t>40</w:t>
      </w:r>
      <w:r>
        <w:rPr>
          <w:rFonts w:eastAsia="仿宋_GB2312"/>
          <w:color w:val="000000"/>
          <w:spacing w:val="17"/>
          <w:sz w:val="32"/>
          <w:szCs w:val="32"/>
        </w:rPr>
        <w:t>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560" w:lineRule="exact"/>
        <w:ind w:firstLine="708" w:firstLineChars="200"/>
        <w:jc w:val="both"/>
        <w:outlineLvl w:val="9"/>
        <w:rPr>
          <w:rFonts w:hint="eastAsia"/>
        </w:rPr>
      </w:pPr>
      <w:r>
        <w:rPr>
          <w:rFonts w:ascii="Times New Roman" w:hAnsi="Times New Roman" w:eastAsia="仿宋_GB2312"/>
          <w:b w:val="0"/>
          <w:bCs w:val="0"/>
          <w:color w:val="000000"/>
          <w:spacing w:val="17"/>
        </w:rPr>
        <w:t>具体评价指标体系详情见附件1</w:t>
      </w:r>
    </w:p>
    <w:p>
      <w:pPr>
        <w:pStyle w:val="6"/>
        <w:rPr>
          <w:rFonts w:hint="eastAsia"/>
          <w:sz w:val="32"/>
          <w:szCs w:val="32"/>
        </w:rPr>
      </w:pPr>
      <w:r>
        <w:rPr>
          <w:rFonts w:hint="eastAsia"/>
          <w:sz w:val="32"/>
          <w:szCs w:val="32"/>
        </w:rPr>
        <w:t>3、评价方法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eastAsia" w:eastAsia="仿宋_GB2312"/>
          <w:bCs/>
          <w:color w:val="FF0000"/>
          <w:sz w:val="32"/>
          <w:szCs w:val="32"/>
          <w:lang w:eastAsia="zh-CN"/>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（1）比较法</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通过对绩效目标与实施效果、历史与当期情况，综合分析绩效目标实现程度。对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最终验收情况与年度绩效目标对比、预算资金执行情况等相关因素进行比较。</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（2）因素分析法</w:t>
      </w:r>
    </w:p>
    <w:p>
      <w:pPr>
        <w:spacing w:line="560" w:lineRule="exact"/>
        <w:ind w:firstLine="708" w:firstLineChars="200"/>
        <w:rPr>
          <w:rFonts w:hint="eastAsia" w:eastAsia="仿宋_GB2312"/>
          <w:bCs/>
          <w:color w:val="000000" w:themeColor="text1"/>
          <w:sz w:val="32"/>
          <w:szCs w:val="32"/>
          <w:lang w:eastAsia="zh-CN"/>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通过综合分析影响绩效目标实现、实施效果的内外因素，评价绩效目标实现程度。通过对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eastAsia"/>
        </w:rPr>
      </w:pPr>
      <w:r>
        <w:rPr>
          <w:rFonts w:hint="eastAsia"/>
          <w:lang w:eastAsia="zh-CN"/>
        </w:rPr>
        <w:t>　　</w:t>
      </w:r>
      <w:r>
        <w:rPr>
          <w:rFonts w:hint="eastAsia"/>
          <w:sz w:val="32"/>
          <w:szCs w:val="32"/>
        </w:rPr>
        <w:t>4</w:t>
      </w:r>
      <w:r>
        <w:rPr>
          <w:rFonts w:hint="eastAsia"/>
          <w:sz w:val="32"/>
          <w:szCs w:val="32"/>
          <w:lang w:val="en-US" w:eastAsia="zh-CN"/>
        </w:rPr>
        <w:t>.</w:t>
      </w:r>
      <w:r>
        <w:rPr>
          <w:rFonts w:hint="eastAsia"/>
          <w:sz w:val="32"/>
          <w:szCs w:val="32"/>
        </w:rPr>
        <w:t>评价标准</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bCs/>
          <w:color w:val="000000" w:themeColor="text1"/>
          <w:sz w:val="32"/>
          <w:szCs w:val="32"/>
          <w14:textFill>
            <w14:solidFill>
              <w14:schemeClr w14:val="tx1"/>
            </w14:solidFill>
          </w14:textFill>
        </w:rPr>
      </w:pPr>
      <w:r>
        <w:rPr>
          <w:rFonts w:hint="eastAsia"/>
          <w:bCs/>
          <w:color w:val="000000" w:themeColor="text1"/>
          <w:sz w:val="32"/>
          <w:szCs w:val="32"/>
          <w14:textFill>
            <w14:solidFill>
              <w14:schemeClr w14:val="tx1"/>
            </w14:solidFill>
          </w14:textFill>
        </w:rPr>
        <w:t>绩效评价标准通常包括计划标准、行业标准、历史标准等，用于对绩效指标完成情况进行比较、分析、评价。本次评价主要采用了</w:t>
      </w:r>
      <w:r>
        <w:rPr>
          <w:rFonts w:hint="eastAsia"/>
          <w:bCs/>
          <w:color w:val="000000" w:themeColor="text1"/>
          <w:sz w:val="32"/>
          <w:szCs w:val="32"/>
          <w:lang w:val="en-US" w:eastAsia="zh-CN"/>
          <w14:textFill>
            <w14:solidFill>
              <w14:schemeClr w14:val="tx1"/>
            </w14:solidFill>
          </w14:textFill>
        </w:rPr>
        <w:t>计划</w:t>
      </w:r>
      <w:r>
        <w:rPr>
          <w:rFonts w:hint="eastAsia"/>
          <w:bCs/>
          <w:color w:val="000000" w:themeColor="text1"/>
          <w:sz w:val="32"/>
          <w:szCs w:val="32"/>
          <w14:textFill>
            <w14:solidFill>
              <w14:schemeClr w14:val="tx1"/>
            </w14:solidFill>
          </w14:textFill>
        </w:rPr>
        <w:t>标准。</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bCs/>
          <w:color w:val="000000" w:themeColor="text1"/>
          <w:sz w:val="32"/>
          <w:szCs w:val="32"/>
          <w14:textFill>
            <w14:solidFill>
              <w14:schemeClr w14:val="tx1"/>
            </w14:solidFill>
          </w14:textFill>
        </w:rPr>
      </w:pPr>
      <w:r>
        <w:rPr>
          <w:rFonts w:hint="eastAsia"/>
          <w:bCs/>
          <w:color w:val="auto"/>
          <w:sz w:val="32"/>
          <w:szCs w:val="32"/>
        </w:rPr>
        <w:t>计划标准。指以预先制定的目标、计划、预算、定额等作为评价标准。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6" w:name="_Toc68703833"/>
      <w:r>
        <w:rPr>
          <w:rFonts w:hint="eastAsia" w:ascii="Times New Roman" w:hAnsi="Times New Roman" w:eastAsia="楷体_GB2312" w:cs="Times New Roman"/>
          <w:b/>
          <w:bCs/>
          <w:kern w:val="2"/>
          <w:sz w:val="32"/>
          <w:szCs w:val="32"/>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2</w:t>
      </w:r>
      <w:r>
        <w:rPr>
          <w:rFonts w:hint="eastAsia"/>
          <w:sz w:val="32"/>
          <w:szCs w:val="32"/>
          <w:lang w:val="en-US" w:eastAsia="zh-CN"/>
        </w:rPr>
        <w:t>.</w:t>
      </w:r>
      <w:r>
        <w:rPr>
          <w:rFonts w:hint="eastAsia"/>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3</w:t>
      </w:r>
      <w:r>
        <w:rPr>
          <w:rFonts w:hint="eastAsia"/>
          <w:sz w:val="32"/>
          <w:szCs w:val="32"/>
          <w:lang w:val="en-US" w:eastAsia="zh-CN"/>
        </w:rPr>
        <w:t>.</w:t>
      </w:r>
      <w:r>
        <w:rPr>
          <w:rFonts w:hint="eastAsia"/>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bookmarkStart w:id="7" w:name="_Toc68703834"/>
      <w:r>
        <w:rPr>
          <w:rFonts w:hint="eastAsia"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rPr>
          <w:rFonts w:hint="eastAsia" w:ascii="Times New Roman" w:hAnsi="Times New Roman" w:eastAsia="黑体" w:cs="Times New Roman"/>
          <w:bCs/>
          <w:sz w:val="32"/>
          <w:szCs w:val="32"/>
          <w:lang w:val="en-US" w:eastAsia="zh-CN"/>
        </w:rPr>
      </w:pPr>
      <w:r>
        <w:rPr>
          <w:rFonts w:hint="eastAsia" w:eastAsia="黑体" w:cs="Times New Roman"/>
          <w:bCs/>
          <w:sz w:val="32"/>
          <w:szCs w:val="32"/>
          <w:lang w:val="en-US" w:eastAsia="zh-CN"/>
        </w:rPr>
        <w:t>三、</w:t>
      </w:r>
      <w:r>
        <w:rPr>
          <w:rFonts w:hint="eastAsia" w:ascii="Times New Roman" w:hAnsi="Times New Roman" w:eastAsia="黑体" w:cs="Times New Roman"/>
          <w:bCs/>
          <w:sz w:val="32"/>
          <w:szCs w:val="32"/>
          <w:lang w:val="en-US" w:eastAsia="zh-CN"/>
        </w:rPr>
        <w:t>综合评价情况及评价结论</w:t>
      </w:r>
      <w:bookmarkEnd w:id="7"/>
      <w:r>
        <w:rPr>
          <w:rFonts w:eastAsia="黑体"/>
          <w:sz w:val="32"/>
          <w:szCs w:val="32"/>
        </w:rPr>
        <w:t>（附相关评分表）</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8" w:name="_Toc68703835"/>
      <w:r>
        <w:rPr>
          <w:rFonts w:hint="eastAsia" w:ascii="Times New Roman" w:hAnsi="Times New Roman" w:eastAsia="楷体_GB2312" w:cs="Times New Roman"/>
          <w:b/>
          <w:bCs/>
          <w:kern w:val="2"/>
          <w:sz w:val="32"/>
          <w:szCs w:val="32"/>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9" w:name="_Toc68703836"/>
      <w:r>
        <w:rPr>
          <w:rFonts w:hint="eastAsia" w:ascii="Times New Roman" w:hAnsi="Times New Roman" w:eastAsia="楷体_GB2312" w:cs="Times New Roman"/>
          <w:b/>
          <w:bCs/>
          <w:kern w:val="2"/>
          <w:sz w:val="32"/>
          <w:szCs w:val="32"/>
          <w:lang w:val="en-US" w:eastAsia="zh-CN" w:bidi="ar-SA"/>
        </w:rPr>
        <w:t>（二）评价结论</w:t>
      </w:r>
      <w:bookmarkEnd w:id="9"/>
    </w:p>
    <w:p>
      <w:pPr>
        <w:pStyle w:val="2"/>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rPr>
      </w:pPr>
      <w:r>
        <w:rPr>
          <w:rFonts w:hint="eastAsia" w:ascii="Times New Roman" w:hAnsi="Times New Roman" w:eastAsia="仿宋_GB2312"/>
          <w:b w:val="0"/>
          <w:bCs w:val="0"/>
          <w:lang w:eastAsia="zh-CN"/>
        </w:rPr>
        <w:t>　　</w:t>
      </w: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eastAsia" w:ascii="Times New Roman" w:hAnsi="Times New Roman" w:eastAsia="仿宋_GB2312"/>
          <w:b w:val="0"/>
          <w:bCs w:val="0"/>
          <w:highlight w:val="none"/>
        </w:rPr>
        <w:t xml:space="preserve">总得分为 </w:t>
      </w:r>
      <w:r>
        <w:rPr>
          <w:rFonts w:hint="eastAsia" w:ascii="Times New Roman" w:hAnsi="Times New Roman" w:eastAsia="仿宋_GB2312"/>
          <w:b w:val="0"/>
          <w:bCs w:val="0"/>
          <w:highlight w:val="none"/>
          <w:lang w:val="en-US" w:eastAsia="zh-CN"/>
        </w:rPr>
        <w:t>96.17</w:t>
      </w:r>
      <w:r>
        <w:rPr>
          <w:rFonts w:hint="eastAsia" w:ascii="Times New Roman" w:hAnsi="Times New Roman" w:eastAsia="仿宋_GB2312"/>
          <w:b w:val="0"/>
          <w:bCs w:val="0"/>
          <w:highlight w:val="none"/>
        </w:rPr>
        <w:t xml:space="preserve">分，属于“优”。其中，项目决策类指标权重为20分，得分为 </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%。项目过程类指标权重为20分，得分为</w:t>
      </w:r>
      <w:r>
        <w:rPr>
          <w:rFonts w:hint="eastAsia" w:ascii="Times New Roman" w:hAnsi="Times New Roman" w:eastAsia="仿宋_GB2312"/>
          <w:b w:val="0"/>
          <w:bCs w:val="0"/>
          <w:highlight w:val="none"/>
          <w:lang w:val="en-US" w:eastAsia="zh-CN"/>
        </w:rPr>
        <w:t>19.86</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99.3</w:t>
      </w:r>
      <w:r>
        <w:rPr>
          <w:rFonts w:hint="eastAsia" w:ascii="Times New Roman" w:hAnsi="Times New Roman" w:eastAsia="仿宋_GB2312"/>
          <w:b w:val="0"/>
          <w:bCs w:val="0"/>
          <w:highlight w:val="none"/>
        </w:rPr>
        <w:t>%。项目产出类指标权重为40分，得分为</w:t>
      </w:r>
      <w:r>
        <w:rPr>
          <w:rFonts w:hint="eastAsia" w:ascii="Times New Roman" w:hAnsi="Times New Roman" w:eastAsia="仿宋_GB2312"/>
          <w:b w:val="0"/>
          <w:bCs w:val="0"/>
          <w:highlight w:val="none"/>
          <w:lang w:val="en-US" w:eastAsia="zh-CN"/>
        </w:rPr>
        <w:t>36.31</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90.77</w:t>
      </w:r>
      <w:r>
        <w:rPr>
          <w:rFonts w:hint="eastAsia" w:ascii="Times New Roman" w:hAnsi="Times New Roman" w:eastAsia="仿宋_GB2312"/>
          <w:b w:val="0"/>
          <w:bCs w:val="0"/>
          <w:highlight w:val="none"/>
        </w:rPr>
        <w:t>%。项目效益类指标权重为20分，得分为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%。具</w:t>
      </w:r>
      <w:r>
        <w:rPr>
          <w:rFonts w:hint="eastAsia" w:ascii="Times New Roman" w:hAnsi="Times New Roman" w:eastAsia="仿宋_GB2312"/>
          <w:b w:val="0"/>
          <w:bCs w:val="0"/>
        </w:rPr>
        <w:t>体打分情况详见：附件1综合评分表</w:t>
      </w:r>
      <w:r>
        <w:rPr>
          <w:rFonts w:hint="eastAsia" w:ascii="Times New Roman" w:hAnsi="Times New Roman" w:eastAsia="仿宋_GB2312"/>
          <w:b w:val="0"/>
          <w:bCs w:val="0"/>
          <w:lang w:eastAsia="zh-CN"/>
        </w:rPr>
        <w:t>。</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sz w:val="30"/>
          <w:szCs w:val="30"/>
          <w:lang w:eastAsia="zh-CN"/>
        </w:rPr>
        <w:t>　　　　　　　　</w:t>
      </w:r>
      <w:r>
        <w:rPr>
          <w:rFonts w:hint="eastAsia" w:ascii="Times New Roman" w:hAnsi="Times New Roman" w:eastAsia="仿宋_GB2312" w:cs="Times New Roman"/>
          <w:b w:val="0"/>
          <w:bCs w:val="0"/>
          <w:kern w:val="28"/>
          <w:sz w:val="32"/>
          <w:szCs w:val="32"/>
          <w:lang w:val="en-US" w:eastAsia="zh-CN" w:bidi="ar-SA"/>
        </w:rPr>
        <w:t>表1综合评分表</w:t>
      </w:r>
    </w:p>
    <w:tbl>
      <w:tblPr>
        <w:tblStyle w:val="11"/>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19.86</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36.31</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96.17</w:t>
            </w:r>
          </w:p>
        </w:tc>
      </w:tr>
    </w:tbl>
    <w:p>
      <w:pPr>
        <w:spacing w:line="560" w:lineRule="exact"/>
        <w:rPr>
          <w:rFonts w:hint="eastAsia" w:ascii="Times New Roman" w:hAnsi="Times New Roman" w:eastAsia="黑体" w:cs="Times New Roman"/>
          <w:bCs/>
          <w:sz w:val="32"/>
          <w:szCs w:val="32"/>
          <w:lang w:val="en-US" w:eastAsia="zh-CN"/>
        </w:rPr>
      </w:pPr>
      <w:bookmarkStart w:id="10" w:name="_Toc68703837"/>
      <w:r>
        <w:rPr>
          <w:rFonts w:hint="eastAsia" w:ascii="Times New Roman" w:hAnsi="Times New Roman" w:eastAsia="黑体" w:cs="Times New Roman"/>
          <w:bCs/>
          <w:sz w:val="32"/>
          <w:szCs w:val="32"/>
          <w:lang w:val="en-US" w:eastAsia="zh-CN"/>
        </w:rPr>
        <w:t>四、绩效评价指标分析</w:t>
      </w:r>
      <w:bookmarkEnd w:id="10"/>
    </w:p>
    <w:p>
      <w:pPr>
        <w:spacing w:line="560" w:lineRule="exact"/>
        <w:rPr>
          <w:rFonts w:hint="eastAsia" w:ascii="Times New Roman" w:hAnsi="Times New Roman" w:eastAsia="楷体_GB2312" w:cs="Times New Roman"/>
          <w:b/>
          <w:bCs/>
          <w:kern w:val="2"/>
          <w:sz w:val="32"/>
          <w:szCs w:val="32"/>
          <w:lang w:val="en-US" w:eastAsia="zh-CN" w:bidi="ar-SA"/>
        </w:rPr>
      </w:pPr>
      <w:bookmarkStart w:id="11" w:name="_Toc68703838"/>
      <w:r>
        <w:rPr>
          <w:rFonts w:hint="eastAsia" w:ascii="Times New Roman" w:hAnsi="Times New Roman" w:eastAsia="楷体_GB2312" w:cs="Times New Roman"/>
          <w:b/>
          <w:bCs/>
          <w:kern w:val="2"/>
          <w:sz w:val="32"/>
          <w:szCs w:val="32"/>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eastAsia"/>
          <w:color w:val="auto"/>
          <w:lang w:val="en-US" w:eastAsia="zh-CN"/>
        </w:rPr>
      </w:pPr>
      <w:r>
        <w:rPr>
          <w:rFonts w:hint="eastAsia"/>
          <w:b w:val="0"/>
          <w:bCs w:val="0"/>
          <w:sz w:val="32"/>
          <w:szCs w:val="32"/>
          <w:lang w:val="en-US" w:eastAsia="zh-CN"/>
        </w:rPr>
        <w:t>　　项目决策类指标包括项目立项、绩效目标和资金投入三方面的内容，由6个三级指标构成，权重分值为20分，实</w:t>
      </w:r>
      <w:r>
        <w:rPr>
          <w:rFonts w:hint="eastAsia"/>
          <w:b w:val="0"/>
          <w:bCs w:val="0"/>
          <w:color w:val="auto"/>
          <w:sz w:val="32"/>
          <w:szCs w:val="32"/>
          <w:lang w:val="en-US" w:eastAsia="zh-CN"/>
        </w:rPr>
        <w:t>际得分20分，得分率为100%。</w:t>
      </w:r>
    </w:p>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1.</w:t>
      </w:r>
      <w:r>
        <w:rPr>
          <w:rFonts w:hint="eastAsia" w:ascii="仿宋_GB2312" w:hAnsi="仿宋_GB2312" w:eastAsia="仿宋_GB2312" w:cs="仿宋_GB2312"/>
          <w:b/>
          <w:bCs/>
          <w:sz w:val="32"/>
          <w:szCs w:val="32"/>
          <w:lang w:val="en-US" w:eastAsia="zh-CN"/>
        </w:rPr>
        <w:t>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color w:val="FF0000"/>
          <w:sz w:val="32"/>
          <w:szCs w:val="32"/>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b w:val="0"/>
          <w:bCs w:val="0"/>
          <w:sz w:val="32"/>
          <w:szCs w:val="32"/>
        </w:rPr>
      </w:pPr>
      <w:r>
        <w:rPr>
          <w:rFonts w:hint="eastAsia"/>
          <w:b w:val="0"/>
          <w:bCs w:val="0"/>
          <w:sz w:val="32"/>
          <w:szCs w:val="32"/>
        </w:rPr>
        <w:t>2</w:t>
      </w:r>
      <w:r>
        <w:rPr>
          <w:rFonts w:hint="eastAsia"/>
          <w:b w:val="0"/>
          <w:bCs w:val="0"/>
          <w:sz w:val="32"/>
          <w:szCs w:val="32"/>
          <w:lang w:val="en-US" w:eastAsia="zh-CN"/>
        </w:rPr>
        <w:t>.</w:t>
      </w:r>
      <w:r>
        <w:rPr>
          <w:rFonts w:hint="eastAsia"/>
          <w:b w:val="0"/>
          <w:bCs w:val="0"/>
          <w:sz w:val="32"/>
          <w:szCs w:val="32"/>
        </w:rPr>
        <w:t>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val="0"/>
          <w:bCs w:val="0"/>
          <w:sz w:val="32"/>
          <w:szCs w:val="32"/>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bookmarkStart w:id="12" w:name="_Hlk68699917"/>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3.</w:t>
      </w:r>
      <w:r>
        <w:rPr>
          <w:rFonts w:hint="eastAsia" w:ascii="仿宋_GB2312" w:hAnsi="仿宋_GB2312" w:eastAsia="仿宋_GB2312" w:cs="仿宋_GB2312"/>
          <w:b/>
          <w:bCs/>
          <w:sz w:val="32"/>
          <w:szCs w:val="32"/>
          <w:lang w:val="en-US" w:eastAsia="zh-CN"/>
        </w:rPr>
        <w:t>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2"/>
        <w:numPr>
          <w:ilvl w:val="0"/>
          <w:numId w:val="0"/>
        </w:numPr>
        <w:spacing w:before="0" w:after="0" w:line="560" w:lineRule="exact"/>
        <w:jc w:val="both"/>
        <w:rPr>
          <w:rFonts w:ascii="楷体" w:hAnsi="楷体" w:eastAsia="楷体" w:cs="楷体"/>
        </w:rPr>
      </w:pPr>
      <w:r>
        <w:rPr>
          <w:rFonts w:hint="eastAsia" w:ascii="楷体" w:hAnsi="楷体" w:eastAsia="楷体" w:cs="楷体"/>
          <w:lang w:eastAsia="zh-CN"/>
        </w:rPr>
        <w:t>（二）</w:t>
      </w:r>
      <w:r>
        <w:rPr>
          <w:rFonts w:hint="eastAsia" w:ascii="楷体" w:hAnsi="楷体" w:eastAsia="楷体" w:cs="楷体"/>
        </w:rPr>
        <w:t>项目过程情况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w:t>
      </w:r>
      <w:r>
        <w:rPr>
          <w:rFonts w:hint="eastAsia" w:ascii="仿宋_GB2312" w:hAnsi="仿宋_GB2312" w:eastAsia="仿宋_GB2312" w:cs="仿宋_GB2312"/>
          <w:sz w:val="32"/>
          <w:szCs w:val="32"/>
          <w:highlight w:val="none"/>
          <w:lang w:val="en-US" w:eastAsia="zh-CN"/>
        </w:rPr>
        <w:t>实际得分</w:t>
      </w:r>
      <w:r>
        <w:rPr>
          <w:rFonts w:hint="eastAsia" w:ascii="仿宋_GB2312" w:hAnsi="仿宋_GB2312" w:cs="仿宋_GB2312"/>
          <w:sz w:val="32"/>
          <w:szCs w:val="32"/>
          <w:highlight w:val="none"/>
          <w:lang w:val="en-US" w:eastAsia="zh-CN"/>
        </w:rPr>
        <w:t>19.86</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99.3</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项目资金使用符合相关的财务管理</w:t>
      </w:r>
      <w:r>
        <w:rPr>
          <w:rFonts w:hint="eastAsia" w:ascii="仿宋_GB2312" w:hAnsi="仿宋_GB2312" w:eastAsia="仿宋_GB2312" w:cs="仿宋_GB2312"/>
          <w:sz w:val="32"/>
          <w:szCs w:val="32"/>
          <w:lang w:val="en-US" w:eastAsia="zh-CN"/>
        </w:rPr>
        <w:t>制度规定，能够反映和考核项目资金的规范运行情况；项目实施单位的财务和业务管理制度健全，能够反映和考核财务和业务管理制度对项目顺利实施的保障情况。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本项目总投资</w:t>
      </w:r>
      <w:r>
        <w:rPr>
          <w:rFonts w:hint="eastAsia" w:ascii="仿宋_GB2312" w:hAnsi="仿宋_GB2312" w:cs="仿宋_GB2312"/>
          <w:sz w:val="32"/>
          <w:szCs w:val="32"/>
          <w:highlight w:val="none"/>
          <w:lang w:val="en-US" w:eastAsia="zh-CN"/>
        </w:rPr>
        <w:t>150.65</w:t>
      </w:r>
      <w:r>
        <w:rPr>
          <w:rFonts w:hint="eastAsia" w:ascii="仿宋_GB2312" w:hAnsi="仿宋_GB2312" w:eastAsia="仿宋_GB2312" w:cs="仿宋_GB2312"/>
          <w:sz w:val="32"/>
          <w:szCs w:val="32"/>
          <w:highlight w:val="none"/>
          <w:lang w:val="en-US" w:eastAsia="zh-CN"/>
        </w:rPr>
        <w:t>万元，财政资金及时足额到位，到位率</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%，预算资金按计划进度执行。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预算编制较为详细，项目资金支出总体能够按照预算执行，预算资金支出</w:t>
      </w:r>
      <w:r>
        <w:rPr>
          <w:rFonts w:hint="eastAsia" w:ascii="仿宋_GB2312" w:hAnsi="仿宋_GB2312" w:cs="仿宋_GB2312"/>
          <w:sz w:val="32"/>
          <w:szCs w:val="32"/>
          <w:highlight w:val="none"/>
          <w:lang w:val="en-US" w:eastAsia="zh-CN"/>
        </w:rPr>
        <w:t>150.65</w:t>
      </w:r>
      <w:r>
        <w:rPr>
          <w:rFonts w:hint="eastAsia" w:ascii="仿宋_GB2312" w:hAnsi="仿宋_GB2312" w:eastAsia="仿宋_GB2312" w:cs="仿宋_GB2312"/>
          <w:sz w:val="32"/>
          <w:szCs w:val="32"/>
          <w:highlight w:val="none"/>
          <w:lang w:val="en-US" w:eastAsia="zh-CN"/>
        </w:rPr>
        <w:t>万元，预算执行率为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6"/>
        <w:keepNext w:val="0"/>
        <w:keepLines w:val="0"/>
        <w:pageBreakBefore w:val="0"/>
        <w:widowControl w:val="0"/>
        <w:numPr>
          <w:ilvl w:val="0"/>
          <w:numId w:val="0"/>
        </w:numPr>
        <w:kinsoku/>
        <w:wordWrap/>
        <w:overflowPunct/>
        <w:topLinePunct w:val="0"/>
        <w:autoSpaceDE/>
        <w:autoSpaceDN/>
        <w:bidi w:val="0"/>
        <w:adjustRightInd/>
        <w:snapToGrid/>
        <w:textAlignment w:val="auto"/>
        <w:outlineLvl w:val="9"/>
        <w:rPr>
          <w:rFonts w:hint="eastAsia" w:ascii="Times New Roman" w:hAnsi="Times New Roman" w:eastAsia="楷体_GB2312" w:cs="Times New Roman"/>
          <w:b/>
          <w:bCs/>
          <w:kern w:val="2"/>
          <w:sz w:val="32"/>
          <w:szCs w:val="32"/>
          <w:lang w:val="en-US" w:eastAsia="zh-CN" w:bidi="ar-SA"/>
        </w:rPr>
      </w:pPr>
      <w:bookmarkStart w:id="13" w:name="_Toc68703840"/>
      <w:r>
        <w:rPr>
          <w:rFonts w:hint="eastAsia" w:ascii="Times New Roman" w:hAnsi="Times New Roman" w:eastAsia="楷体_GB2312" w:cs="Times New Roman"/>
          <w:b/>
          <w:bCs/>
          <w:kern w:val="2"/>
          <w:sz w:val="32"/>
          <w:szCs w:val="32"/>
          <w:lang w:val="en-US" w:eastAsia="zh-CN" w:bidi="ar-SA"/>
        </w:rPr>
        <w:t>（三）项目产出情况</w:t>
      </w:r>
      <w:bookmarkEnd w:id="13"/>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项目产出类指标包括产出数量、产出质量、产出时效、产出成本四方面的内容，由</w:t>
      </w:r>
      <w:r>
        <w:rPr>
          <w:rFonts w:hint="eastAsia" w:ascii="仿宋_GB2312" w:hAnsi="仿宋_GB2312" w:cs="仿宋_GB2312"/>
          <w:sz w:val="32"/>
          <w:szCs w:val="32"/>
          <w:highlight w:val="none"/>
          <w:lang w:val="en-US" w:eastAsia="zh-CN"/>
        </w:rPr>
        <w:t>5</w:t>
      </w:r>
      <w:r>
        <w:rPr>
          <w:rFonts w:hint="eastAsia" w:ascii="仿宋_GB2312" w:hAnsi="仿宋_GB2312" w:eastAsia="仿宋_GB2312" w:cs="仿宋_GB2312"/>
          <w:sz w:val="32"/>
          <w:szCs w:val="32"/>
          <w:highlight w:val="none"/>
          <w:lang w:val="en-US" w:eastAsia="zh-CN"/>
        </w:rPr>
        <w:t>个三级指标构成，权重分为40分，实际得分</w:t>
      </w:r>
      <w:r>
        <w:rPr>
          <w:rFonts w:hint="eastAsia" w:ascii="仿宋_GB2312" w:hAnsi="仿宋_GB2312" w:cs="仿宋_GB2312"/>
          <w:sz w:val="32"/>
          <w:szCs w:val="32"/>
          <w:highlight w:val="none"/>
          <w:lang w:val="en-US" w:eastAsia="zh-CN"/>
        </w:rPr>
        <w:t>36.31</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90.77</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lang w:val="en-US" w:eastAsia="zh-CN"/>
        </w:rPr>
        <w:t>具体产出指标完成情况如下：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hint="eastAsia"/>
          <w:color w:val="auto"/>
          <w:sz w:val="32"/>
          <w:szCs w:val="32"/>
        </w:rPr>
        <w:t>指标1：发放四老人员补贴次数，指标值：</w:t>
      </w:r>
      <w:r>
        <w:rPr>
          <w:rFonts w:hint="eastAsia"/>
          <w:color w:val="auto"/>
          <w:sz w:val="32"/>
          <w:szCs w:val="32"/>
          <w:lang w:eastAsia="zh-CN"/>
        </w:rPr>
        <w:t>&gt;=12次</w:t>
      </w:r>
      <w:r>
        <w:rPr>
          <w:rFonts w:hint="eastAsia"/>
          <w:color w:val="auto"/>
          <w:sz w:val="32"/>
          <w:szCs w:val="32"/>
        </w:rPr>
        <w:t>，实际完成值</w:t>
      </w:r>
      <w:r>
        <w:rPr>
          <w:rFonts w:hint="eastAsia"/>
          <w:color w:val="auto"/>
          <w:sz w:val="32"/>
          <w:szCs w:val="32"/>
          <w:lang w:eastAsia="zh-CN"/>
        </w:rPr>
        <w:t>：4次</w:t>
      </w:r>
      <w:r>
        <w:rPr>
          <w:rFonts w:hint="eastAsia"/>
          <w:color w:val="auto"/>
          <w:sz w:val="32"/>
          <w:szCs w:val="32"/>
        </w:rPr>
        <w:t>，指标完成率</w:t>
      </w:r>
      <w:r>
        <w:rPr>
          <w:rFonts w:hint="eastAsia"/>
          <w:color w:val="auto"/>
          <w:sz w:val="32"/>
          <w:szCs w:val="32"/>
          <w:lang w:val="en-US" w:eastAsia="zh-CN"/>
        </w:rPr>
        <w:t>33.33</w:t>
      </w:r>
      <w:r>
        <w:rPr>
          <w:rFonts w:hint="eastAsia"/>
          <w:color w:val="auto"/>
          <w:sz w:val="32"/>
          <w:szCs w:val="32"/>
        </w:rPr>
        <w:t>%</w:t>
      </w:r>
      <w:r>
        <w:rPr>
          <w:rFonts w:hint="eastAsia"/>
          <w:color w:val="auto"/>
          <w:sz w:val="32"/>
          <w:szCs w:val="32"/>
          <w:lang w:eastAsia="zh-CN"/>
        </w:rPr>
        <w:t>，</w:t>
      </w:r>
      <w:r>
        <w:rPr>
          <w:rFonts w:hint="eastAsia"/>
          <w:color w:val="auto"/>
          <w:sz w:val="32"/>
          <w:szCs w:val="32"/>
        </w:rPr>
        <w:t>偏差原因：按季度发放</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FF0000"/>
          <w:sz w:val="32"/>
          <w:szCs w:val="32"/>
          <w:lang w:eastAsia="zh-CN"/>
        </w:rPr>
      </w:pPr>
      <w:r>
        <w:rPr>
          <w:rFonts w:hint="eastAsia"/>
          <w:color w:val="auto"/>
          <w:sz w:val="32"/>
          <w:szCs w:val="32"/>
        </w:rPr>
        <w:t>指标2：发放四老人员补贴人数，指标值：</w:t>
      </w:r>
      <w:r>
        <w:rPr>
          <w:rFonts w:hint="eastAsia"/>
          <w:color w:val="auto"/>
          <w:sz w:val="32"/>
          <w:szCs w:val="32"/>
          <w:lang w:eastAsia="zh-CN"/>
        </w:rPr>
        <w:t>&gt;=112人</w:t>
      </w:r>
      <w:r>
        <w:rPr>
          <w:rFonts w:hint="eastAsia"/>
          <w:color w:val="auto"/>
          <w:sz w:val="32"/>
          <w:szCs w:val="32"/>
        </w:rPr>
        <w:t>，实际完成值</w:t>
      </w:r>
      <w:r>
        <w:rPr>
          <w:rFonts w:hint="eastAsia"/>
          <w:color w:val="auto"/>
          <w:sz w:val="32"/>
          <w:szCs w:val="32"/>
          <w:lang w:eastAsia="zh-CN"/>
        </w:rPr>
        <w:t>：112人</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lang w:eastAsia="zh-CN"/>
        </w:rPr>
      </w:pPr>
      <w:r>
        <w:rPr>
          <w:rFonts w:hint="eastAsia"/>
          <w:color w:val="auto"/>
          <w:sz w:val="32"/>
          <w:szCs w:val="32"/>
        </w:rPr>
        <w:t>指标1：</w:t>
      </w:r>
      <w:r>
        <w:rPr>
          <w:rFonts w:hint="eastAsia"/>
          <w:color w:val="auto"/>
          <w:sz w:val="32"/>
          <w:szCs w:val="32"/>
          <w:lang w:eastAsia="zh-CN"/>
        </w:rPr>
        <w:t>发放四老人员补贴保障率</w:t>
      </w:r>
      <w:r>
        <w:rPr>
          <w:rFonts w:hint="eastAsia"/>
          <w:color w:val="auto"/>
          <w:sz w:val="32"/>
          <w:szCs w:val="32"/>
        </w:rPr>
        <w:t>，指标值：</w:t>
      </w:r>
      <w:r>
        <w:rPr>
          <w:rFonts w:hint="eastAsia"/>
          <w:color w:val="auto"/>
          <w:sz w:val="32"/>
          <w:szCs w:val="32"/>
          <w:lang w:eastAsia="zh-CN"/>
        </w:rPr>
        <w:t>=100%</w:t>
      </w:r>
      <w:r>
        <w:rPr>
          <w:rFonts w:hint="eastAsia"/>
          <w:color w:val="auto"/>
          <w:sz w:val="32"/>
          <w:szCs w:val="32"/>
        </w:rPr>
        <w:t>，实际完成值</w:t>
      </w:r>
      <w:r>
        <w:rPr>
          <w:rFonts w:hint="eastAsia"/>
          <w:color w:val="auto"/>
          <w:sz w:val="32"/>
          <w:szCs w:val="32"/>
          <w:lang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FF0000"/>
          <w:sz w:val="32"/>
          <w:szCs w:val="32"/>
          <w:lang w:val="en-US" w:eastAsia="zh-CN"/>
        </w:rPr>
      </w:pPr>
      <w:bookmarkStart w:id="14" w:name="_Toc68703841"/>
      <w:r>
        <w:rPr>
          <w:rFonts w:hint="eastAsia" w:ascii="仿宋_GB2312" w:hAnsi="仿宋_GB2312" w:eastAsia="仿宋_GB2312" w:cs="仿宋_GB2312"/>
          <w:sz w:val="32"/>
          <w:szCs w:val="32"/>
          <w:highlight w:val="none"/>
          <w:lang w:eastAsia="zh-CN"/>
        </w:rPr>
        <w:t>　</w:t>
      </w:r>
      <w:r>
        <w:rPr>
          <w:rFonts w:hint="eastAsia"/>
          <w:color w:val="auto"/>
          <w:sz w:val="32"/>
          <w:szCs w:val="32"/>
        </w:rPr>
        <w:t>指标</w:t>
      </w:r>
      <w:r>
        <w:rPr>
          <w:rFonts w:hint="eastAsia"/>
          <w:color w:val="auto"/>
          <w:sz w:val="32"/>
          <w:szCs w:val="32"/>
          <w:lang w:val="en-US" w:eastAsia="zh-CN"/>
        </w:rPr>
        <w:t>1</w:t>
      </w:r>
      <w:r>
        <w:rPr>
          <w:rFonts w:hint="eastAsia"/>
          <w:color w:val="auto"/>
          <w:sz w:val="32"/>
          <w:szCs w:val="32"/>
        </w:rPr>
        <w:t>：</w:t>
      </w:r>
      <w:r>
        <w:rPr>
          <w:rFonts w:hint="eastAsia"/>
          <w:color w:val="auto"/>
          <w:sz w:val="32"/>
          <w:szCs w:val="32"/>
          <w:lang w:eastAsia="zh-CN"/>
        </w:rPr>
        <w:t>发放四老人员补贴及时率</w:t>
      </w:r>
      <w:r>
        <w:rPr>
          <w:rFonts w:hint="eastAsia"/>
          <w:color w:val="auto"/>
          <w:sz w:val="32"/>
          <w:szCs w:val="32"/>
        </w:rPr>
        <w:t>，指标值：</w:t>
      </w:r>
      <w:r>
        <w:rPr>
          <w:rFonts w:hint="eastAsia"/>
          <w:color w:val="auto"/>
          <w:sz w:val="32"/>
          <w:szCs w:val="32"/>
          <w:lang w:eastAsia="zh-CN"/>
        </w:rPr>
        <w:t>=100%</w:t>
      </w:r>
      <w:r>
        <w:rPr>
          <w:rFonts w:hint="eastAsia"/>
          <w:color w:val="auto"/>
          <w:sz w:val="32"/>
          <w:szCs w:val="32"/>
        </w:rPr>
        <w:t>，实际完成值</w:t>
      </w:r>
      <w:r>
        <w:rPr>
          <w:rFonts w:hint="eastAsia"/>
          <w:color w:val="auto"/>
          <w:sz w:val="32"/>
          <w:szCs w:val="32"/>
          <w:lang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fldChar w:fldCharType="begin"/>
      </w:r>
      <w:r>
        <w:rPr>
          <w:rFonts w:hint="eastAsia" w:ascii="仿宋_GB2312" w:hAnsi="仿宋_GB2312" w:eastAsia="仿宋_GB2312" w:cs="仿宋_GB2312"/>
          <w:sz w:val="32"/>
          <w:szCs w:val="32"/>
          <w:highlight w:val="none"/>
          <w:lang w:val="en-US" w:eastAsia="zh-CN"/>
        </w:rPr>
        <w:instrText xml:space="preserve"> = 4 \* GB3 </w:instrText>
      </w:r>
      <w:r>
        <w:rPr>
          <w:rFonts w:hint="eastAsia" w:ascii="仿宋_GB2312" w:hAnsi="仿宋_GB2312" w:eastAsia="仿宋_GB2312" w:cs="仿宋_GB2312"/>
          <w:sz w:val="32"/>
          <w:szCs w:val="32"/>
          <w:highlight w:val="none"/>
          <w:lang w:val="en-US" w:eastAsia="zh-CN"/>
        </w:rPr>
        <w:fldChar w:fldCharType="separate"/>
      </w:r>
      <w:r>
        <w:rPr>
          <w:rFonts w:hint="eastAsia" w:ascii="仿宋_GB2312" w:hAnsi="仿宋_GB2312" w:eastAsia="仿宋_GB2312" w:cs="仿宋_GB2312"/>
          <w:sz w:val="32"/>
          <w:szCs w:val="32"/>
          <w:highlight w:val="none"/>
          <w:lang w:val="en-US" w:eastAsia="zh-CN"/>
        </w:rPr>
        <w:t>④</w:t>
      </w:r>
      <w:r>
        <w:rPr>
          <w:rFonts w:hint="eastAsia" w:ascii="仿宋_GB2312" w:hAnsi="仿宋_GB2312" w:eastAsia="仿宋_GB2312" w:cs="仿宋_GB2312"/>
          <w:sz w:val="32"/>
          <w:szCs w:val="32"/>
          <w:highlight w:val="none"/>
          <w:lang w:val="en-US" w:eastAsia="zh-CN"/>
        </w:rPr>
        <w:fldChar w:fldCharType="end"/>
      </w:r>
      <w:r>
        <w:rPr>
          <w:rFonts w:hint="eastAsia" w:ascii="仿宋_GB2312" w:hAnsi="仿宋_GB2312" w:eastAsia="仿宋_GB2312" w:cs="仿宋_GB2312"/>
          <w:sz w:val="32"/>
          <w:szCs w:val="32"/>
          <w:highlight w:val="none"/>
          <w:lang w:val="en-US" w:eastAsia="zh-CN"/>
        </w:rPr>
        <w:t>成本指标：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sz w:val="32"/>
          <w:szCs w:val="32"/>
          <w:lang w:eastAsia="zh-CN"/>
        </w:rPr>
      </w:pPr>
      <w:r>
        <w:rPr>
          <w:rFonts w:hint="eastAsia"/>
          <w:color w:val="auto"/>
          <w:sz w:val="32"/>
          <w:szCs w:val="32"/>
        </w:rPr>
        <w:t>指标</w:t>
      </w:r>
      <w:r>
        <w:rPr>
          <w:rFonts w:hint="eastAsia"/>
          <w:color w:val="auto"/>
          <w:sz w:val="32"/>
          <w:szCs w:val="32"/>
          <w:lang w:val="en-US" w:eastAsia="zh-CN"/>
        </w:rPr>
        <w:t>1</w:t>
      </w:r>
      <w:r>
        <w:rPr>
          <w:rFonts w:hint="eastAsia"/>
          <w:color w:val="auto"/>
          <w:sz w:val="32"/>
          <w:szCs w:val="32"/>
        </w:rPr>
        <w:t>：</w:t>
      </w:r>
      <w:r>
        <w:rPr>
          <w:rFonts w:hint="eastAsia"/>
          <w:color w:val="auto"/>
          <w:sz w:val="32"/>
          <w:szCs w:val="32"/>
          <w:lang w:eastAsia="zh-CN"/>
        </w:rPr>
        <w:t>人均四老人员补贴支出成本</w:t>
      </w:r>
      <w:r>
        <w:rPr>
          <w:rFonts w:hint="eastAsia"/>
          <w:color w:val="auto"/>
          <w:sz w:val="32"/>
          <w:szCs w:val="32"/>
        </w:rPr>
        <w:t>，指标值：</w:t>
      </w:r>
      <w:r>
        <w:rPr>
          <w:rFonts w:hint="eastAsia"/>
          <w:color w:val="auto"/>
          <w:sz w:val="32"/>
          <w:szCs w:val="32"/>
          <w:lang w:eastAsia="zh-CN"/>
        </w:rPr>
        <w:t>&lt;=13450.89元/人</w:t>
      </w:r>
      <w:r>
        <w:rPr>
          <w:rFonts w:hint="eastAsia"/>
          <w:color w:val="auto"/>
          <w:sz w:val="32"/>
          <w:szCs w:val="32"/>
        </w:rPr>
        <w:t>，实际完成值</w:t>
      </w:r>
      <w:r>
        <w:rPr>
          <w:rFonts w:hint="eastAsia"/>
          <w:color w:val="auto"/>
          <w:sz w:val="32"/>
          <w:szCs w:val="32"/>
          <w:lang w:eastAsia="zh-CN"/>
        </w:rPr>
        <w:t>：12977.45元/人</w:t>
      </w:r>
      <w:r>
        <w:rPr>
          <w:rFonts w:hint="eastAsia"/>
          <w:color w:val="auto"/>
          <w:sz w:val="32"/>
          <w:szCs w:val="32"/>
        </w:rPr>
        <w:t>，指标完成率</w:t>
      </w:r>
      <w:r>
        <w:rPr>
          <w:rFonts w:hint="eastAsia"/>
          <w:color w:val="auto"/>
          <w:sz w:val="32"/>
          <w:szCs w:val="32"/>
          <w:lang w:val="en-US" w:eastAsia="zh-CN"/>
        </w:rPr>
        <w:t>96.48</w:t>
      </w:r>
      <w:r>
        <w:rPr>
          <w:rFonts w:hint="eastAsia"/>
          <w:color w:val="auto"/>
          <w:sz w:val="32"/>
          <w:szCs w:val="32"/>
        </w:rPr>
        <w:t>%，偏差原因：有部分四老人员去世</w:t>
      </w:r>
      <w:r>
        <w:rPr>
          <w:rFonts w:hint="eastAsia"/>
          <w:color w:val="auto"/>
          <w:sz w:val="32"/>
          <w:szCs w:val="32"/>
          <w:lang w:eastAsia="zh-CN"/>
        </w:rPr>
        <w:t>。</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（四）项目效益情况</w:t>
      </w:r>
      <w:bookmarkEnd w:id="14"/>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项目效益类指标包括项目实施效益和满意度两方面的内容，由</w:t>
      </w:r>
      <w:r>
        <w:rPr>
          <w:rFonts w:hint="eastAsia" w:ascii="仿宋_GB2312" w:hAnsi="仿宋_GB2312" w:cs="仿宋_GB2312"/>
          <w:sz w:val="32"/>
          <w:szCs w:val="32"/>
          <w:highlight w:val="none"/>
          <w:lang w:val="en-US" w:eastAsia="zh-CN"/>
        </w:rPr>
        <w:t>1</w:t>
      </w:r>
      <w:r>
        <w:rPr>
          <w:rFonts w:hint="eastAsia" w:ascii="仿宋_GB2312" w:hAnsi="仿宋_GB2312" w:eastAsia="仿宋_GB2312" w:cs="仿宋_GB2312"/>
          <w:sz w:val="32"/>
          <w:szCs w:val="32"/>
          <w:highlight w:val="none"/>
          <w:lang w:val="en-US" w:eastAsia="zh-CN"/>
        </w:rPr>
        <w:t>个三级指标构成，权重分为20分，实际得分</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%。具体</w:t>
      </w:r>
      <w:r>
        <w:rPr>
          <w:rFonts w:hint="eastAsia" w:ascii="仿宋_GB2312" w:hAnsi="仿宋_GB2312" w:eastAsia="仿宋_GB2312" w:cs="仿宋_GB2312"/>
          <w:sz w:val="32"/>
          <w:szCs w:val="32"/>
          <w:lang w:val="en-US" w:eastAsia="zh-CN"/>
        </w:rPr>
        <w:t>效益指标及满意度指标完成情况如下：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②</w:t>
      </w:r>
      <w:r>
        <w:rPr>
          <w:rFonts w:hint="eastAsia" w:ascii="仿宋_GB2312" w:hAnsi="仿宋_GB2312" w:eastAsia="仿宋_GB2312" w:cs="仿宋_GB2312"/>
          <w:sz w:val="32"/>
          <w:szCs w:val="32"/>
          <w:highlight w:val="none"/>
        </w:rPr>
        <w:t>社会效益指标：</w:t>
      </w:r>
    </w:p>
    <w:p>
      <w:pPr>
        <w:shd w:val="clear"/>
        <w:spacing w:line="600" w:lineRule="exact"/>
        <w:ind w:firstLine="640" w:firstLineChars="200"/>
        <w:outlineLvl w:val="0"/>
        <w:rPr>
          <w:rFonts w:hint="eastAsia"/>
          <w:color w:val="auto"/>
          <w:sz w:val="32"/>
          <w:szCs w:val="32"/>
          <w:lang w:eastAsia="zh-CN"/>
        </w:rPr>
      </w:pPr>
      <w:r>
        <w:rPr>
          <w:rFonts w:hint="eastAsia"/>
          <w:color w:val="auto"/>
          <w:sz w:val="32"/>
          <w:szCs w:val="32"/>
        </w:rPr>
        <w:t>指标</w:t>
      </w:r>
      <w:r>
        <w:rPr>
          <w:rFonts w:hint="eastAsia"/>
          <w:color w:val="auto"/>
          <w:sz w:val="32"/>
          <w:szCs w:val="32"/>
          <w:lang w:val="en-US" w:eastAsia="zh-CN"/>
        </w:rPr>
        <w:t>1</w:t>
      </w:r>
      <w:r>
        <w:rPr>
          <w:rFonts w:hint="eastAsia"/>
          <w:color w:val="auto"/>
          <w:sz w:val="32"/>
          <w:szCs w:val="32"/>
        </w:rPr>
        <w:t>：</w:t>
      </w:r>
      <w:r>
        <w:rPr>
          <w:rFonts w:hint="eastAsia"/>
          <w:color w:val="auto"/>
          <w:sz w:val="32"/>
          <w:szCs w:val="32"/>
          <w:lang w:eastAsia="zh-CN"/>
        </w:rPr>
        <w:t>有效提高四老人员生活质量</w:t>
      </w:r>
      <w:r>
        <w:rPr>
          <w:rFonts w:hint="eastAsia"/>
          <w:color w:val="auto"/>
          <w:sz w:val="32"/>
          <w:szCs w:val="32"/>
        </w:rPr>
        <w:t>，指标值：</w:t>
      </w:r>
      <w:r>
        <w:rPr>
          <w:rFonts w:hint="eastAsia"/>
          <w:color w:val="auto"/>
          <w:sz w:val="32"/>
          <w:szCs w:val="32"/>
          <w:lang w:eastAsia="zh-CN"/>
        </w:rPr>
        <w:t>有效提高</w:t>
      </w:r>
      <w:r>
        <w:rPr>
          <w:rFonts w:hint="eastAsia"/>
          <w:color w:val="auto"/>
          <w:sz w:val="32"/>
          <w:szCs w:val="32"/>
        </w:rPr>
        <w:t>，实际完成值</w:t>
      </w:r>
      <w:r>
        <w:rPr>
          <w:rFonts w:hint="eastAsia"/>
          <w:color w:val="auto"/>
          <w:sz w:val="32"/>
          <w:szCs w:val="32"/>
          <w:lang w:eastAsia="zh-CN"/>
        </w:rPr>
        <w:t>：有效提高</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spacing w:line="560" w:lineRule="exact"/>
        <w:ind w:firstLine="640" w:firstLineChars="200"/>
        <w:rPr>
          <w:rFonts w:hint="eastAsia"/>
          <w:color w:val="auto"/>
          <w:sz w:val="32"/>
          <w:szCs w:val="32"/>
          <w:lang w:eastAsia="zh-CN"/>
        </w:rPr>
      </w:pPr>
      <w:r>
        <w:rPr>
          <w:rFonts w:hint="eastAsia"/>
          <w:color w:val="auto"/>
          <w:sz w:val="32"/>
          <w:szCs w:val="32"/>
        </w:rPr>
        <w:t>指标</w:t>
      </w:r>
      <w:r>
        <w:rPr>
          <w:rFonts w:hint="eastAsia"/>
          <w:color w:val="auto"/>
          <w:sz w:val="32"/>
          <w:szCs w:val="32"/>
          <w:lang w:val="en-US" w:eastAsia="zh-CN"/>
        </w:rPr>
        <w:t>1</w:t>
      </w:r>
      <w:r>
        <w:rPr>
          <w:rFonts w:hint="eastAsia"/>
          <w:color w:val="auto"/>
          <w:sz w:val="32"/>
          <w:szCs w:val="32"/>
        </w:rPr>
        <w:t>：</w:t>
      </w:r>
      <w:r>
        <w:rPr>
          <w:rFonts w:hint="eastAsia"/>
          <w:color w:val="auto"/>
          <w:sz w:val="32"/>
          <w:szCs w:val="32"/>
          <w:lang w:eastAsia="zh-CN"/>
        </w:rPr>
        <w:t>四老人员满意度</w:t>
      </w:r>
      <w:r>
        <w:rPr>
          <w:rFonts w:hint="eastAsia"/>
          <w:color w:val="auto"/>
          <w:sz w:val="32"/>
          <w:szCs w:val="32"/>
        </w:rPr>
        <w:t>，指标值：</w:t>
      </w:r>
      <w:r>
        <w:rPr>
          <w:rFonts w:hint="eastAsia"/>
          <w:color w:val="auto"/>
          <w:sz w:val="32"/>
          <w:szCs w:val="32"/>
          <w:lang w:eastAsia="zh-CN"/>
        </w:rPr>
        <w:t>&gt;=95%</w:t>
      </w:r>
      <w:r>
        <w:rPr>
          <w:rFonts w:hint="eastAsia"/>
          <w:color w:val="auto"/>
          <w:sz w:val="32"/>
          <w:szCs w:val="32"/>
        </w:rPr>
        <w:t>，实际完成值</w:t>
      </w:r>
      <w:r>
        <w:rPr>
          <w:rFonts w:hint="eastAsia"/>
          <w:color w:val="auto"/>
          <w:sz w:val="32"/>
          <w:szCs w:val="32"/>
          <w:lang w:eastAsia="zh-CN"/>
        </w:rPr>
        <w:t>：95%</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pacing w:line="560" w:lineRule="exact"/>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pStyle w:val="20"/>
        <w:spacing w:line="560" w:lineRule="exact"/>
        <w:ind w:firstLine="640"/>
      </w:pPr>
      <w:r>
        <w:rPr>
          <w:rFonts w:hint="eastAsia" w:ascii="仿宋_GB2312" w:hAnsi="仿宋_GB2312" w:eastAsia="仿宋_GB2312" w:cs="仿宋_GB2312"/>
          <w:color w:val="auto"/>
          <w:kern w:val="2"/>
          <w:sz w:val="32"/>
          <w:szCs w:val="32"/>
          <w:lang w:val="en-US" w:eastAsia="zh-CN" w:bidi="ar-SA"/>
        </w:rPr>
        <w:t>农村“四老人员”补助项目年初预算</w:t>
      </w:r>
      <w:r>
        <w:rPr>
          <w:rFonts w:hint="eastAsia" w:ascii="仿宋_GB2312" w:hAnsi="仿宋_GB2312" w:cs="仿宋_GB2312"/>
          <w:color w:val="auto"/>
          <w:kern w:val="2"/>
          <w:sz w:val="32"/>
          <w:szCs w:val="32"/>
          <w:lang w:val="en-US" w:eastAsia="zh-CN" w:bidi="ar-SA"/>
        </w:rPr>
        <w:t>150.65</w:t>
      </w:r>
      <w:r>
        <w:rPr>
          <w:rFonts w:hint="eastAsia" w:ascii="仿宋_GB2312" w:hAnsi="仿宋_GB2312" w:eastAsia="仿宋_GB2312" w:cs="仿宋_GB2312"/>
          <w:color w:val="auto"/>
          <w:kern w:val="2"/>
          <w:sz w:val="32"/>
          <w:szCs w:val="32"/>
          <w:lang w:val="en-US" w:eastAsia="zh-CN" w:bidi="ar-SA"/>
        </w:rPr>
        <w:t>万元，全年预算</w:t>
      </w:r>
      <w:r>
        <w:rPr>
          <w:rFonts w:hint="eastAsia" w:ascii="仿宋_GB2312" w:hAnsi="仿宋_GB2312" w:cs="仿宋_GB2312"/>
          <w:color w:val="auto"/>
          <w:kern w:val="2"/>
          <w:sz w:val="32"/>
          <w:szCs w:val="32"/>
          <w:lang w:val="en-US" w:eastAsia="zh-CN" w:bidi="ar-SA"/>
        </w:rPr>
        <w:t>150.65</w:t>
      </w:r>
      <w:r>
        <w:rPr>
          <w:rFonts w:hint="eastAsia" w:ascii="仿宋_GB2312" w:hAnsi="仿宋_GB2312" w:eastAsia="仿宋_GB2312" w:cs="仿宋_GB2312"/>
          <w:color w:val="auto"/>
          <w:kern w:val="2"/>
          <w:sz w:val="32"/>
          <w:szCs w:val="32"/>
          <w:lang w:val="en-US" w:eastAsia="zh-CN" w:bidi="ar-SA"/>
        </w:rPr>
        <w:t>万元，实际支出</w:t>
      </w:r>
      <w:r>
        <w:rPr>
          <w:rFonts w:hint="eastAsia" w:ascii="仿宋_GB2312" w:hAnsi="仿宋_GB2312" w:cs="仿宋_GB2312"/>
          <w:color w:val="auto"/>
          <w:kern w:val="2"/>
          <w:sz w:val="32"/>
          <w:szCs w:val="32"/>
          <w:lang w:val="en-US" w:eastAsia="zh-CN" w:bidi="ar-SA"/>
        </w:rPr>
        <w:t>145.35</w:t>
      </w:r>
      <w:r>
        <w:rPr>
          <w:rFonts w:hint="eastAsia" w:ascii="仿宋_GB2312" w:hAnsi="仿宋_GB2312" w:eastAsia="仿宋_GB2312" w:cs="仿宋_GB2312"/>
          <w:color w:val="auto"/>
          <w:kern w:val="2"/>
          <w:sz w:val="32"/>
          <w:szCs w:val="32"/>
          <w:lang w:val="en-US" w:eastAsia="zh-CN" w:bidi="ar-SA"/>
        </w:rPr>
        <w:t>万元，预算执行率为</w:t>
      </w:r>
      <w:r>
        <w:rPr>
          <w:rFonts w:hint="eastAsia" w:ascii="仿宋_GB2312" w:hAnsi="仿宋_GB2312" w:cs="仿宋_GB2312"/>
          <w:color w:val="auto"/>
          <w:kern w:val="2"/>
          <w:sz w:val="32"/>
          <w:szCs w:val="32"/>
          <w:lang w:val="en-US" w:eastAsia="zh-CN" w:bidi="ar-SA"/>
        </w:rPr>
        <w:t>96.48</w:t>
      </w:r>
      <w:r>
        <w:rPr>
          <w:rFonts w:hint="eastAsia" w:ascii="仿宋_GB2312" w:hAnsi="仿宋_GB2312" w:eastAsia="仿宋_GB2312" w:cs="仿宋_GB2312"/>
          <w:color w:val="auto"/>
          <w:kern w:val="2"/>
          <w:sz w:val="32"/>
          <w:szCs w:val="32"/>
          <w:lang w:val="en-US" w:eastAsia="zh-CN" w:bidi="ar-SA"/>
        </w:rPr>
        <w:t>%，项目绩效指标总体完成率为</w:t>
      </w:r>
      <w:r>
        <w:rPr>
          <w:rFonts w:hint="eastAsia" w:ascii="仿宋_GB2312" w:hAnsi="仿宋_GB2312" w:cs="仿宋_GB2312"/>
          <w:color w:val="auto"/>
          <w:kern w:val="2"/>
          <w:sz w:val="32"/>
          <w:szCs w:val="32"/>
          <w:lang w:val="en-US" w:eastAsia="zh-CN" w:bidi="ar-SA"/>
        </w:rPr>
        <w:t>89.97</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Hans" w:bidi="ar-SA"/>
        </w:rPr>
        <w:t>总体</w:t>
      </w:r>
      <w:r>
        <w:rPr>
          <w:rFonts w:hint="eastAsia" w:ascii="仿宋_GB2312" w:hAnsi="仿宋_GB2312" w:eastAsia="仿宋_GB2312" w:cs="仿宋_GB2312"/>
          <w:color w:val="auto"/>
          <w:kern w:val="2"/>
          <w:sz w:val="32"/>
          <w:szCs w:val="32"/>
          <w:lang w:val="en-US" w:eastAsia="zh-CN" w:bidi="ar-SA"/>
        </w:rPr>
        <w:t>偏差率为</w:t>
      </w:r>
      <w:r>
        <w:rPr>
          <w:rFonts w:hint="eastAsia" w:ascii="仿宋_GB2312" w:hAnsi="仿宋_GB2312" w:cs="仿宋_GB2312"/>
          <w:color w:val="auto"/>
          <w:kern w:val="2"/>
          <w:sz w:val="32"/>
          <w:szCs w:val="32"/>
          <w:lang w:val="en-US" w:eastAsia="zh-CN" w:bidi="ar-SA"/>
        </w:rPr>
        <w:t>6.51</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Hans" w:bidi="ar-SA"/>
        </w:rPr>
        <w:t>偏差</w:t>
      </w:r>
      <w:r>
        <w:rPr>
          <w:rFonts w:hint="eastAsia" w:ascii="仿宋_GB2312" w:hAnsi="仿宋_GB2312" w:eastAsia="仿宋_GB2312" w:cs="仿宋_GB2312"/>
          <w:color w:val="auto"/>
          <w:kern w:val="2"/>
          <w:sz w:val="32"/>
          <w:szCs w:val="32"/>
          <w:lang w:val="en-US" w:eastAsia="zh-CN" w:bidi="ar-SA"/>
        </w:rPr>
        <w:t>原因按季度发放</w:t>
      </w:r>
      <w:r>
        <w:rPr>
          <w:rFonts w:hint="eastAsia" w:ascii="仿宋_GB2312" w:hAnsi="仿宋_GB2312" w:cs="仿宋_GB2312"/>
          <w:color w:val="auto"/>
          <w:kern w:val="2"/>
          <w:sz w:val="32"/>
          <w:szCs w:val="32"/>
          <w:lang w:val="en-US" w:eastAsia="zh-CN" w:bidi="ar-SA"/>
        </w:rPr>
        <w:t>、有部分四老人员去世</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Hans" w:bidi="ar-SA"/>
        </w:rPr>
        <w:t>改进</w:t>
      </w:r>
      <w:r>
        <w:rPr>
          <w:rFonts w:hint="eastAsia" w:ascii="仿宋_GB2312" w:hAnsi="仿宋_GB2312" w:eastAsia="仿宋_GB2312" w:cs="仿宋_GB2312"/>
          <w:color w:val="auto"/>
          <w:kern w:val="2"/>
          <w:sz w:val="32"/>
          <w:szCs w:val="32"/>
          <w:lang w:val="en-US" w:eastAsia="zh-CN" w:bidi="ar-SA"/>
        </w:rPr>
        <w:t>措施</w:t>
      </w:r>
      <w:r>
        <w:rPr>
          <w:rFonts w:hint="eastAsia" w:ascii="仿宋_GB2312" w:hAnsi="仿宋_GB2312" w:cs="仿宋_GB2312"/>
          <w:color w:val="auto"/>
          <w:kern w:val="2"/>
          <w:sz w:val="32"/>
          <w:szCs w:val="32"/>
          <w:lang w:val="en-US" w:eastAsia="zh-CN" w:bidi="ar-SA"/>
        </w:rPr>
        <w:t>按照进度发放人员补助，实时统计人员数量</w:t>
      </w:r>
      <w:r>
        <w:rPr>
          <w:rFonts w:hint="eastAsia" w:ascii="仿宋_GB2312" w:hAnsi="仿宋_GB2312" w:eastAsia="仿宋_GB2312" w:cs="仿宋_GB2312"/>
          <w:color w:val="auto"/>
          <w:kern w:val="2"/>
          <w:sz w:val="32"/>
          <w:szCs w:val="32"/>
          <w:lang w:val="en-US" w:eastAsia="zh-CN" w:bidi="ar-SA"/>
        </w:rPr>
        <w:t>。</w:t>
      </w:r>
    </w:p>
    <w:p>
      <w:pPr>
        <w:spacing w:line="560" w:lineRule="exact"/>
        <w:rPr>
          <w:rFonts w:hint="eastAsia" w:ascii="Times New Roman" w:hAnsi="Times New Roman" w:eastAsia="黑体" w:cs="Times New Roman"/>
          <w:bCs/>
          <w:sz w:val="32"/>
          <w:szCs w:val="32"/>
          <w:lang w:val="en-US" w:eastAsia="zh-CN"/>
        </w:rPr>
      </w:pPr>
      <w:bookmarkStart w:id="15" w:name="_Toc68703842"/>
      <w:r>
        <w:rPr>
          <w:rFonts w:hint="eastAsia" w:eastAsia="黑体" w:cs="Times New Roman"/>
          <w:bCs/>
          <w:sz w:val="32"/>
          <w:szCs w:val="32"/>
          <w:lang w:val="en-US" w:eastAsia="zh-CN"/>
        </w:rPr>
        <w:t>六</w:t>
      </w:r>
      <w:r>
        <w:rPr>
          <w:rFonts w:hint="eastAsia" w:ascii="Times New Roman" w:hAnsi="Times New Roman" w:eastAsia="黑体" w:cs="Times New Roman"/>
          <w:bCs/>
          <w:sz w:val="32"/>
          <w:szCs w:val="32"/>
          <w:lang w:val="en-US" w:eastAsia="zh-CN"/>
        </w:rPr>
        <w:t>、主要经验及做法、存在的问题及原因分析</w:t>
      </w:r>
      <w:bookmarkEnd w:id="15"/>
    </w:p>
    <w:p>
      <w:pPr>
        <w:spacing w:line="560" w:lineRule="exact"/>
        <w:rPr>
          <w:rFonts w:hint="eastAsia" w:ascii="Times New Roman" w:hAnsi="Times New Roman" w:eastAsia="楷体_GB2312" w:cs="Times New Roman"/>
          <w:b/>
          <w:bCs/>
          <w:kern w:val="2"/>
          <w:sz w:val="32"/>
          <w:szCs w:val="32"/>
          <w:lang w:val="en-US" w:eastAsia="zh-CN" w:bidi="ar-SA"/>
        </w:rPr>
      </w:pPr>
      <w:bookmarkStart w:id="16" w:name="_Toc68703843"/>
      <w:r>
        <w:rPr>
          <w:rFonts w:hint="eastAsia" w:ascii="Times New Roman" w:hAnsi="Times New Roman" w:eastAsia="楷体_GB2312" w:cs="Times New Roman"/>
          <w:b/>
          <w:bCs/>
          <w:kern w:val="2"/>
          <w:sz w:val="32"/>
          <w:szCs w:val="32"/>
          <w:lang w:val="en-US" w:eastAsia="zh-CN" w:bidi="ar-SA"/>
        </w:rPr>
        <w:t>（一）主要经验及做法</w:t>
      </w:r>
      <w:bookmarkEnd w:id="16"/>
    </w:p>
    <w:p>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spacing w:before="0" w:after="0" w:line="560" w:lineRule="exact"/>
        <w:ind w:firstLine="640" w:firstLineChars="200"/>
        <w:jc w:val="left"/>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bookmarkStart w:id="17" w:name="_Toc68703844"/>
      <w:r>
        <w:rPr>
          <w:rFonts w:hint="eastAsia" w:ascii="Times New Roman" w:hAnsi="Times New Roman" w:eastAsia="楷体_GB2312" w:cs="Times New Roman"/>
          <w:b/>
          <w:bCs/>
          <w:kern w:val="2"/>
          <w:sz w:val="32"/>
          <w:szCs w:val="32"/>
          <w:lang w:val="en-US" w:eastAsia="zh-CN" w:bidi="ar-SA"/>
        </w:rPr>
        <w:t>（二）存在的问题及原因分析</w:t>
      </w:r>
      <w:bookmarkEnd w:id="17"/>
      <w:r>
        <w:rPr>
          <w:rFonts w:hint="eastAsia" w:ascii="Times New Roman" w:hAnsi="Times New Roman" w:eastAsia="楷体_GB2312" w:cs="Times New Roman"/>
          <w:b/>
          <w:bCs/>
          <w:kern w:val="2"/>
          <w:sz w:val="32"/>
          <w:szCs w:val="32"/>
          <w:lang w:val="en-US" w:eastAsia="zh-CN" w:bidi="ar-SA"/>
        </w:rPr>
        <w:t>　</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2.因轮岗、调动等因素使我单位绩效工作人员流动频繁，造成了工作衔接不到位的情况。</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Times New Roman"/>
          <w:b w:val="0"/>
          <w:bCs w:val="0"/>
          <w:color w:val="FF0000"/>
          <w:kern w:val="2"/>
          <w:sz w:val="32"/>
          <w:szCs w:val="32"/>
          <w:lang w:val="en-US" w:eastAsia="zh-CN" w:bidi="ar-SA"/>
        </w:rPr>
      </w:pPr>
      <w:bookmarkStart w:id="18" w:name="_Toc68703845"/>
      <w:r>
        <w:rPr>
          <w:rFonts w:hint="eastAsia" w:eastAsia="黑体" w:cs="Times New Roman"/>
          <w:b w:val="0"/>
          <w:bCs/>
          <w:kern w:val="2"/>
          <w:sz w:val="32"/>
          <w:szCs w:val="32"/>
          <w:lang w:val="en-US" w:eastAsia="zh-CN" w:bidi="ar-SA"/>
        </w:rPr>
        <w:t>七</w:t>
      </w:r>
      <w:r>
        <w:rPr>
          <w:rFonts w:hint="eastAsia" w:ascii="Times New Roman" w:hAnsi="Times New Roman" w:eastAsia="黑体" w:cs="Times New Roman"/>
          <w:b w:val="0"/>
          <w:bCs/>
          <w:kern w:val="2"/>
          <w:sz w:val="32"/>
          <w:szCs w:val="32"/>
          <w:lang w:val="en-US" w:eastAsia="zh-CN" w:bidi="ar-SA"/>
        </w:rPr>
        <w:t>、有关建议</w:t>
      </w:r>
      <w:bookmarkEnd w:id="18"/>
      <w:r>
        <w:rPr>
          <w:rFonts w:hint="eastAsia" w:ascii="Times New Roman" w:hAnsi="Times New Roman" w:eastAsia="黑体" w:cs="Times New Roman"/>
          <w:b w:val="0"/>
          <w:bCs/>
          <w:kern w:val="2"/>
          <w:sz w:val="32"/>
          <w:szCs w:val="32"/>
          <w:lang w:val="en-US" w:eastAsia="zh-CN" w:bidi="ar-SA"/>
        </w:rPr>
        <w:t>　</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sz w:val="22"/>
          <w:szCs w:val="28"/>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Times New Roman"/>
          <w:b w:val="0"/>
          <w:bCs/>
          <w:kern w:val="2"/>
          <w:sz w:val="32"/>
          <w:szCs w:val="32"/>
          <w:lang w:val="en-US" w:eastAsia="zh-CN" w:bidi="ar-SA"/>
        </w:rPr>
      </w:pPr>
      <w:bookmarkStart w:id="19" w:name="_Toc68703846"/>
      <w:r>
        <w:rPr>
          <w:rFonts w:hint="eastAsia" w:ascii="Times New Roman" w:hAnsi="Times New Roman" w:eastAsia="黑体" w:cs="Times New Roman"/>
          <w:b w:val="0"/>
          <w:bCs/>
          <w:kern w:val="2"/>
          <w:sz w:val="32"/>
          <w:szCs w:val="32"/>
          <w:lang w:val="en-US" w:eastAsia="zh-CN" w:bidi="ar-SA"/>
        </w:rPr>
        <w:t>八、其他需要说明的问题</w:t>
      </w:r>
      <w:bookmarkEnd w:id="19"/>
    </w:p>
    <w:p>
      <w:pPr>
        <w:pStyle w:val="3"/>
        <w:pageBreakBefore w:val="0"/>
        <w:widowControl w:val="0"/>
        <w:kinsoku/>
        <w:wordWrap/>
        <w:overflowPunct/>
        <w:topLinePunct w:val="0"/>
        <w:autoSpaceDE/>
        <w:autoSpaceDN/>
        <w:bidi w:val="0"/>
        <w:adjustRightInd/>
        <w:snapToGrid/>
        <w:spacing w:line="560" w:lineRule="exact"/>
        <w:textAlignment w:val="auto"/>
      </w:pPr>
      <w:r>
        <w:rPr>
          <w:rFonts w:hint="eastAsia" w:ascii="仿宋_GB2312" w:hAnsi="仿宋_GB2312" w:eastAsia="仿宋_GB2312" w:cs="仿宋_GB2312"/>
          <w:sz w:val="32"/>
          <w:szCs w:val="32"/>
          <w:lang w:eastAsia="zh-Hans"/>
        </w:rPr>
        <w:t>本项目无其他需说明的问题</w:t>
      </w:r>
      <w:r>
        <w:rPr>
          <w:rFonts w:hint="eastAsia" w:ascii="仿宋_GB2312" w:hAnsi="仿宋_GB2312" w:cs="仿宋_GB2312"/>
          <w:sz w:val="32"/>
          <w:szCs w:val="32"/>
          <w:lang w:eastAsia="zh-CN"/>
        </w:rPr>
        <w:t>。</w:t>
      </w:r>
    </w:p>
    <w:tbl>
      <w:tblPr>
        <w:tblStyle w:val="11"/>
        <w:tblW w:w="8834" w:type="dxa"/>
        <w:tblInd w:w="0" w:type="dxa"/>
        <w:tblLayout w:type="fixed"/>
        <w:tblCellMar>
          <w:top w:w="0" w:type="dxa"/>
          <w:left w:w="0" w:type="dxa"/>
          <w:bottom w:w="0" w:type="dxa"/>
          <w:right w:w="0" w:type="dxa"/>
        </w:tblCellMar>
      </w:tblPr>
      <w:tblGrid>
        <w:gridCol w:w="695"/>
        <w:gridCol w:w="695"/>
        <w:gridCol w:w="695"/>
        <w:gridCol w:w="695"/>
        <w:gridCol w:w="646"/>
        <w:gridCol w:w="405"/>
        <w:gridCol w:w="967"/>
        <w:gridCol w:w="859"/>
        <w:gridCol w:w="560"/>
        <w:gridCol w:w="501"/>
        <w:gridCol w:w="570"/>
        <w:gridCol w:w="396"/>
        <w:gridCol w:w="454"/>
        <w:gridCol w:w="696"/>
      </w:tblGrid>
      <w:tr>
        <w:tblPrEx>
          <w:tblLayout w:type="fixed"/>
          <w:tblCellMar>
            <w:top w:w="0" w:type="dxa"/>
            <w:left w:w="0" w:type="dxa"/>
            <w:bottom w:w="0" w:type="dxa"/>
            <w:right w:w="0" w:type="dxa"/>
          </w:tblCellMar>
        </w:tblPrEx>
        <w:trPr>
          <w:trHeight w:val="420" w:hRule="atLeast"/>
        </w:trPr>
        <w:tc>
          <w:tcPr>
            <w:tcW w:w="8834" w:type="dxa"/>
            <w:gridSpan w:val="14"/>
            <w:tcBorders>
              <w:top w:val="nil"/>
              <w:left w:val="nil"/>
              <w:bottom w:val="single" w:color="auto"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eastAsia="方正小标宋简体"/>
                <w:b/>
                <w:sz w:val="32"/>
                <w:szCs w:val="32"/>
                <w:u w:val="singl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Layout w:type="fixed"/>
          <w:tblCellMar>
            <w:top w:w="0" w:type="dxa"/>
            <w:left w:w="0" w:type="dxa"/>
            <w:bottom w:w="0" w:type="dxa"/>
            <w:right w:w="0" w:type="dxa"/>
          </w:tblCellMar>
        </w:tblPrEx>
        <w:trPr>
          <w:trHeight w:val="288" w:hRule="atLeast"/>
        </w:trPr>
        <w:tc>
          <w:tcPr>
            <w:tcW w:w="8834" w:type="dxa"/>
            <w:gridSpan w:val="14"/>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(2023年度)</w:t>
            </w:r>
          </w:p>
        </w:tc>
      </w:tr>
      <w:tr>
        <w:tblPrEx>
          <w:tblLayout w:type="fixed"/>
          <w:tblCellMar>
            <w:top w:w="0" w:type="dxa"/>
            <w:left w:w="0" w:type="dxa"/>
            <w:bottom w:w="0" w:type="dxa"/>
            <w:right w:w="0" w:type="dxa"/>
          </w:tblCellMar>
        </w:tblPrEx>
        <w:trPr>
          <w:trHeight w:val="276" w:hRule="atLeast"/>
        </w:trPr>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项目名称</w:t>
            </w:r>
          </w:p>
        </w:tc>
        <w:tc>
          <w:tcPr>
            <w:tcW w:w="7444" w:type="dxa"/>
            <w:gridSpan w:val="1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农村“四老人员”补助</w:t>
            </w:r>
          </w:p>
        </w:tc>
      </w:tr>
      <w:tr>
        <w:tblPrEx>
          <w:tblLayout w:type="fixed"/>
          <w:tblCellMar>
            <w:top w:w="0" w:type="dxa"/>
            <w:left w:w="0" w:type="dxa"/>
            <w:bottom w:w="0" w:type="dxa"/>
            <w:right w:w="0" w:type="dxa"/>
          </w:tblCellMar>
        </w:tblPrEx>
        <w:trPr>
          <w:trHeight w:val="276" w:hRule="atLeast"/>
        </w:trPr>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主管部门</w:t>
            </w:r>
          </w:p>
        </w:tc>
        <w:tc>
          <w:tcPr>
            <w:tcW w:w="3408"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霍尔果斯市伊车嘎善锡伯乡人民政府</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实施单位</w:t>
            </w:r>
          </w:p>
        </w:tc>
        <w:tc>
          <w:tcPr>
            <w:tcW w:w="2617"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霍尔果斯市伊车嘎善锡伯乡人民政府</w:t>
            </w:r>
          </w:p>
        </w:tc>
      </w:tr>
      <w:tr>
        <w:tblPrEx>
          <w:tblLayout w:type="fixed"/>
          <w:tblCellMar>
            <w:top w:w="0" w:type="dxa"/>
            <w:left w:w="0" w:type="dxa"/>
            <w:bottom w:w="0" w:type="dxa"/>
            <w:right w:w="0" w:type="dxa"/>
          </w:tblCellMar>
        </w:tblPrEx>
        <w:trPr>
          <w:trHeight w:val="276" w:hRule="atLeast"/>
        </w:trPr>
        <w:tc>
          <w:tcPr>
            <w:tcW w:w="13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年初预算数</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全年预算数</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全年执行数</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分值</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执行率</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得分</w:t>
            </w:r>
          </w:p>
        </w:tc>
      </w:tr>
      <w:tr>
        <w:tblPrEx>
          <w:tblLayout w:type="fixed"/>
          <w:tblCellMar>
            <w:top w:w="0" w:type="dxa"/>
            <w:left w:w="0" w:type="dxa"/>
            <w:bottom w:w="0" w:type="dxa"/>
            <w:right w:w="0" w:type="dxa"/>
          </w:tblCellMar>
        </w:tblPrEx>
        <w:trPr>
          <w:trHeight w:val="623" w:hRule="atLeast"/>
        </w:trPr>
        <w:tc>
          <w:tcPr>
            <w:tcW w:w="13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年度资金总额</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150.65</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150.65</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145.35</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96.48%</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9.65分</w:t>
            </w:r>
          </w:p>
        </w:tc>
      </w:tr>
      <w:tr>
        <w:tblPrEx>
          <w:tblLayout w:type="fixed"/>
          <w:tblCellMar>
            <w:top w:w="0" w:type="dxa"/>
            <w:left w:w="0" w:type="dxa"/>
            <w:bottom w:w="0" w:type="dxa"/>
            <w:right w:w="0" w:type="dxa"/>
          </w:tblCellMar>
        </w:tblPrEx>
        <w:trPr>
          <w:trHeight w:val="638" w:hRule="atLeast"/>
        </w:trPr>
        <w:tc>
          <w:tcPr>
            <w:tcW w:w="13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其中：当年财政拨款</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150.65</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150.65</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145.35</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3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 xml:space="preserve">      上年结转资金</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3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年度总体目标</w:t>
            </w: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预期目标</w:t>
            </w:r>
          </w:p>
        </w:tc>
        <w:tc>
          <w:tcPr>
            <w:tcW w:w="4036"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实际完成情况</w:t>
            </w:r>
          </w:p>
        </w:tc>
      </w:tr>
      <w:tr>
        <w:tblPrEx>
          <w:tblLayout w:type="fixed"/>
          <w:tblCellMar>
            <w:top w:w="0" w:type="dxa"/>
            <w:left w:w="0" w:type="dxa"/>
            <w:bottom w:w="0" w:type="dxa"/>
            <w:right w:w="0" w:type="dxa"/>
          </w:tblCellMar>
        </w:tblPrEx>
        <w:trPr>
          <w:trHeight w:val="7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keepNext w:val="0"/>
              <w:keepLines w:val="0"/>
              <w:widowControl/>
              <w:suppressLineNumbers w:val="0"/>
              <w:jc w:val="left"/>
              <w:textAlignment w:val="top"/>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完成本年度全乡119人四老人员补贴的发放，全年共计发放完成12次，计划于2023年12月20日前发放完成。保障伊车乡工作的正常开展，按时完成上级部门下达的任务。2、保障基层工作的正常开展。3、不断促进乡村振兴工作有效进行，提高四老人员生活质量。</w:t>
            </w:r>
          </w:p>
        </w:tc>
        <w:tc>
          <w:tcPr>
            <w:tcW w:w="4036"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keepNext w:val="0"/>
              <w:keepLines w:val="0"/>
              <w:widowControl/>
              <w:suppressLineNumbers w:val="0"/>
              <w:jc w:val="left"/>
              <w:textAlignment w:val="top"/>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完成全乡112名四老人员补贴的发放，大大提高了四老人员的生活保障，提升了对政府工作的高度认可，不断保障基层工作有序开展。</w:t>
            </w:r>
          </w:p>
        </w:tc>
      </w:tr>
      <w:tr>
        <w:tblPrEx>
          <w:tblLayout w:type="fixed"/>
          <w:tblCellMar>
            <w:top w:w="0" w:type="dxa"/>
            <w:left w:w="0" w:type="dxa"/>
            <w:bottom w:w="0" w:type="dxa"/>
            <w:right w:w="0" w:type="dxa"/>
          </w:tblCellMar>
        </w:tblPrEx>
        <w:trPr>
          <w:trHeight w:val="408"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一级指标</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二级指标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三级指标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年度指标值</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实际完成值</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分值</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得分</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偏差原因分析及改进措施</w:t>
            </w:r>
          </w:p>
        </w:tc>
      </w:tr>
      <w:tr>
        <w:tblPrEx>
          <w:tblLayout w:type="fixed"/>
          <w:tblCellMar>
            <w:top w:w="0" w:type="dxa"/>
            <w:left w:w="0" w:type="dxa"/>
            <w:bottom w:w="0" w:type="dxa"/>
            <w:right w:w="0" w:type="dxa"/>
          </w:tblCellMar>
        </w:tblPrEx>
        <w:trPr>
          <w:trHeight w:val="408" w:hRule="atLeast"/>
        </w:trPr>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产出指标</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数量指标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发放四老人员补贴次数</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&gt;=12次</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4次</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3.33</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按季度发放</w:t>
            </w:r>
          </w:p>
        </w:tc>
      </w:tr>
      <w:tr>
        <w:tblPrEx>
          <w:tblLayout w:type="fixed"/>
          <w:tblCellMar>
            <w:top w:w="0" w:type="dxa"/>
            <w:left w:w="0" w:type="dxa"/>
            <w:bottom w:w="0" w:type="dxa"/>
            <w:right w:w="0" w:type="dxa"/>
          </w:tblCellMar>
        </w:tblPrEx>
        <w:trPr>
          <w:trHeight w:val="56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数量指标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发放四老人员补贴人数</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&gt;=112人</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112人</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vMerge w:val="continue"/>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质量指标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发放四老人员补贴保障率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时效指标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发放四老人员补贴及时率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vMerge w:val="restart"/>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成本指标</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经济成本指标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人均四老人员补贴支出成本</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&lt;=13450.89元/人</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12977.45元/人</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20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19.3</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有部分四老人员去世</w:t>
            </w:r>
          </w:p>
        </w:tc>
      </w:tr>
      <w:tr>
        <w:tblPrEx>
          <w:tblLayout w:type="fixed"/>
          <w:tblCellMar>
            <w:top w:w="0" w:type="dxa"/>
            <w:left w:w="0" w:type="dxa"/>
            <w:bottom w:w="0" w:type="dxa"/>
            <w:right w:w="0" w:type="dxa"/>
          </w:tblCellMar>
        </w:tblPrEx>
        <w:trPr>
          <w:trHeight w:val="6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社会成本指标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pP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pP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432"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生态环境成本指标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pP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pP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bl>
    <w:p>
      <w:pPr>
        <w:spacing w:line="600" w:lineRule="exact"/>
        <w:rPr>
          <w:rFonts w:hint="eastAsia" w:ascii="黑体" w:hAnsi="黑体" w:eastAsia="黑体" w:cs="黑体"/>
          <w:bCs/>
          <w:sz w:val="32"/>
          <w:szCs w:val="32"/>
        </w:rPr>
        <w:sectPr>
          <w:headerReference r:id="rId3" w:type="default"/>
          <w:pgSz w:w="11906" w:h="16838"/>
          <w:pgMar w:top="1928" w:right="1531" w:bottom="1701" w:left="1531" w:header="737" w:footer="851" w:gutter="0"/>
          <w:cols w:space="720" w:num="1"/>
          <w:docGrid w:type="lines" w:linePitch="408" w:charSpace="0"/>
        </w:sectPr>
      </w:pPr>
    </w:p>
    <w:p>
      <w:pPr>
        <w:pStyle w:val="20"/>
        <w:ind w:firstLine="562"/>
        <w:jc w:val="center"/>
        <w:rPr>
          <w:sz w:val="28"/>
          <w:szCs w:val="40"/>
        </w:rPr>
      </w:pPr>
      <w:bookmarkStart w:id="20" w:name="_Toc30064_WPSOffice_Level1"/>
      <w:bookmarkStart w:id="21" w:name="_Toc26499_WPSOffice_Level2"/>
      <w:r>
        <w:rPr>
          <w:rFonts w:hint="eastAsia"/>
          <w:b/>
          <w:bCs/>
          <w:sz w:val="28"/>
          <w:szCs w:val="40"/>
          <w:highlight w:val="none"/>
          <w:lang w:val="en-US" w:eastAsia="zh-CN"/>
        </w:rPr>
        <w:t>农村“四老人员”补助</w:t>
      </w:r>
      <w:r>
        <w:rPr>
          <w:rFonts w:hint="eastAsia"/>
          <w:b/>
          <w:bCs/>
          <w:sz w:val="28"/>
          <w:szCs w:val="40"/>
          <w:highlight w:val="none"/>
        </w:rPr>
        <w:t>项目</w:t>
      </w:r>
      <w:r>
        <w:rPr>
          <w:rFonts w:hint="eastAsia"/>
          <w:b/>
          <w:bCs/>
          <w:sz w:val="28"/>
          <w:szCs w:val="40"/>
        </w:rPr>
        <w:t>绩效评价指标体系及综合评分表</w:t>
      </w:r>
      <w:bookmarkEnd w:id="20"/>
      <w:bookmarkEnd w:id="21"/>
    </w:p>
    <w:tbl>
      <w:tblPr>
        <w:tblStyle w:val="11"/>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4"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198"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r>
              <w:rPr>
                <w:color w:val="000000"/>
                <w:kern w:val="0"/>
                <w:sz w:val="22"/>
                <w:szCs w:val="22"/>
              </w:rPr>
              <w:t>决策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r>
              <w:rPr>
                <w:color w:val="000000"/>
                <w:kern w:val="0"/>
                <w:sz w:val="22"/>
                <w:szCs w:val="22"/>
              </w:rPr>
              <w:t>过程</w:t>
            </w:r>
          </w:p>
          <w:p>
            <w:pPr>
              <w:widowControl/>
              <w:spacing w:line="0" w:lineRule="atLeast"/>
              <w:jc w:val="center"/>
              <w:rPr>
                <w:color w:val="000000"/>
                <w:kern w:val="0"/>
                <w:sz w:val="22"/>
                <w:szCs w:val="22"/>
              </w:rPr>
            </w:pPr>
            <w:r>
              <w:rPr>
                <w:color w:val="000000"/>
                <w:kern w:val="0"/>
                <w:sz w:val="22"/>
                <w:szCs w:val="22"/>
              </w:rPr>
              <w:t>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3.86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6.67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9.64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bl>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方正小标宋_GBK">
    <w:altName w:val="微软雅黑"/>
    <w:panose1 w:val="00000000000000000000"/>
    <w:charset w:val="86"/>
    <w:family w:val="script"/>
    <w:pitch w:val="default"/>
    <w:sig w:usb0="00000000" w:usb1="00000000" w:usb2="00000000" w:usb3="00000000" w:csb0="00040000"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2000000000000000000"/>
    <w:charset w:val="86"/>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42717433"/>
    <w:multiLevelType w:val="singleLevel"/>
    <w:tmpl w:val="4271743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wMDBlOWI1ZTlmZjkxMjU1NGZhYTA2MjFjNzBiYjkifQ=="/>
  </w:docVars>
  <w:rsids>
    <w:rsidRoot w:val="007D49C5"/>
    <w:rsid w:val="000D63FA"/>
    <w:rsid w:val="005B64E8"/>
    <w:rsid w:val="00614288"/>
    <w:rsid w:val="00670592"/>
    <w:rsid w:val="00792CFE"/>
    <w:rsid w:val="007D49C5"/>
    <w:rsid w:val="008175E0"/>
    <w:rsid w:val="008C631D"/>
    <w:rsid w:val="00A114ED"/>
    <w:rsid w:val="00B24331"/>
    <w:rsid w:val="01583141"/>
    <w:rsid w:val="05253FFE"/>
    <w:rsid w:val="0F2A6BF7"/>
    <w:rsid w:val="107902E3"/>
    <w:rsid w:val="109627EE"/>
    <w:rsid w:val="17136327"/>
    <w:rsid w:val="178B5B00"/>
    <w:rsid w:val="181871E2"/>
    <w:rsid w:val="19166846"/>
    <w:rsid w:val="1A6D5824"/>
    <w:rsid w:val="1DBC7ED6"/>
    <w:rsid w:val="1EBE212D"/>
    <w:rsid w:val="20E92B23"/>
    <w:rsid w:val="22AC2218"/>
    <w:rsid w:val="24175B8C"/>
    <w:rsid w:val="2729052F"/>
    <w:rsid w:val="28C14634"/>
    <w:rsid w:val="2DDC399E"/>
    <w:rsid w:val="2E161159"/>
    <w:rsid w:val="2EC724D4"/>
    <w:rsid w:val="2EE30257"/>
    <w:rsid w:val="309A5E3E"/>
    <w:rsid w:val="34DA27CE"/>
    <w:rsid w:val="36411DC5"/>
    <w:rsid w:val="36B72533"/>
    <w:rsid w:val="3925710A"/>
    <w:rsid w:val="4057649F"/>
    <w:rsid w:val="450B6AE4"/>
    <w:rsid w:val="4E861605"/>
    <w:rsid w:val="54873A1A"/>
    <w:rsid w:val="56796849"/>
    <w:rsid w:val="568F383B"/>
    <w:rsid w:val="5D555EEF"/>
    <w:rsid w:val="5D9C0E92"/>
    <w:rsid w:val="5DA95371"/>
    <w:rsid w:val="60277BAD"/>
    <w:rsid w:val="686F7714"/>
    <w:rsid w:val="6A862BA8"/>
    <w:rsid w:val="6DFC1C65"/>
    <w:rsid w:val="75FA041F"/>
    <w:rsid w:val="760F49BD"/>
    <w:rsid w:val="76E870A0"/>
    <w:rsid w:val="7AE40DD7"/>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footer"/>
    <w:basedOn w:val="1"/>
    <w:link w:val="19"/>
    <w:semiHidden/>
    <w:unhideWhenUsed/>
    <w:qFormat/>
    <w:uiPriority w:val="99"/>
    <w:pPr>
      <w:tabs>
        <w:tab w:val="center" w:pos="4153"/>
        <w:tab w:val="right" w:pos="8306"/>
      </w:tabs>
      <w:snapToGrid w:val="0"/>
      <w:jc w:val="left"/>
    </w:pPr>
    <w:rPr>
      <w:sz w:val="18"/>
      <w:szCs w:val="18"/>
    </w:rPr>
  </w:style>
  <w:style w:type="paragraph" w:styleId="8">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3">
    <w:name w:val="Strong"/>
    <w:qFormat/>
    <w:uiPriority w:val="0"/>
    <w:rPr>
      <w:b/>
      <w:bCs/>
    </w:rPr>
  </w:style>
  <w:style w:type="character" w:styleId="14">
    <w:name w:val="Hyperlink"/>
    <w:basedOn w:val="12"/>
    <w:unhideWhenUsed/>
    <w:qFormat/>
    <w:uiPriority w:val="99"/>
    <w:rPr>
      <w:color w:val="0563C1" w:themeColor="hyperlink"/>
      <w:u w:val="single"/>
      <w14:textFill>
        <w14:solidFill>
          <w14:schemeClr w14:val="hlink"/>
        </w14:solidFill>
      </w14:textFill>
    </w:rPr>
  </w:style>
  <w:style w:type="character" w:customStyle="1" w:styleId="15">
    <w:name w:val="标题 1 Char"/>
    <w:basedOn w:val="12"/>
    <w:link w:val="3"/>
    <w:qFormat/>
    <w:uiPriority w:val="9"/>
    <w:rPr>
      <w:rFonts w:ascii="Times New Roman" w:hAnsi="Times New Roman" w:eastAsia="仿宋_GB2312" w:cs="Times New Roman"/>
      <w:b/>
      <w:bCs/>
      <w:kern w:val="44"/>
      <w:sz w:val="44"/>
      <w:szCs w:val="44"/>
    </w:rPr>
  </w:style>
  <w:style w:type="character" w:customStyle="1" w:styleId="16">
    <w:name w:val="标题 2 Char"/>
    <w:basedOn w:val="12"/>
    <w:link w:val="4"/>
    <w:qFormat/>
    <w:uiPriority w:val="9"/>
    <w:rPr>
      <w:rFonts w:asciiTheme="majorHAnsi" w:hAnsiTheme="majorHAnsi" w:eastAsiaTheme="majorEastAsia" w:cstheme="majorBidi"/>
      <w:b/>
      <w:bCs/>
      <w:sz w:val="32"/>
      <w:szCs w:val="32"/>
    </w:rPr>
  </w:style>
  <w:style w:type="paragraph" w:customStyle="1" w:styleId="17">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8">
    <w:name w:val="页眉 Char"/>
    <w:basedOn w:val="12"/>
    <w:link w:val="8"/>
    <w:semiHidden/>
    <w:qFormat/>
    <w:uiPriority w:val="99"/>
    <w:rPr>
      <w:rFonts w:ascii="Times New Roman" w:hAnsi="Times New Roman" w:eastAsia="仿宋_GB2312" w:cs="Times New Roman"/>
      <w:sz w:val="18"/>
      <w:szCs w:val="18"/>
    </w:rPr>
  </w:style>
  <w:style w:type="character" w:customStyle="1" w:styleId="19">
    <w:name w:val="页脚 Char"/>
    <w:basedOn w:val="12"/>
    <w:link w:val="7"/>
    <w:semiHidden/>
    <w:qFormat/>
    <w:uiPriority w:val="99"/>
    <w:rPr>
      <w:rFonts w:ascii="Times New Roman" w:hAnsi="Times New Roman" w:eastAsia="仿宋_GB2312" w:cs="Times New Roman"/>
      <w:sz w:val="18"/>
      <w:szCs w:val="18"/>
    </w:rPr>
  </w:style>
  <w:style w:type="paragraph" w:customStyle="1" w:styleId="20">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9262</Words>
  <Characters>9728</Characters>
  <Lines>37</Lines>
  <Paragraphs>10</Paragraphs>
  <TotalTime>13</TotalTime>
  <ScaleCrop>false</ScaleCrop>
  <LinksUpToDate>false</LinksUpToDate>
  <CharactersWithSpaces>9799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2026-07-02T08:11:44Z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474120B5BAEA43AFB94531B1C8881849</vt:lpwstr>
  </property>
</Properties>
</file>