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Arial"/>
          <w:b/>
          <w:bCs/>
          <w:sz w:val="48"/>
          <w:szCs w:val="48"/>
          <w:lang w:eastAsia="zh-CN"/>
        </w:rPr>
      </w:pPr>
    </w:p>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sz w:val="48"/>
          <w:szCs w:val="48"/>
        </w:rPr>
      </w:pPr>
    </w:p>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sz w:val="48"/>
          <w:szCs w:val="48"/>
        </w:rPr>
      </w:pPr>
    </w:p>
    <w:p>
      <w:pPr>
        <w:pageBreakBefore w:val="0"/>
        <w:kinsoku/>
        <w:wordWrap/>
        <w:overflowPunct/>
        <w:topLinePunct w:val="0"/>
        <w:autoSpaceDE/>
        <w:autoSpaceDN/>
        <w:bidi w:val="0"/>
        <w:adjustRightInd/>
        <w:snapToGrid/>
        <w:spacing w:line="560" w:lineRule="exact"/>
        <w:ind w:left="0"/>
        <w:jc w:val="center"/>
        <w:outlineLvl w:val="9"/>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lang w:val="en-US" w:eastAsia="zh-CN"/>
        </w:rPr>
        <w:t>食品、药品、产品质量抽检项目</w:t>
      </w:r>
      <w:r>
        <w:rPr>
          <w:rFonts w:hint="eastAsia" w:ascii="方正小标宋简体" w:hAnsi="方正小标宋简体" w:eastAsia="方正小标宋简体" w:cs="方正小标宋简体"/>
          <w:kern w:val="0"/>
          <w:sz w:val="48"/>
          <w:szCs w:val="48"/>
        </w:rPr>
        <w:t>支出绩效评价报告</w:t>
      </w:r>
    </w:p>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sz w:val="48"/>
          <w:szCs w:val="48"/>
        </w:rPr>
      </w:pPr>
    </w:p>
    <w:p>
      <w:pPr>
        <w:pageBreakBefore w:val="0"/>
        <w:widowControl/>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firstLine="321" w:firstLineChars="100"/>
        <w:jc w:val="both"/>
        <w:outlineLvl w:val="9"/>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食品、药品、产品质量抽检项目</w:t>
      </w:r>
    </w:p>
    <w:p>
      <w:pPr>
        <w:pageBreakBefore w:val="0"/>
        <w:kinsoku/>
        <w:wordWrap/>
        <w:overflowPunct/>
        <w:topLinePunct w:val="0"/>
        <w:autoSpaceDE/>
        <w:autoSpaceDN/>
        <w:bidi w:val="0"/>
        <w:adjustRightInd/>
        <w:snapToGrid/>
        <w:spacing w:line="560" w:lineRule="exact"/>
        <w:ind w:left="0"/>
        <w:jc w:val="both"/>
        <w:outlineLvl w:val="9"/>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霍尔果斯市市场监督管理局</w:t>
      </w:r>
    </w:p>
    <w:p>
      <w:pPr>
        <w:pageBreakBefore w:val="0"/>
        <w:kinsoku/>
        <w:wordWrap/>
        <w:overflowPunct/>
        <w:topLinePunct w:val="0"/>
        <w:autoSpaceDE/>
        <w:autoSpaceDN/>
        <w:bidi w:val="0"/>
        <w:adjustRightInd/>
        <w:snapToGrid/>
        <w:spacing w:line="560" w:lineRule="exact"/>
        <w:ind w:left="0"/>
        <w:jc w:val="both"/>
        <w:outlineLvl w:val="9"/>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霍尔果斯市市场监督管理局</w:t>
      </w:r>
    </w:p>
    <w:p>
      <w:pPr>
        <w:pageBreakBefore w:val="0"/>
        <w:kinsoku/>
        <w:wordWrap/>
        <w:overflowPunct/>
        <w:topLinePunct w:val="0"/>
        <w:autoSpaceDE/>
        <w:autoSpaceDN/>
        <w:bidi w:val="0"/>
        <w:adjustRightInd/>
        <w:snapToGrid/>
        <w:spacing w:line="560" w:lineRule="exact"/>
        <w:ind w:left="0" w:firstLine="321" w:firstLineChars="100"/>
        <w:jc w:val="both"/>
        <w:outlineLvl w:val="9"/>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包毅</w:t>
      </w:r>
    </w:p>
    <w:p>
      <w:pPr>
        <w:pageBreakBefore w:val="0"/>
        <w:kinsoku/>
        <w:wordWrap/>
        <w:overflowPunct/>
        <w:topLinePunct w:val="0"/>
        <w:autoSpaceDE/>
        <w:autoSpaceDN/>
        <w:bidi w:val="0"/>
        <w:adjustRightInd/>
        <w:snapToGrid/>
        <w:spacing w:line="560" w:lineRule="exact"/>
        <w:ind w:left="0" w:firstLine="321" w:firstLineChars="100"/>
        <w:jc w:val="both"/>
        <w:outlineLvl w:val="9"/>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月  </w:t>
      </w:r>
      <w:r>
        <w:rPr>
          <w:rFonts w:hint="eastAsia" w:ascii="宋体" w:hAnsi="宋体" w:eastAsia="宋体" w:cs="仿宋_GB2312"/>
          <w:color w:val="000000"/>
          <w:kern w:val="0"/>
          <w:sz w:val="32"/>
          <w:szCs w:val="32"/>
          <w:lang w:val="en-US" w:eastAsia="zh-CN"/>
        </w:rPr>
        <w:t>7</w:t>
      </w:r>
      <w:r>
        <w:rPr>
          <w:rFonts w:hint="eastAsia" w:ascii="宋体" w:hAnsi="宋体" w:eastAsia="宋体" w:cs="仿宋_GB2312"/>
          <w:color w:val="000000"/>
          <w:kern w:val="0"/>
          <w:sz w:val="32"/>
          <w:szCs w:val="32"/>
        </w:rPr>
        <w:t xml:space="preserve"> 日</w:t>
      </w:r>
    </w:p>
    <w:p>
      <w:pPr>
        <w:pageBreakBefore w:val="0"/>
        <w:widowControl/>
        <w:kinsoku/>
        <w:wordWrap/>
        <w:overflowPunct/>
        <w:topLinePunct w:val="0"/>
        <w:autoSpaceDE/>
        <w:autoSpaceDN/>
        <w:bidi w:val="0"/>
        <w:adjustRightInd/>
        <w:snapToGrid/>
        <w:spacing w:line="560" w:lineRule="exact"/>
        <w:ind w:left="0"/>
        <w:jc w:val="left"/>
        <w:outlineLvl w:val="9"/>
        <w:rPr>
          <w:rFonts w:ascii="宋体" w:hAnsi="宋体" w:eastAsia="宋体" w:cs="Arial"/>
          <w:b/>
          <w:bCs/>
          <w:sz w:val="36"/>
          <w:szCs w:val="36"/>
        </w:rPr>
      </w:pPr>
      <w:r>
        <w:rPr>
          <w:rFonts w:ascii="宋体" w:hAnsi="宋体" w:eastAsia="宋体" w:cs="Arial"/>
          <w:b/>
          <w:bCs/>
          <w:sz w:val="36"/>
          <w:szCs w:val="36"/>
        </w:rPr>
        <w:br w:type="page"/>
      </w:r>
    </w:p>
    <w:p>
      <w:pPr>
        <w:pageBreakBefore w:val="0"/>
        <w:numPr>
          <w:ilvl w:val="0"/>
          <w:numId w:val="1"/>
        </w:numPr>
        <w:kinsoku/>
        <w:wordWrap/>
        <w:overflowPunct/>
        <w:topLinePunct w:val="0"/>
        <w:autoSpaceDE/>
        <w:autoSpaceDN/>
        <w:bidi w:val="0"/>
        <w:adjustRightInd/>
        <w:snapToGrid/>
        <w:spacing w:line="560" w:lineRule="exact"/>
        <w:ind w:left="0"/>
        <w:outlineLvl w:val="9"/>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left="0"/>
        <w:outlineLvl w:val="9"/>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kinsoku/>
        <w:wordWrap/>
        <w:overflowPunct/>
        <w:topLinePunct w:val="0"/>
        <w:autoSpaceDE/>
        <w:autoSpaceDN/>
        <w:bidi w:val="0"/>
        <w:adjustRightInd/>
        <w:snapToGrid/>
        <w:spacing w:line="560" w:lineRule="exact"/>
        <w:ind w:left="0" w:firstLine="643" w:firstLineChars="200"/>
        <w:outlineLvl w:val="9"/>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val="en-US" w:eastAsia="zh-CN"/>
        </w:rPr>
        <w:t>　1.项目背景：</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本项目依据《中共中央 国务院关于全面实施预算绩效管理的意见》（中发〔2018〕34号）、《关于印发&lt;乌鲁木齐市本级部门预算绩效目标管理暂行办法&gt;的通知》（乌财预</w:t>
      </w:r>
      <w:bookmarkStart w:id="2" w:name="_Hlk67566397"/>
      <w:r>
        <w:rPr>
          <w:rFonts w:hint="eastAsia" w:ascii="方正仿宋简体" w:hAnsi="方正仿宋简体" w:eastAsia="方正仿宋简体" w:cs="方正仿宋简体"/>
          <w:color w:val="auto"/>
          <w:sz w:val="32"/>
          <w:szCs w:val="32"/>
        </w:rPr>
        <w:t>〔2018〕56号</w:t>
      </w:r>
      <w:bookmarkEnd w:id="2"/>
      <w:r>
        <w:rPr>
          <w:rFonts w:hint="eastAsia" w:ascii="方正仿宋简体" w:hAnsi="方正仿宋简体" w:eastAsia="方正仿宋简体" w:cs="方正仿宋简体"/>
          <w:color w:val="auto"/>
          <w:sz w:val="32"/>
          <w:szCs w:val="32"/>
        </w:rPr>
        <w:t>）、《关于做好2019年部门预算项目支出绩效目标管理有关事宜的通知》（乌财预〔2018〕76号）和《项目支出绩效评价管理办法》（财预〔2020〕10号）等文件要求，</w:t>
      </w:r>
      <w:r>
        <w:rPr>
          <w:rFonts w:hint="eastAsia" w:ascii="方正仿宋简体" w:hAnsi="方正仿宋简体" w:eastAsia="方正仿宋简体" w:cs="方正仿宋简体"/>
          <w:i w:val="0"/>
          <w:caps w:val="0"/>
          <w:color w:val="auto"/>
          <w:spacing w:val="0"/>
          <w:sz w:val="32"/>
          <w:szCs w:val="32"/>
          <w:shd w:val="clear" w:fill="FFFFFF"/>
        </w:rPr>
        <w:t>根据《2023年地县市场监管局食品安全监督抽检计划》文件要求，对辖区内抽检品种主要为畜禽肉类及副产品、蔬菜、水果、水产品、鲜蛋共五大类，主要针对农兽药残留开展监督抽检。市场监督管理局作为执法部门，时刻把牢安全这条红线底线为主要目标责任，落实深化商事制度改革不停步，提升监管执法效能不懈怠，保障居民饮食用药安全不放松，各项工作推进落实良好有序，产品质量抽检抽查等工作，为切实做好了市场监督管理工作。2023年，霍尔果斯市食品安全监督抽检总任务量110批次，其中，学校、托幼、养老、福利等机构食堂餐饮食品、食用农产品；完成抽检药品医疗器械6批次；完成抽检产品质量20批次</w:t>
      </w:r>
      <w:r>
        <w:rPr>
          <w:rFonts w:hint="eastAsia" w:ascii="方正仿宋简体" w:hAnsi="方正仿宋简体" w:eastAsia="方正仿宋简体" w:cs="方正仿宋简体"/>
          <w:i w:val="0"/>
          <w:caps w:val="0"/>
          <w:color w:val="auto"/>
          <w:spacing w:val="0"/>
          <w:sz w:val="32"/>
          <w:szCs w:val="32"/>
          <w:shd w:val="clear" w:fill="FFFFFF"/>
          <w:lang w:eastAsia="zh-CN"/>
        </w:rPr>
        <w:t>。</w:t>
      </w:r>
      <w:r>
        <w:rPr>
          <w:rFonts w:hint="eastAsia" w:ascii="方正仿宋简体" w:hAnsi="方正仿宋简体" w:eastAsia="方正仿宋简体" w:cs="方正仿宋简体"/>
          <w:color w:val="auto"/>
          <w:sz w:val="32"/>
          <w:szCs w:val="32"/>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kinsoku/>
        <w:wordWrap/>
        <w:overflowPunct/>
        <w:topLinePunct w:val="0"/>
        <w:autoSpaceDE/>
        <w:autoSpaceDN/>
        <w:bidi w:val="0"/>
        <w:adjustRightInd/>
        <w:snapToGrid/>
        <w:spacing w:line="560" w:lineRule="exact"/>
        <w:ind w:left="0" w:firstLine="643" w:firstLineChars="200"/>
        <w:outlineLvl w:val="9"/>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　2.</w:t>
      </w:r>
      <w:r>
        <w:rPr>
          <w:rFonts w:hint="eastAsia" w:cs="Times New Roman"/>
          <w:b/>
          <w:bCs/>
          <w:sz w:val="32"/>
          <w:szCs w:val="32"/>
          <w:lang w:val="en-US" w:eastAsia="zh-CN"/>
        </w:rPr>
        <w:t>项目</w:t>
      </w:r>
      <w:r>
        <w:rPr>
          <w:rFonts w:hint="eastAsia" w:ascii="Times New Roman" w:hAnsi="Times New Roman" w:eastAsia="仿宋_GB2312" w:cs="Times New Roman"/>
          <w:b/>
          <w:bCs/>
          <w:sz w:val="32"/>
          <w:szCs w:val="32"/>
          <w:lang w:val="en-US" w:eastAsia="zh-CN"/>
        </w:rPr>
        <w:t>主要内容</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color w:val="auto"/>
          <w:sz w:val="32"/>
          <w:szCs w:val="32"/>
        </w:rPr>
        <w:t>主要内容：根据《2023年地县市场监管局食品安全监督抽检计划》文件要求，对辖区内抽检品种主要为畜禽肉类及副产品、蔬菜、水果、水产品、鲜蛋共五大类，主要针对农兽药残留开展监督抽检。食用农产品、药品，各类产品质量抽检项目经费20万元。市场监督管理局作为执法部门，时刻把牢安全这条红线底线为主要目标责任，落实深化商事制度改革不停步，提升监管执法效能不懈怠，保障居民饮食用药安全不放松，各项工作推进落实良好有序，产品质量抽检抽查等工作，为切实做好了市场监督管理工作。2023年，霍尔果斯市食品安全监督抽检总任务量110批次，其中，学校、托幼、养老、福利等机构食堂餐饮食品、食用农产品；完成抽检药品医疗器械6批次；完成抽检产品质量20批次</w:t>
      </w:r>
      <w:r>
        <w:rPr>
          <w:rFonts w:hint="eastAsia" w:ascii="方正仿宋简体" w:hAnsi="方正仿宋简体" w:eastAsia="方正仿宋简体" w:cs="方正仿宋简体"/>
          <w:color w:val="auto"/>
          <w:sz w:val="32"/>
          <w:szCs w:val="32"/>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方正仿宋简体" w:hAnsi="方正仿宋简体" w:eastAsia="方正仿宋简体" w:cs="方正仿宋简体"/>
          <w:i w:val="0"/>
          <w:caps w:val="0"/>
          <w:color w:val="333333"/>
          <w:spacing w:val="0"/>
          <w:sz w:val="32"/>
          <w:szCs w:val="32"/>
        </w:rPr>
      </w:pPr>
      <w:r>
        <w:rPr>
          <w:rFonts w:hint="eastAsia" w:ascii="方正仿宋简体" w:hAnsi="方正仿宋简体" w:eastAsia="方正仿宋简体" w:cs="方正仿宋简体"/>
          <w:sz w:val="32"/>
          <w:szCs w:val="32"/>
        </w:rPr>
        <w:t>实施情况：项目目前已经完成实际设立的目标，项目在实施过程中严格按照目标设立的各阶段任务进行开展工作，在前期立项过程中严格把质量关，建立安全防护机制，保证项目实施各阶段安全顺利进行。</w:t>
      </w:r>
      <w:r>
        <w:rPr>
          <w:rFonts w:hint="eastAsia" w:ascii="方正仿宋简体" w:hAnsi="方正仿宋简体" w:eastAsia="方正仿宋简体" w:cs="方正仿宋简体"/>
          <w:i w:val="0"/>
          <w:caps w:val="0"/>
          <w:color w:val="333333"/>
          <w:spacing w:val="0"/>
          <w:kern w:val="0"/>
          <w:sz w:val="32"/>
          <w:szCs w:val="32"/>
          <w:shd w:val="clear" w:fill="FFFFFF"/>
          <w:lang w:val="en-US" w:eastAsia="zh-CN" w:bidi="ar"/>
        </w:rPr>
        <w:t>以科学技术为支撑，坚持问题导向，立足我市实际，按照自治区下发的食品安全监督抽检计划，根据计划内容积极确定第三方检测机构，均衡开展2023年110批次食品安全监督抽检工作，同时将“你点我检”活动列入年度抽检计划，通过线上+线下的问卷形式聚焦群众关切，主动接受公众监督，积极回应社会关切的问题，有序开展2023年“你点我检”工作，并加强媒体正面宣传。截止目前，已完成食品安全监督抽检110批次（2批次抽检不合格）、“你点我检”15批次，市本级抽检9批次。药品抽检6批次，产品质量抽检20批次，完成我单位年度指标任务。</w:t>
      </w:r>
    </w:p>
    <w:p>
      <w:pPr>
        <w:pageBreakBefore w:val="0"/>
        <w:kinsoku/>
        <w:wordWrap/>
        <w:overflowPunct/>
        <w:topLinePunct w:val="0"/>
        <w:autoSpaceDE/>
        <w:autoSpaceDN/>
        <w:bidi w:val="0"/>
        <w:adjustRightInd/>
        <w:snapToGrid/>
        <w:spacing w:line="560" w:lineRule="exact"/>
        <w:ind w:left="0" w:firstLine="643" w:firstLineChars="200"/>
        <w:outlineLvl w:val="9"/>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3</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b/>
          <w:bCs/>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资金投入情况：该项目年初预算数</w:t>
      </w:r>
      <w:r>
        <w:rPr>
          <w:rFonts w:hint="eastAsia" w:ascii="方正仿宋简体" w:hAnsi="方正仿宋简体" w:eastAsia="方正仿宋简体" w:cs="方正仿宋简体"/>
          <w:color w:val="auto"/>
          <w:sz w:val="32"/>
          <w:szCs w:val="32"/>
          <w:lang w:val="en-US" w:eastAsia="zh-CN"/>
        </w:rPr>
        <w:t>20</w:t>
      </w:r>
      <w:r>
        <w:rPr>
          <w:rFonts w:hint="eastAsia" w:ascii="方正仿宋简体" w:hAnsi="方正仿宋简体" w:eastAsia="方正仿宋简体" w:cs="方正仿宋简体"/>
          <w:color w:val="auto"/>
          <w:sz w:val="32"/>
          <w:szCs w:val="32"/>
        </w:rPr>
        <w:t>万元，全年预算数</w:t>
      </w:r>
      <w:r>
        <w:rPr>
          <w:rFonts w:hint="eastAsia" w:ascii="方正仿宋简体" w:hAnsi="方正仿宋简体" w:eastAsia="方正仿宋简体" w:cs="方正仿宋简体"/>
          <w:color w:val="auto"/>
          <w:sz w:val="32"/>
          <w:szCs w:val="32"/>
          <w:lang w:val="en-US" w:eastAsia="zh-CN"/>
        </w:rPr>
        <w:t>20</w:t>
      </w:r>
      <w:r>
        <w:rPr>
          <w:rFonts w:hint="eastAsia" w:ascii="方正仿宋简体" w:hAnsi="方正仿宋简体" w:eastAsia="方正仿宋简体" w:cs="方正仿宋简体"/>
          <w:color w:val="auto"/>
          <w:sz w:val="32"/>
          <w:szCs w:val="32"/>
        </w:rPr>
        <w:t>万元</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实际总投入</w:t>
      </w:r>
      <w:r>
        <w:rPr>
          <w:rFonts w:hint="eastAsia" w:ascii="方正仿宋简体" w:hAnsi="方正仿宋简体" w:eastAsia="方正仿宋简体" w:cs="方正仿宋简体"/>
          <w:color w:val="auto"/>
          <w:sz w:val="32"/>
          <w:szCs w:val="32"/>
          <w:lang w:val="en-US" w:eastAsia="zh-CN"/>
        </w:rPr>
        <w:t>20</w:t>
      </w:r>
      <w:r>
        <w:rPr>
          <w:rFonts w:hint="eastAsia" w:ascii="方正仿宋简体" w:hAnsi="方正仿宋简体" w:eastAsia="方正仿宋简体" w:cs="方正仿宋简体"/>
          <w:color w:val="auto"/>
          <w:sz w:val="32"/>
          <w:szCs w:val="32"/>
        </w:rPr>
        <w:t>万元，该项目资金已全部落实到位，资金来源为</w:t>
      </w:r>
      <w:r>
        <w:rPr>
          <w:rFonts w:hint="eastAsia" w:ascii="方正仿宋简体" w:hAnsi="方正仿宋简体" w:eastAsia="方正仿宋简体" w:cs="方正仿宋简体"/>
          <w:color w:val="auto"/>
          <w:sz w:val="32"/>
          <w:szCs w:val="32"/>
          <w:lang w:val="en-US" w:eastAsia="zh-CN"/>
        </w:rPr>
        <w:t>财政预算资金</w:t>
      </w:r>
      <w:r>
        <w:rPr>
          <w:rFonts w:hint="eastAsia" w:ascii="方正仿宋简体" w:hAnsi="方正仿宋简体" w:eastAsia="方正仿宋简体" w:cs="方正仿宋简体"/>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FF0000"/>
          <w:sz w:val="32"/>
          <w:szCs w:val="32"/>
        </w:rPr>
      </w:pPr>
      <w:r>
        <w:rPr>
          <w:rFonts w:hint="eastAsia" w:ascii="方正仿宋简体" w:hAnsi="方正仿宋简体" w:eastAsia="方正仿宋简体" w:cs="方正仿宋简体"/>
          <w:color w:val="auto"/>
          <w:sz w:val="32"/>
          <w:szCs w:val="32"/>
        </w:rPr>
        <w:t>资金使用情况：该项目年初预算数</w:t>
      </w:r>
      <w:r>
        <w:rPr>
          <w:rFonts w:hint="eastAsia" w:ascii="方正仿宋简体" w:hAnsi="方正仿宋简体" w:eastAsia="方正仿宋简体" w:cs="方正仿宋简体"/>
          <w:color w:val="auto"/>
          <w:sz w:val="32"/>
          <w:szCs w:val="32"/>
          <w:lang w:val="en-US" w:eastAsia="zh-CN"/>
        </w:rPr>
        <w:t>20</w:t>
      </w:r>
      <w:r>
        <w:rPr>
          <w:rFonts w:hint="eastAsia" w:ascii="方正仿宋简体" w:hAnsi="方正仿宋简体" w:eastAsia="方正仿宋简体" w:cs="方正仿宋简体"/>
          <w:color w:val="auto"/>
          <w:sz w:val="32"/>
          <w:szCs w:val="32"/>
        </w:rPr>
        <w:t>万元，全年预算数</w:t>
      </w:r>
      <w:r>
        <w:rPr>
          <w:rFonts w:hint="eastAsia" w:ascii="方正仿宋简体" w:hAnsi="方正仿宋简体" w:eastAsia="方正仿宋简体" w:cs="方正仿宋简体"/>
          <w:color w:val="auto"/>
          <w:sz w:val="32"/>
          <w:szCs w:val="32"/>
          <w:lang w:val="en-US" w:eastAsia="zh-CN"/>
        </w:rPr>
        <w:t>20</w:t>
      </w:r>
      <w:r>
        <w:rPr>
          <w:rFonts w:hint="eastAsia" w:ascii="方正仿宋简体" w:hAnsi="方正仿宋简体" w:eastAsia="方正仿宋简体" w:cs="方正仿宋简体"/>
          <w:color w:val="auto"/>
          <w:sz w:val="32"/>
          <w:szCs w:val="32"/>
        </w:rPr>
        <w:t>万元，全年执行数</w:t>
      </w:r>
      <w:r>
        <w:rPr>
          <w:rFonts w:hint="eastAsia" w:ascii="方正仿宋简体" w:hAnsi="方正仿宋简体" w:eastAsia="方正仿宋简体" w:cs="方正仿宋简体"/>
          <w:color w:val="auto"/>
          <w:sz w:val="32"/>
          <w:szCs w:val="32"/>
          <w:lang w:val="en-US" w:eastAsia="zh-CN"/>
        </w:rPr>
        <w:t>20</w:t>
      </w:r>
      <w:r>
        <w:rPr>
          <w:rFonts w:hint="eastAsia" w:ascii="方正仿宋简体" w:hAnsi="方正仿宋简体" w:eastAsia="方正仿宋简体" w:cs="方正仿宋简体"/>
          <w:color w:val="auto"/>
          <w:sz w:val="32"/>
          <w:szCs w:val="32"/>
        </w:rPr>
        <w:t>万元，预算执行率为</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eastAsia="zh-CN"/>
        </w:rPr>
        <w:t>主要</w:t>
      </w:r>
      <w:r>
        <w:rPr>
          <w:rFonts w:hint="eastAsia" w:ascii="方正仿宋简体" w:hAnsi="方正仿宋简体" w:eastAsia="方正仿宋简体" w:cs="方正仿宋简体"/>
          <w:color w:val="auto"/>
          <w:sz w:val="32"/>
          <w:szCs w:val="32"/>
        </w:rPr>
        <w:t>用于：</w:t>
      </w:r>
      <w:r>
        <w:rPr>
          <w:rFonts w:hint="eastAsia" w:ascii="方正仿宋简体" w:hAnsi="方正仿宋简体" w:eastAsia="方正仿宋简体" w:cs="方正仿宋简体"/>
          <w:color w:val="auto"/>
          <w:sz w:val="32"/>
          <w:szCs w:val="32"/>
          <w:lang w:val="en-US" w:eastAsia="zh-CN"/>
        </w:rPr>
        <w:t>农产品抽检费用11万元，药品安全抽检3万元，产品质量抽检6万元。</w:t>
      </w:r>
      <w:bookmarkStart w:id="3" w:name="_Toc68703829"/>
    </w:p>
    <w:p>
      <w:pPr>
        <w:pageBreakBefore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bCs/>
          <w:sz w:val="32"/>
          <w:szCs w:val="32"/>
          <w:lang w:eastAsia="zh-CN"/>
        </w:rPr>
      </w:pPr>
      <w:r>
        <w:rPr>
          <w:rFonts w:hint="eastAsia" w:ascii="方正仿宋简体" w:hAnsi="方正仿宋简体" w:eastAsia="方正仿宋简体" w:cs="方正仿宋简体"/>
          <w:b/>
          <w:bCs/>
          <w:sz w:val="32"/>
          <w:szCs w:val="32"/>
          <w:lang w:eastAsia="zh-CN"/>
        </w:rPr>
        <w:t>（二）项目绩效目标</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i w:val="0"/>
          <w:caps w:val="0"/>
          <w:color w:val="333333"/>
          <w:spacing w:val="0"/>
          <w:sz w:val="32"/>
          <w:szCs w:val="32"/>
          <w:shd w:val="clear" w:fill="FFFFFF"/>
        </w:rPr>
      </w:pPr>
      <w:r>
        <w:rPr>
          <w:rFonts w:hint="eastAsia" w:ascii="方正仿宋简体" w:hAnsi="方正仿宋简体" w:eastAsia="方正仿宋简体" w:cs="方正仿宋简体"/>
          <w:color w:val="FF0000"/>
          <w:sz w:val="32"/>
          <w:szCs w:val="32"/>
          <w:lang w:eastAsia="zh-CN"/>
        </w:rPr>
        <w:t>　</w:t>
      </w:r>
      <w:r>
        <w:rPr>
          <w:rFonts w:hint="eastAsia" w:ascii="方正仿宋简体" w:hAnsi="方正仿宋简体" w:eastAsia="方正仿宋简体" w:cs="方正仿宋简体"/>
          <w:b w:val="0"/>
          <w:bCs w:val="0"/>
          <w:sz w:val="32"/>
          <w:szCs w:val="32"/>
          <w:lang w:val="en-US" w:eastAsia="zh-CN"/>
        </w:rPr>
        <w:t>1.总体目标：</w:t>
      </w:r>
      <w:r>
        <w:rPr>
          <w:rFonts w:hint="eastAsia" w:ascii="方正仿宋简体" w:hAnsi="方正仿宋简体" w:eastAsia="方正仿宋简体" w:cs="方正仿宋简体"/>
          <w:i w:val="0"/>
          <w:caps w:val="0"/>
          <w:color w:val="333333"/>
          <w:spacing w:val="0"/>
          <w:sz w:val="32"/>
          <w:szCs w:val="32"/>
          <w:shd w:val="clear" w:fill="FFFFFF"/>
        </w:rPr>
        <w:t>根据《2023年地县市场监管局食品安全监督抽检计划》文件要求，对辖区内抽检品种主要为畜禽肉类及副产品、蔬菜、水果、水产品、鲜蛋共五大类，主要针对农兽药残留开展监督抽检。食用农产品、药品，各类产品质量抽检项目经费20万元。市场监督管理局作为执法部门，时刻把牢安全这条红线底线为主要目标责任，落实深化商事制度改革不停步，提升监管执法效能不懈怠，保障居民饮食用药安全不放松，各项工作推进落实良好有序，产品质量抽检抽查等工作，为切实做好了市场监督管理工作。2023年，霍尔果斯市食品安全监督抽检总任务量110批次，其中，学校、托幼、养老、福利等机构食堂餐饮食品、食用农产品；完成抽检药品医疗器械6批次；完成抽检产品质量20批次，计划与2023年12月完成抽检工作。</w:t>
      </w:r>
    </w:p>
    <w:p>
      <w:pPr>
        <w:pageBreakBefore w:val="0"/>
        <w:numPr>
          <w:ilvl w:val="0"/>
          <w:numId w:val="0"/>
        </w:numP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2.阶段性目标：</w:t>
      </w:r>
      <w:bookmarkStart w:id="4" w:name="_Toc68703830"/>
      <w:r>
        <w:rPr>
          <w:rFonts w:hint="eastAsia" w:ascii="方正仿宋简体" w:hAnsi="方正仿宋简体" w:eastAsia="方正仿宋简体" w:cs="方正仿宋简体"/>
          <w:b w:val="0"/>
          <w:bCs w:val="0"/>
          <w:sz w:val="32"/>
          <w:szCs w:val="32"/>
          <w:lang w:val="en-US" w:eastAsia="zh-CN"/>
        </w:rPr>
        <w:t>我单位于5月份制定完成抽检计划，完成抽检30%抽检，具体完成食用农产品、药品、产品质量抽检，食品抽检完成75批次，产品5批次，药品2批次，截止8月完成60%数据为食品抽检98批次，产品质量抽检13批次，药品抽检3批次，截止12月完成计划目标100%任务量。因此项目是全年指标数，故次项目年底完成全部任务量。</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二、绩效评价工作开展情况</w:t>
      </w:r>
      <w:bookmarkEnd w:id="4"/>
    </w:p>
    <w:p>
      <w:pPr>
        <w:pageBreakBefore w:val="0"/>
        <w:numPr>
          <w:ilvl w:val="0"/>
          <w:numId w:val="0"/>
        </w:numPr>
        <w:kinsoku/>
        <w:wordWrap/>
        <w:overflowPunct/>
        <w:topLinePunct w:val="0"/>
        <w:autoSpaceDE/>
        <w:autoSpaceDN/>
        <w:bidi w:val="0"/>
        <w:adjustRightInd/>
        <w:snapToGrid/>
        <w:spacing w:line="560" w:lineRule="exact"/>
        <w:ind w:left="0" w:firstLine="643" w:firstLineChars="200"/>
        <w:textAlignment w:val="auto"/>
        <w:outlineLvl w:val="9"/>
        <w:rPr>
          <w:rFonts w:hint="eastAsia" w:ascii="方正仿宋简体" w:hAnsi="方正仿宋简体" w:eastAsia="方正仿宋简体" w:cs="方正仿宋简体"/>
          <w:b/>
          <w:bCs/>
          <w:sz w:val="32"/>
          <w:szCs w:val="32"/>
          <w:lang w:eastAsia="zh-CN"/>
        </w:rPr>
      </w:pPr>
      <w:bookmarkStart w:id="5" w:name="_Toc68703831"/>
      <w:r>
        <w:rPr>
          <w:rFonts w:hint="eastAsia" w:ascii="方正仿宋简体" w:hAnsi="方正仿宋简体" w:eastAsia="方正仿宋简体" w:cs="方正仿宋简体"/>
          <w:b/>
          <w:bCs/>
          <w:sz w:val="32"/>
          <w:szCs w:val="32"/>
          <w:lang w:val="en-US" w:eastAsia="zh-CN"/>
        </w:rPr>
        <w:t>（一）绩效评价目的、对象和范围</w:t>
      </w:r>
      <w:bookmarkEnd w:id="5"/>
    </w:p>
    <w:p>
      <w:pPr>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　</w:t>
      </w:r>
      <w:r>
        <w:rPr>
          <w:rFonts w:hint="eastAsia" w:ascii="方正仿宋简体" w:hAnsi="方正仿宋简体" w:eastAsia="方正仿宋简体" w:cs="方正仿宋简体"/>
          <w:b/>
          <w:bCs/>
          <w:sz w:val="32"/>
          <w:szCs w:val="32"/>
          <w:lang w:val="en-US" w:eastAsia="zh-CN"/>
        </w:rPr>
        <w:t xml:space="preserve">   1.绩效评价目的</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（2）项目绩效管理财政支出运行提供及时、有效的信息。</w:t>
      </w:r>
    </w:p>
    <w:p>
      <w:pPr>
        <w:pStyle w:val="20"/>
        <w:pageBreakBefore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　</w:t>
      </w:r>
      <w:r>
        <w:rPr>
          <w:rFonts w:hint="eastAsia" w:ascii="方正仿宋简体" w:hAnsi="方正仿宋简体" w:eastAsia="方正仿宋简体" w:cs="方正仿宋简体"/>
          <w:b/>
          <w:bCs/>
          <w:sz w:val="32"/>
          <w:szCs w:val="32"/>
          <w:lang w:val="en-US" w:eastAsia="zh-CN"/>
        </w:rPr>
        <w:t>2.绩效评价对象：</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highlight w:val="none"/>
          <w:lang w:val="en-US" w:eastAsia="zh-CN"/>
        </w:rPr>
        <w:t>食品、药品、产品质量抽检</w:t>
      </w:r>
      <w:r>
        <w:rPr>
          <w:rFonts w:hint="eastAsia" w:ascii="方正仿宋简体" w:hAnsi="方正仿宋简体" w:eastAsia="方正仿宋简体" w:cs="方正仿宋简体"/>
          <w:sz w:val="32"/>
          <w:szCs w:val="32"/>
        </w:rPr>
        <w:t>项目所包含的全部项目内容。</w:t>
      </w:r>
    </w:p>
    <w:p>
      <w:pPr>
        <w:pageBreakBefore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　</w:t>
      </w:r>
      <w:r>
        <w:rPr>
          <w:rFonts w:hint="eastAsia" w:ascii="方正仿宋简体" w:hAnsi="方正仿宋简体" w:eastAsia="方正仿宋简体" w:cs="方正仿宋简体"/>
          <w:b/>
          <w:bCs/>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方正仿宋简体" w:hAnsi="方正仿宋简体" w:eastAsia="方正仿宋简体" w:cs="方正仿宋简体"/>
          <w:sz w:val="32"/>
          <w:szCs w:val="32"/>
          <w:highlight w:val="none"/>
          <w:lang w:val="en-US" w:eastAsia="zh-CN"/>
        </w:rPr>
        <w:t>食品、药品、产品质量抽检</w:t>
      </w:r>
      <w:r>
        <w:rPr>
          <w:rFonts w:hint="eastAsia" w:ascii="方正仿宋简体" w:hAnsi="方正仿宋简体" w:eastAsia="方正仿宋简体" w:cs="方正仿宋简体"/>
          <w:color w:val="auto"/>
          <w:sz w:val="32"/>
          <w:szCs w:val="32"/>
          <w:highlight w:val="none"/>
        </w:rPr>
        <w:t>评价，评价核心为资金的支出完成</w:t>
      </w:r>
      <w:r>
        <w:rPr>
          <w:rFonts w:hint="eastAsia" w:ascii="方正仿宋简体" w:hAnsi="方正仿宋简体" w:eastAsia="方正仿宋简体" w:cs="方正仿宋简体"/>
          <w:color w:val="auto"/>
          <w:sz w:val="32"/>
          <w:szCs w:val="32"/>
        </w:rPr>
        <w:t>情况和效果。</w:t>
      </w:r>
    </w:p>
    <w:p>
      <w:pPr>
        <w:pageBreakBefore w:val="0"/>
        <w:widowControl w:val="0"/>
        <w:kinsoku/>
        <w:wordWrap/>
        <w:overflowPunct/>
        <w:topLinePunct w:val="0"/>
        <w:autoSpaceDE/>
        <w:autoSpaceDN/>
        <w:bidi w:val="0"/>
        <w:adjustRightInd/>
        <w:snapToGrid/>
        <w:spacing w:before="0" w:after="0" w:line="560" w:lineRule="exact"/>
        <w:ind w:left="0"/>
        <w:textAlignment w:val="auto"/>
        <w:outlineLvl w:val="9"/>
        <w:rPr>
          <w:rFonts w:hint="eastAsia" w:ascii="方正仿宋简体" w:hAnsi="方正仿宋简体" w:eastAsia="方正仿宋简体" w:cs="方正仿宋简体"/>
          <w:b/>
          <w:bCs/>
          <w:kern w:val="2"/>
          <w:sz w:val="32"/>
          <w:szCs w:val="32"/>
          <w:lang w:val="en-US" w:eastAsia="zh-CN" w:bidi="ar-SA"/>
        </w:rPr>
      </w:pPr>
      <w:bookmarkStart w:id="6" w:name="_Toc68703832"/>
      <w:r>
        <w:rPr>
          <w:rFonts w:hint="eastAsia" w:ascii="方正仿宋简体" w:hAnsi="方正仿宋简体" w:eastAsia="方正仿宋简体" w:cs="方正仿宋简体"/>
          <w:b/>
          <w:bCs/>
          <w:kern w:val="2"/>
          <w:sz w:val="32"/>
          <w:szCs w:val="32"/>
          <w:lang w:val="en-US" w:eastAsia="zh-CN" w:bidi="ar-SA"/>
        </w:rPr>
        <w:t>（二）绩效评价原则、评价指标体系</w:t>
      </w:r>
      <w:r>
        <w:rPr>
          <w:rFonts w:hint="eastAsia" w:ascii="方正仿宋简体" w:hAnsi="方正仿宋简体" w:eastAsia="方正仿宋简体" w:cs="方正仿宋简体"/>
          <w:b/>
          <w:bCs/>
          <w:sz w:val="32"/>
          <w:szCs w:val="32"/>
        </w:rPr>
        <w:t>（详情见表1）</w:t>
      </w:r>
      <w:r>
        <w:rPr>
          <w:rFonts w:hint="eastAsia" w:ascii="方正仿宋简体" w:hAnsi="方正仿宋简体" w:eastAsia="方正仿宋简体" w:cs="方正仿宋简体"/>
          <w:b/>
          <w:bCs/>
          <w:kern w:val="2"/>
          <w:sz w:val="32"/>
          <w:szCs w:val="32"/>
          <w:lang w:val="en-US" w:eastAsia="zh-CN" w:bidi="ar-SA"/>
        </w:rPr>
        <w:t>、评价方法、评价标准</w:t>
      </w:r>
      <w:bookmarkEnd w:id="6"/>
    </w:p>
    <w:p>
      <w:pPr>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outlineLvl w:val="9"/>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1</w:t>
      </w:r>
      <w:r>
        <w:rPr>
          <w:rFonts w:hint="eastAsia" w:ascii="方正仿宋简体" w:hAnsi="方正仿宋简体" w:eastAsia="方正仿宋简体" w:cs="方正仿宋简体"/>
          <w:b/>
          <w:bCs/>
          <w:sz w:val="32"/>
          <w:szCs w:val="32"/>
          <w:lang w:val="en-US" w:eastAsia="zh-CN"/>
        </w:rPr>
        <w:t>.</w:t>
      </w:r>
      <w:r>
        <w:rPr>
          <w:rFonts w:hint="eastAsia" w:ascii="方正仿宋简体" w:hAnsi="方正仿宋简体" w:eastAsia="方正仿宋简体" w:cs="方正仿宋简体"/>
          <w:b/>
          <w:bCs/>
          <w:sz w:val="32"/>
          <w:szCs w:val="32"/>
        </w:rPr>
        <w:t>绩效评价原则</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val="0"/>
          <w:bCs w:val="0"/>
          <w:sz w:val="32"/>
          <w:szCs w:val="32"/>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left="0" w:firstLine="643" w:firstLineChars="200"/>
        <w:jc w:val="left"/>
        <w:textAlignment w:val="auto"/>
        <w:outlineLvl w:val="9"/>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2、评价指标体系</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（2）确定权重</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left="0" w:firstLine="708" w:firstLineChars="200"/>
        <w:jc w:val="both"/>
        <w:textAlignment w:val="auto"/>
        <w:outlineLvl w:val="9"/>
        <w:rPr>
          <w:rFonts w:hint="eastAsia" w:ascii="方正仿宋简体" w:hAnsi="方正仿宋简体" w:eastAsia="方正仿宋简体" w:cs="方正仿宋简体"/>
          <w:b w:val="0"/>
          <w:bCs w:val="0"/>
          <w:color w:val="000000"/>
          <w:spacing w:val="17"/>
          <w:kern w:val="2"/>
          <w:sz w:val="32"/>
          <w:szCs w:val="32"/>
        </w:rPr>
      </w:pPr>
      <w:r>
        <w:rPr>
          <w:rFonts w:hint="eastAsia" w:ascii="方正仿宋简体" w:hAnsi="方正仿宋简体" w:eastAsia="方正仿宋简体" w:cs="方正仿宋简体"/>
          <w:b w:val="0"/>
          <w:bCs w:val="0"/>
          <w:color w:val="000000"/>
          <w:spacing w:val="17"/>
          <w:kern w:val="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left="0" w:firstLine="708" w:firstLineChars="200"/>
        <w:jc w:val="both"/>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val="0"/>
          <w:bCs w:val="0"/>
          <w:color w:val="000000"/>
          <w:spacing w:val="17"/>
          <w:sz w:val="32"/>
          <w:szCs w:val="32"/>
        </w:rPr>
        <w:t>具体评价指标体系详情见附件1</w:t>
      </w:r>
    </w:p>
    <w:p>
      <w:pPr>
        <w:pStyle w:val="6"/>
        <w:pageBreakBefore w:val="0"/>
        <w:kinsoku/>
        <w:wordWrap/>
        <w:overflowPunct/>
        <w:topLinePunct w:val="0"/>
        <w:autoSpaceDE/>
        <w:autoSpaceDN/>
        <w:bidi w:val="0"/>
        <w:adjustRightInd/>
        <w:snapToGrid/>
        <w:spacing w:line="560" w:lineRule="exact"/>
        <w:ind w:left="0" w:firstLine="321" w:firstLineChars="100"/>
        <w:textAlignment w:val="auto"/>
        <w:outlineLvl w:val="9"/>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3、评价方法</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bCs/>
          <w:color w:val="FF0000"/>
          <w:sz w:val="32"/>
          <w:szCs w:val="32"/>
          <w:lang w:eastAsia="zh-CN"/>
        </w:rPr>
      </w:pPr>
      <w:r>
        <w:rPr>
          <w:rFonts w:hint="eastAsia" w:ascii="方正仿宋简体" w:hAnsi="方正仿宋简体" w:eastAsia="方正仿宋简体" w:cs="方正仿宋简体"/>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themeColor="text1"/>
          <w:spacing w:val="17"/>
          <w:sz w:val="32"/>
          <w:szCs w:val="32"/>
          <w14:textFill>
            <w14:solidFill>
              <w14:schemeClr w14:val="tx1"/>
            </w14:solidFill>
          </w14:textFill>
        </w:rPr>
      </w:pPr>
      <w:r>
        <w:rPr>
          <w:rFonts w:hint="eastAsia" w:ascii="方正仿宋简体" w:hAnsi="方正仿宋简体" w:eastAsia="方正仿宋简体" w:cs="方正仿宋简体"/>
          <w:color w:val="000000" w:themeColor="text1"/>
          <w:spacing w:val="17"/>
          <w:sz w:val="32"/>
          <w:szCs w:val="32"/>
          <w14:textFill>
            <w14:solidFill>
              <w14:schemeClr w14:val="tx1"/>
            </w14:solidFill>
          </w14:textFill>
        </w:rPr>
        <w:t>（1）比较法</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themeColor="text1"/>
          <w:spacing w:val="17"/>
          <w:sz w:val="32"/>
          <w:szCs w:val="32"/>
          <w14:textFill>
            <w14:solidFill>
              <w14:schemeClr w14:val="tx1"/>
            </w14:solidFill>
          </w14:textFill>
        </w:rPr>
      </w:pPr>
      <w:r>
        <w:rPr>
          <w:rFonts w:hint="eastAsia" w:ascii="方正仿宋简体" w:hAnsi="方正仿宋简体" w:eastAsia="方正仿宋简体" w:cs="方正仿宋简体"/>
          <w:color w:val="000000" w:themeColor="text1"/>
          <w:spacing w:val="17"/>
          <w:sz w:val="32"/>
          <w:szCs w:val="32"/>
          <w14:textFill>
            <w14:solidFill>
              <w14:schemeClr w14:val="tx1"/>
            </w14:solidFill>
          </w14:textFill>
        </w:rPr>
        <w:t>通过对绩效目标与实施效果、历史与当期情况，综合分析绩效目标实现程度。对</w:t>
      </w:r>
      <w:r>
        <w:rPr>
          <w:rFonts w:hint="eastAsia" w:ascii="方正仿宋简体" w:hAnsi="方正仿宋简体" w:eastAsia="方正仿宋简体" w:cs="方正仿宋简体"/>
          <w:color w:val="000000" w:themeColor="text1"/>
          <w:sz w:val="32"/>
          <w:szCs w:val="32"/>
          <w14:textFill>
            <w14:solidFill>
              <w14:schemeClr w14:val="tx1"/>
            </w14:solidFill>
          </w14:textFill>
        </w:rPr>
        <w:t>项目</w:t>
      </w:r>
      <w:r>
        <w:rPr>
          <w:rFonts w:hint="eastAsia" w:ascii="方正仿宋简体" w:hAnsi="方正仿宋简体" w:eastAsia="方正仿宋简体" w:cs="方正仿宋简体"/>
          <w:color w:val="000000" w:themeColor="text1"/>
          <w:spacing w:val="17"/>
          <w:sz w:val="32"/>
          <w:szCs w:val="32"/>
          <w14:textFill>
            <w14:solidFill>
              <w14:schemeClr w14:val="tx1"/>
            </w14:solidFill>
          </w14:textFill>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color w:val="000000" w:themeColor="text1"/>
          <w:spacing w:val="17"/>
          <w:sz w:val="32"/>
          <w:szCs w:val="32"/>
          <w14:textFill>
            <w14:solidFill>
              <w14:schemeClr w14:val="tx1"/>
            </w14:solidFill>
          </w14:textFill>
        </w:rPr>
      </w:pPr>
      <w:r>
        <w:rPr>
          <w:rFonts w:hint="eastAsia" w:ascii="方正仿宋简体" w:hAnsi="方正仿宋简体" w:eastAsia="方正仿宋简体" w:cs="方正仿宋简体"/>
          <w:color w:val="000000" w:themeColor="text1"/>
          <w:spacing w:val="17"/>
          <w:sz w:val="32"/>
          <w:szCs w:val="32"/>
          <w14:textFill>
            <w14:solidFill>
              <w14:schemeClr w14:val="tx1"/>
            </w14:solidFill>
          </w14:textFill>
        </w:rPr>
        <w:t>（2）因素分析法</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ascii="方正仿宋简体" w:hAnsi="方正仿宋简体" w:eastAsia="方正仿宋简体" w:cs="方正仿宋简体"/>
          <w:bCs/>
          <w:color w:val="000000" w:themeColor="text1"/>
          <w:sz w:val="32"/>
          <w:szCs w:val="32"/>
          <w:lang w:eastAsia="zh-CN"/>
          <w14:textFill>
            <w14:solidFill>
              <w14:schemeClr w14:val="tx1"/>
            </w14:solidFill>
          </w14:textFill>
        </w:rPr>
      </w:pPr>
      <w:r>
        <w:rPr>
          <w:rFonts w:hint="eastAsia" w:ascii="方正仿宋简体" w:hAnsi="方正仿宋简体" w:eastAsia="方正仿宋简体" w:cs="方正仿宋简体"/>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hint="eastAsia" w:ascii="方正仿宋简体" w:hAnsi="方正仿宋简体" w:eastAsia="方正仿宋简体" w:cs="方正仿宋简体"/>
          <w:color w:val="000000" w:themeColor="text1"/>
          <w:sz w:val="32"/>
          <w:szCs w:val="32"/>
          <w14:textFill>
            <w14:solidFill>
              <w14:schemeClr w14:val="tx1"/>
            </w14:solidFill>
          </w14:textFill>
        </w:rPr>
        <w:t>项目</w:t>
      </w:r>
      <w:r>
        <w:rPr>
          <w:rFonts w:hint="eastAsia" w:ascii="方正仿宋简体" w:hAnsi="方正仿宋简体" w:eastAsia="方正仿宋简体" w:cs="方正仿宋简体"/>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left="0"/>
        <w:jc w:val="left"/>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　　</w:t>
      </w:r>
      <w:r>
        <w:rPr>
          <w:rFonts w:hint="eastAsia" w:ascii="方正仿宋简体" w:hAnsi="方正仿宋简体" w:eastAsia="方正仿宋简体" w:cs="方正仿宋简体"/>
          <w:b/>
          <w:bCs/>
          <w:sz w:val="32"/>
          <w:szCs w:val="32"/>
        </w:rPr>
        <w:t>4</w:t>
      </w:r>
      <w:r>
        <w:rPr>
          <w:rFonts w:hint="eastAsia" w:ascii="方正仿宋简体" w:hAnsi="方正仿宋简体" w:eastAsia="方正仿宋简体" w:cs="方正仿宋简体"/>
          <w:b/>
          <w:bCs/>
          <w:sz w:val="32"/>
          <w:szCs w:val="32"/>
          <w:lang w:val="en-US" w:eastAsia="zh-CN"/>
        </w:rPr>
        <w:t>.</w:t>
      </w:r>
      <w:r>
        <w:rPr>
          <w:rFonts w:hint="eastAsia" w:ascii="方正仿宋简体" w:hAnsi="方正仿宋简体" w:eastAsia="方正仿宋简体" w:cs="方正仿宋简体"/>
          <w:b/>
          <w:bCs/>
          <w:sz w:val="32"/>
          <w:szCs w:val="32"/>
        </w:rPr>
        <w:t>评价标准</w:t>
      </w:r>
    </w:p>
    <w:p>
      <w:pPr>
        <w:pageBreakBefore w:val="0"/>
        <w:kinsoku/>
        <w:wordWrap/>
        <w:overflowPunct/>
        <w:topLinePunct w:val="0"/>
        <w:autoSpaceDE/>
        <w:autoSpaceDN/>
        <w:bidi w:val="0"/>
        <w:adjustRightInd/>
        <w:snapToGrid/>
        <w:spacing w:line="560" w:lineRule="exact"/>
        <w:ind w:left="0" w:firstLine="640"/>
        <w:textAlignment w:val="auto"/>
        <w:outlineLvl w:val="9"/>
        <w:rPr>
          <w:rFonts w:hint="eastAsia" w:ascii="方正仿宋简体" w:hAnsi="方正仿宋简体" w:eastAsia="方正仿宋简体" w:cs="方正仿宋简体"/>
          <w:bCs/>
          <w:color w:val="000000" w:themeColor="text1"/>
          <w:sz w:val="32"/>
          <w:szCs w:val="32"/>
          <w14:textFill>
            <w14:solidFill>
              <w14:schemeClr w14:val="tx1"/>
            </w14:solidFill>
          </w14:textFill>
        </w:rPr>
      </w:pPr>
      <w:r>
        <w:rPr>
          <w:rFonts w:hint="eastAsia" w:ascii="方正仿宋简体" w:hAnsi="方正仿宋简体" w:eastAsia="方正仿宋简体" w:cs="方正仿宋简体"/>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ascii="方正仿宋简体" w:hAnsi="方正仿宋简体" w:eastAsia="方正仿宋简体" w:cs="方正仿宋简体"/>
          <w:bCs/>
          <w:color w:val="000000" w:themeColor="text1"/>
          <w:sz w:val="32"/>
          <w:szCs w:val="32"/>
          <w:lang w:val="en-US" w:eastAsia="zh-CN"/>
          <w14:textFill>
            <w14:solidFill>
              <w14:schemeClr w14:val="tx1"/>
            </w14:solidFill>
          </w14:textFill>
        </w:rPr>
        <w:t>计划</w:t>
      </w:r>
      <w:r>
        <w:rPr>
          <w:rFonts w:hint="eastAsia" w:ascii="方正仿宋简体" w:hAnsi="方正仿宋简体" w:eastAsia="方正仿宋简体" w:cs="方正仿宋简体"/>
          <w:bCs/>
          <w:color w:val="000000" w:themeColor="text1"/>
          <w:sz w:val="32"/>
          <w:szCs w:val="32"/>
          <w14:textFill>
            <w14:solidFill>
              <w14:schemeClr w14:val="tx1"/>
            </w14:solidFill>
          </w14:textFill>
        </w:rPr>
        <w:t>标准。</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bCs/>
          <w:color w:val="auto"/>
          <w:sz w:val="32"/>
          <w:szCs w:val="32"/>
        </w:rPr>
      </w:pPr>
      <w:r>
        <w:rPr>
          <w:rFonts w:hint="eastAsia" w:ascii="方正仿宋简体" w:hAnsi="方正仿宋简体" w:eastAsia="方正仿宋简体" w:cs="方正仿宋简体"/>
          <w:bCs/>
          <w:color w:val="auto"/>
          <w:sz w:val="32"/>
          <w:szCs w:val="32"/>
        </w:rPr>
        <w:t>（一）计划标准。指以预先制定的目标、计划、预算、定额等作为评价标准。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bCs/>
          <w:kern w:val="2"/>
          <w:sz w:val="32"/>
          <w:szCs w:val="32"/>
          <w:lang w:val="en-US" w:eastAsia="zh-CN" w:bidi="ar-SA"/>
        </w:rPr>
      </w:pPr>
      <w:bookmarkStart w:id="7" w:name="_Toc68703833"/>
      <w:r>
        <w:rPr>
          <w:rFonts w:hint="eastAsia" w:ascii="方正仿宋简体" w:hAnsi="方正仿宋简体" w:eastAsia="方正仿宋简体" w:cs="方正仿宋简体"/>
          <w:b/>
          <w:bCs/>
          <w:kern w:val="2"/>
          <w:sz w:val="32"/>
          <w:szCs w:val="32"/>
          <w:lang w:val="en-US" w:eastAsia="zh-CN" w:bidi="ar-SA"/>
        </w:rPr>
        <w:t>（三）绩效评价工作过程</w:t>
      </w:r>
      <w:bookmarkEnd w:id="7"/>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方正仿宋简体" w:hAnsi="方正仿宋简体" w:eastAsia="方正仿宋简体" w:cs="方正仿宋简体"/>
          <w:sz w:val="32"/>
          <w:szCs w:val="32"/>
        </w:rPr>
      </w:pPr>
      <w:bookmarkStart w:id="8" w:name="_Toc68703834"/>
      <w:r>
        <w:rPr>
          <w:rFonts w:hint="eastAsia" w:ascii="方正仿宋简体" w:hAnsi="方正仿宋简体" w:eastAsia="方正仿宋简体" w:cs="方正仿宋简体"/>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bCs w:val="0"/>
          <w:sz w:val="32"/>
          <w:szCs w:val="32"/>
          <w:lang w:val="en-US" w:eastAsia="zh-CN"/>
        </w:rPr>
      </w:pPr>
      <w:r>
        <w:rPr>
          <w:rFonts w:hint="eastAsia" w:ascii="方正仿宋简体" w:hAnsi="方正仿宋简体" w:eastAsia="方正仿宋简体" w:cs="方正仿宋简体"/>
          <w:b/>
          <w:bCs w:val="0"/>
          <w:sz w:val="32"/>
          <w:szCs w:val="32"/>
          <w:lang w:val="en-US" w:eastAsia="zh-CN"/>
        </w:rPr>
        <w:t>三、综合评价情况及评价结论</w:t>
      </w:r>
      <w:bookmarkEnd w:id="8"/>
      <w:r>
        <w:rPr>
          <w:rFonts w:hint="eastAsia" w:ascii="方正仿宋简体" w:hAnsi="方正仿宋简体" w:eastAsia="方正仿宋简体" w:cs="方正仿宋简体"/>
          <w:b/>
          <w:bCs w:val="0"/>
          <w:sz w:val="32"/>
          <w:szCs w:val="32"/>
        </w:rPr>
        <w:t>（附相关评分表）</w:t>
      </w:r>
    </w:p>
    <w:p>
      <w:pPr>
        <w:pageBreakBefore w:val="0"/>
        <w:widowControl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bCs/>
          <w:kern w:val="2"/>
          <w:sz w:val="32"/>
          <w:szCs w:val="32"/>
          <w:lang w:val="en-US" w:eastAsia="zh-CN" w:bidi="ar-SA"/>
        </w:rPr>
      </w:pPr>
      <w:bookmarkStart w:id="9" w:name="_Toc68703835"/>
      <w:r>
        <w:rPr>
          <w:rFonts w:hint="eastAsia" w:ascii="方正仿宋简体" w:hAnsi="方正仿宋简体" w:eastAsia="方正仿宋简体" w:cs="方正仿宋简体"/>
          <w:b/>
          <w:bCs/>
          <w:kern w:val="2"/>
          <w:sz w:val="32"/>
          <w:szCs w:val="32"/>
          <w:lang w:val="en-US" w:eastAsia="zh-CN" w:bidi="ar-SA"/>
        </w:rPr>
        <w:t>（一）综合评价情况</w:t>
      </w:r>
      <w:bookmarkEnd w:id="9"/>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FF0000"/>
          <w:sz w:val="32"/>
          <w:szCs w:val="32"/>
        </w:rPr>
      </w:pPr>
      <w:r>
        <w:rPr>
          <w:rFonts w:hint="eastAsia" w:ascii="方正仿宋简体" w:hAnsi="方正仿宋简体" w:eastAsia="方正仿宋简体" w:cs="方正仿宋简体"/>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numPr>
          <w:ilvl w:val="0"/>
          <w:numId w:val="3"/>
        </w:numPr>
        <w:kinsoku/>
        <w:wordWrap/>
        <w:overflowPunct/>
        <w:topLinePunct w:val="0"/>
        <w:autoSpaceDE/>
        <w:autoSpaceDN/>
        <w:bidi w:val="0"/>
        <w:adjustRightInd/>
        <w:snapToGrid/>
        <w:spacing w:before="0" w:after="0" w:line="560" w:lineRule="exact"/>
        <w:ind w:left="0"/>
        <w:textAlignment w:val="auto"/>
        <w:outlineLvl w:val="9"/>
        <w:rPr>
          <w:rFonts w:hint="eastAsia" w:ascii="方正仿宋简体" w:hAnsi="方正仿宋简体" w:eastAsia="方正仿宋简体" w:cs="方正仿宋简体"/>
          <w:b/>
          <w:bCs/>
          <w:kern w:val="2"/>
          <w:sz w:val="32"/>
          <w:szCs w:val="32"/>
          <w:lang w:val="en-US" w:eastAsia="zh-CN" w:bidi="ar-SA"/>
        </w:rPr>
      </w:pPr>
      <w:bookmarkStart w:id="10" w:name="_Toc68703836"/>
      <w:r>
        <w:rPr>
          <w:rFonts w:hint="eastAsia" w:ascii="方正仿宋简体" w:hAnsi="方正仿宋简体" w:eastAsia="方正仿宋简体" w:cs="方正仿宋简体"/>
          <w:b/>
          <w:bCs/>
          <w:kern w:val="2"/>
          <w:sz w:val="32"/>
          <w:szCs w:val="32"/>
          <w:lang w:val="en-US" w:eastAsia="zh-CN" w:bidi="ar-SA"/>
        </w:rPr>
        <w:t>评价结论</w:t>
      </w:r>
      <w:bookmarkEnd w:id="10"/>
    </w:p>
    <w:p>
      <w:pPr>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val="0"/>
          <w:bCs w:val="0"/>
          <w:sz w:val="32"/>
          <w:szCs w:val="32"/>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方正仿宋简体" w:hAnsi="方正仿宋简体" w:eastAsia="方正仿宋简体" w:cs="方正仿宋简体"/>
          <w:b w:val="0"/>
          <w:bCs w:val="0"/>
          <w:sz w:val="32"/>
          <w:szCs w:val="32"/>
          <w:highlight w:val="none"/>
        </w:rPr>
        <w:t xml:space="preserve">总得分为 </w:t>
      </w:r>
      <w:r>
        <w:rPr>
          <w:rFonts w:hint="eastAsia" w:ascii="方正仿宋简体" w:hAnsi="方正仿宋简体" w:eastAsia="方正仿宋简体" w:cs="方正仿宋简体"/>
          <w:b w:val="0"/>
          <w:bCs w:val="0"/>
          <w:sz w:val="32"/>
          <w:szCs w:val="32"/>
          <w:highlight w:val="none"/>
          <w:lang w:val="en-US" w:eastAsia="zh-CN"/>
        </w:rPr>
        <w:t>96.24</w:t>
      </w:r>
      <w:r>
        <w:rPr>
          <w:rFonts w:hint="eastAsia" w:ascii="方正仿宋简体" w:hAnsi="方正仿宋简体" w:eastAsia="方正仿宋简体" w:cs="方正仿宋简体"/>
          <w:b w:val="0"/>
          <w:bCs w:val="0"/>
          <w:sz w:val="32"/>
          <w:szCs w:val="32"/>
          <w:highlight w:val="none"/>
        </w:rPr>
        <w:t xml:space="preserve">分，属于“优”。其中，项目决策类指标权重为20分，得分为 </w:t>
      </w:r>
      <w:r>
        <w:rPr>
          <w:rFonts w:hint="eastAsia" w:ascii="方正仿宋简体" w:hAnsi="方正仿宋简体" w:eastAsia="方正仿宋简体" w:cs="方正仿宋简体"/>
          <w:b w:val="0"/>
          <w:bCs w:val="0"/>
          <w:sz w:val="32"/>
          <w:szCs w:val="32"/>
          <w:highlight w:val="none"/>
          <w:lang w:val="en-US" w:eastAsia="zh-CN"/>
        </w:rPr>
        <w:t>20</w:t>
      </w:r>
      <w:r>
        <w:rPr>
          <w:rFonts w:hint="eastAsia" w:ascii="方正仿宋简体" w:hAnsi="方正仿宋简体" w:eastAsia="方正仿宋简体" w:cs="方正仿宋简体"/>
          <w:b w:val="0"/>
          <w:bCs w:val="0"/>
          <w:sz w:val="32"/>
          <w:szCs w:val="32"/>
          <w:highlight w:val="none"/>
        </w:rPr>
        <w:t xml:space="preserve">分，得分率为 </w:t>
      </w:r>
      <w:r>
        <w:rPr>
          <w:rFonts w:hint="eastAsia" w:ascii="方正仿宋简体" w:hAnsi="方正仿宋简体" w:eastAsia="方正仿宋简体" w:cs="方正仿宋简体"/>
          <w:b w:val="0"/>
          <w:bCs w:val="0"/>
          <w:sz w:val="32"/>
          <w:szCs w:val="32"/>
          <w:highlight w:val="none"/>
          <w:lang w:val="en-US" w:eastAsia="zh-CN"/>
        </w:rPr>
        <w:t>100</w:t>
      </w:r>
      <w:r>
        <w:rPr>
          <w:rFonts w:hint="eastAsia" w:ascii="方正仿宋简体" w:hAnsi="方正仿宋简体" w:eastAsia="方正仿宋简体" w:cs="方正仿宋简体"/>
          <w:b w:val="0"/>
          <w:bCs w:val="0"/>
          <w:sz w:val="32"/>
          <w:szCs w:val="32"/>
          <w:highlight w:val="none"/>
        </w:rPr>
        <w:t>%。项目过程类指标权重为20分，得分为</w:t>
      </w:r>
      <w:r>
        <w:rPr>
          <w:rFonts w:hint="eastAsia" w:ascii="方正仿宋简体" w:hAnsi="方正仿宋简体" w:eastAsia="方正仿宋简体" w:cs="方正仿宋简体"/>
          <w:b w:val="0"/>
          <w:bCs w:val="0"/>
          <w:sz w:val="32"/>
          <w:szCs w:val="32"/>
          <w:highlight w:val="none"/>
          <w:lang w:val="en-US" w:eastAsia="zh-CN"/>
        </w:rPr>
        <w:t>20</w:t>
      </w:r>
      <w:r>
        <w:rPr>
          <w:rFonts w:hint="eastAsia" w:ascii="方正仿宋简体" w:hAnsi="方正仿宋简体" w:eastAsia="方正仿宋简体" w:cs="方正仿宋简体"/>
          <w:b w:val="0"/>
          <w:bCs w:val="0"/>
          <w:sz w:val="32"/>
          <w:szCs w:val="32"/>
          <w:highlight w:val="none"/>
        </w:rPr>
        <w:t xml:space="preserve">分，得分率为 </w:t>
      </w:r>
      <w:r>
        <w:rPr>
          <w:rFonts w:hint="eastAsia" w:ascii="方正仿宋简体" w:hAnsi="方正仿宋简体" w:eastAsia="方正仿宋简体" w:cs="方正仿宋简体"/>
          <w:b w:val="0"/>
          <w:bCs w:val="0"/>
          <w:sz w:val="32"/>
          <w:szCs w:val="32"/>
          <w:highlight w:val="none"/>
          <w:lang w:val="en-US" w:eastAsia="zh-CN"/>
        </w:rPr>
        <w:t>100</w:t>
      </w:r>
      <w:r>
        <w:rPr>
          <w:rFonts w:hint="eastAsia" w:ascii="方正仿宋简体" w:hAnsi="方正仿宋简体" w:eastAsia="方正仿宋简体" w:cs="方正仿宋简体"/>
          <w:b w:val="0"/>
          <w:bCs w:val="0"/>
          <w:sz w:val="32"/>
          <w:szCs w:val="32"/>
          <w:highlight w:val="none"/>
        </w:rPr>
        <w:t>%。项目产出类指标权重为40分，得分为</w:t>
      </w:r>
      <w:r>
        <w:rPr>
          <w:rFonts w:hint="eastAsia" w:ascii="方正仿宋简体" w:hAnsi="方正仿宋简体" w:eastAsia="方正仿宋简体" w:cs="方正仿宋简体"/>
          <w:b w:val="0"/>
          <w:bCs w:val="0"/>
          <w:sz w:val="32"/>
          <w:szCs w:val="32"/>
          <w:highlight w:val="none"/>
          <w:lang w:val="en-US" w:eastAsia="zh-CN"/>
        </w:rPr>
        <w:t>36.24</w:t>
      </w:r>
      <w:r>
        <w:rPr>
          <w:rFonts w:hint="eastAsia" w:ascii="方正仿宋简体" w:hAnsi="方正仿宋简体" w:eastAsia="方正仿宋简体" w:cs="方正仿宋简体"/>
          <w:b w:val="0"/>
          <w:bCs w:val="0"/>
          <w:sz w:val="32"/>
          <w:szCs w:val="32"/>
          <w:highlight w:val="none"/>
        </w:rPr>
        <w:t>分，得分率为</w:t>
      </w:r>
      <w:r>
        <w:rPr>
          <w:rFonts w:hint="eastAsia" w:ascii="方正仿宋简体" w:hAnsi="方正仿宋简体" w:eastAsia="方正仿宋简体" w:cs="方正仿宋简体"/>
          <w:b w:val="0"/>
          <w:bCs w:val="0"/>
          <w:sz w:val="32"/>
          <w:szCs w:val="32"/>
          <w:highlight w:val="none"/>
          <w:lang w:val="en-US" w:eastAsia="zh-CN"/>
        </w:rPr>
        <w:t>90.6</w:t>
      </w:r>
      <w:r>
        <w:rPr>
          <w:rFonts w:hint="eastAsia" w:ascii="方正仿宋简体" w:hAnsi="方正仿宋简体" w:eastAsia="方正仿宋简体" w:cs="方正仿宋简体"/>
          <w:b w:val="0"/>
          <w:bCs w:val="0"/>
          <w:sz w:val="32"/>
          <w:szCs w:val="32"/>
          <w:highlight w:val="none"/>
        </w:rPr>
        <w:t>%。项目效益类指标权重为20分，得分为</w:t>
      </w:r>
      <w:r>
        <w:rPr>
          <w:rFonts w:hint="eastAsia" w:ascii="方正仿宋简体" w:hAnsi="方正仿宋简体" w:eastAsia="方正仿宋简体" w:cs="方正仿宋简体"/>
          <w:b w:val="0"/>
          <w:bCs w:val="0"/>
          <w:sz w:val="32"/>
          <w:szCs w:val="32"/>
          <w:highlight w:val="none"/>
          <w:lang w:val="en-US" w:eastAsia="zh-CN"/>
        </w:rPr>
        <w:t>20</w:t>
      </w:r>
      <w:r>
        <w:rPr>
          <w:rFonts w:hint="eastAsia" w:ascii="方正仿宋简体" w:hAnsi="方正仿宋简体" w:eastAsia="方正仿宋简体" w:cs="方正仿宋简体"/>
          <w:b w:val="0"/>
          <w:bCs w:val="0"/>
          <w:sz w:val="32"/>
          <w:szCs w:val="32"/>
          <w:highlight w:val="none"/>
        </w:rPr>
        <w:t>分，得分率为</w:t>
      </w:r>
      <w:r>
        <w:rPr>
          <w:rFonts w:hint="eastAsia" w:ascii="方正仿宋简体" w:hAnsi="方正仿宋简体" w:eastAsia="方正仿宋简体" w:cs="方正仿宋简体"/>
          <w:b w:val="0"/>
          <w:bCs w:val="0"/>
          <w:sz w:val="32"/>
          <w:szCs w:val="32"/>
          <w:highlight w:val="none"/>
          <w:lang w:val="en-US" w:eastAsia="zh-CN"/>
        </w:rPr>
        <w:t>100</w:t>
      </w:r>
      <w:r>
        <w:rPr>
          <w:rFonts w:hint="eastAsia" w:ascii="方正仿宋简体" w:hAnsi="方正仿宋简体" w:eastAsia="方正仿宋简体" w:cs="方正仿宋简体"/>
          <w:b w:val="0"/>
          <w:bCs w:val="0"/>
          <w:sz w:val="32"/>
          <w:szCs w:val="32"/>
          <w:highlight w:val="none"/>
        </w:rPr>
        <w:t>%。</w:t>
      </w:r>
      <w:r>
        <w:rPr>
          <w:rFonts w:hint="eastAsia" w:ascii="方正仿宋简体" w:hAnsi="方正仿宋简体" w:eastAsia="方正仿宋简体" w:cs="方正仿宋简体"/>
          <w:b w:val="0"/>
          <w:bCs w:val="0"/>
          <w:sz w:val="32"/>
          <w:szCs w:val="32"/>
        </w:rPr>
        <w:t>具体打分情况详见：附件1综合评分表</w:t>
      </w:r>
      <w:r>
        <w:rPr>
          <w:rFonts w:hint="eastAsia" w:ascii="方正仿宋简体" w:hAnsi="方正仿宋简体" w:eastAsia="方正仿宋简体" w:cs="方正仿宋简体"/>
          <w:b w:val="0"/>
          <w:bCs w:val="0"/>
          <w:sz w:val="32"/>
          <w:szCs w:val="32"/>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b w:val="0"/>
          <w:bCs w:val="0"/>
          <w:kern w:val="28"/>
          <w:sz w:val="32"/>
          <w:szCs w:val="32"/>
          <w:lang w:val="en-US" w:eastAsia="zh-CN" w:bidi="ar-SA"/>
        </w:rPr>
      </w:pPr>
      <w:r>
        <w:rPr>
          <w:rFonts w:hint="eastAsia" w:ascii="方正仿宋简体" w:hAnsi="方正仿宋简体" w:eastAsia="方正仿宋简体" w:cs="方正仿宋简体"/>
          <w:sz w:val="32"/>
          <w:szCs w:val="32"/>
          <w:lang w:eastAsia="zh-CN"/>
        </w:rPr>
        <w:t>　　　　　　　　</w:t>
      </w:r>
      <w:r>
        <w:rPr>
          <w:rFonts w:hint="eastAsia" w:ascii="方正仿宋简体" w:hAnsi="方正仿宋简体" w:eastAsia="方正仿宋简体" w:cs="方正仿宋简体"/>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36.24</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eastAsia" w:ascii="方正仿宋简体" w:hAnsi="方正仿宋简体" w:eastAsia="方正仿宋简体" w:cs="方正仿宋简体"/>
                <w:b/>
                <w:bCs/>
                <w:color w:val="000000"/>
                <w:sz w:val="32"/>
                <w:szCs w:val="32"/>
                <w:lang w:val="en-US" w:eastAsia="zh-CN"/>
              </w:rPr>
            </w:pPr>
            <w:r>
              <w:rPr>
                <w:rFonts w:hint="eastAsia" w:ascii="方正仿宋简体" w:hAnsi="方正仿宋简体" w:eastAsia="方正仿宋简体" w:cs="方正仿宋简体"/>
                <w:b/>
                <w:bCs/>
                <w:color w:val="000000"/>
                <w:sz w:val="32"/>
                <w:szCs w:val="3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ascii="方正仿宋简体" w:hAnsi="方正仿宋简体" w:eastAsia="方正仿宋简体" w:cs="方正仿宋简体"/>
                <w:b/>
                <w:bCs/>
                <w:color w:val="000000"/>
                <w:sz w:val="32"/>
                <w:szCs w:val="32"/>
                <w:lang w:val="en-US" w:eastAsia="zh-CN"/>
              </w:rPr>
            </w:pPr>
            <w:r>
              <w:rPr>
                <w:rFonts w:hint="eastAsia" w:ascii="方正仿宋简体" w:hAnsi="方正仿宋简体" w:eastAsia="方正仿宋简体" w:cs="方正仿宋简体"/>
                <w:b/>
                <w:bCs/>
                <w:color w:val="000000"/>
                <w:sz w:val="32"/>
                <w:szCs w:val="32"/>
                <w:lang w:val="en-US" w:eastAsia="zh-CN"/>
              </w:rPr>
              <w:t>96.24</w:t>
            </w:r>
          </w:p>
        </w:tc>
      </w:tr>
    </w:tbl>
    <w:p>
      <w:pPr>
        <w:pageBreakBefore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bCs w:val="0"/>
          <w:sz w:val="32"/>
          <w:szCs w:val="32"/>
          <w:lang w:val="en-US" w:eastAsia="zh-CN"/>
        </w:rPr>
      </w:pPr>
      <w:bookmarkStart w:id="11" w:name="_Toc68703837"/>
      <w:r>
        <w:rPr>
          <w:rFonts w:hint="eastAsia" w:ascii="方正仿宋简体" w:hAnsi="方正仿宋简体" w:eastAsia="方正仿宋简体" w:cs="方正仿宋简体"/>
          <w:b/>
          <w:bCs w:val="0"/>
          <w:sz w:val="32"/>
          <w:szCs w:val="32"/>
          <w:lang w:val="en-US" w:eastAsia="zh-CN"/>
        </w:rPr>
        <w:t>四、绩效评价指标分析</w:t>
      </w:r>
      <w:bookmarkEnd w:id="11"/>
    </w:p>
    <w:p>
      <w:pPr>
        <w:pageBreakBefore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bCs/>
          <w:kern w:val="2"/>
          <w:sz w:val="32"/>
          <w:szCs w:val="32"/>
          <w:lang w:val="en-US" w:eastAsia="zh-CN" w:bidi="ar-SA"/>
        </w:rPr>
      </w:pPr>
      <w:bookmarkStart w:id="12" w:name="_Toc68703838"/>
      <w:r>
        <w:rPr>
          <w:rFonts w:hint="eastAsia" w:ascii="方正仿宋简体" w:hAnsi="方正仿宋简体" w:eastAsia="方正仿宋简体" w:cs="方正仿宋简体"/>
          <w:b/>
          <w:bCs/>
          <w:kern w:val="2"/>
          <w:sz w:val="32"/>
          <w:szCs w:val="32"/>
          <w:lang w:val="en-US" w:eastAsia="zh-CN" w:bidi="ar-SA"/>
        </w:rPr>
        <w:t>（一）项目决策情况</w:t>
      </w:r>
      <w:bookmarkEnd w:id="12"/>
    </w:p>
    <w:p>
      <w:pPr>
        <w:pageBreakBefore w:val="0"/>
        <w:widowControl w:val="0"/>
        <w:kinsoku/>
        <w:wordWrap/>
        <w:overflowPunct/>
        <w:topLinePunct w:val="0"/>
        <w:autoSpaceDE/>
        <w:autoSpaceDN/>
        <w:bidi w:val="0"/>
        <w:adjustRightInd/>
        <w:snapToGrid/>
        <w:spacing w:line="560" w:lineRule="exact"/>
        <w:ind w:left="0"/>
        <w:jc w:val="left"/>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val="0"/>
          <w:bCs w:val="0"/>
          <w:sz w:val="32"/>
          <w:szCs w:val="32"/>
          <w:lang w:val="en-US" w:eastAsia="zh-CN"/>
        </w:rPr>
        <w:t>　　项目决策类指标包括项目立项、绩效目标和资金投入三方面的内容，由6个三级指标构成，权重分值为20分，实际得分20分，得分率为</w:t>
      </w:r>
      <w:r>
        <w:rPr>
          <w:rFonts w:hint="eastAsia" w:ascii="方正仿宋简体" w:hAnsi="方正仿宋简体" w:eastAsia="方正仿宋简体" w:cs="方正仿宋简体"/>
          <w:b w:val="0"/>
          <w:bCs w:val="0"/>
          <w:color w:val="auto"/>
          <w:sz w:val="32"/>
          <w:szCs w:val="32"/>
          <w:lang w:val="en-US" w:eastAsia="zh-CN"/>
        </w:rPr>
        <w:t>100</w:t>
      </w:r>
      <w:r>
        <w:rPr>
          <w:rFonts w:hint="eastAsia" w:ascii="方正仿宋简体" w:hAnsi="方正仿宋简体" w:eastAsia="方正仿宋简体" w:cs="方正仿宋简体"/>
          <w:b w:val="0"/>
          <w:bCs w:val="0"/>
          <w:sz w:val="32"/>
          <w:szCs w:val="32"/>
          <w:lang w:val="en-US" w:eastAsia="zh-CN"/>
        </w:rPr>
        <w:t>%。</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textAlignment w:val="auto"/>
        <w:outlineLvl w:val="9"/>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1.项目立项</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（1）立项依据充分性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FF0000"/>
          <w:sz w:val="32"/>
          <w:szCs w:val="32"/>
        </w:rPr>
      </w:pPr>
      <w:r>
        <w:rPr>
          <w:rFonts w:hint="eastAsia" w:ascii="方正仿宋简体" w:hAnsi="方正仿宋简体" w:eastAsia="方正仿宋简体" w:cs="方正仿宋简体"/>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2</w:t>
      </w:r>
      <w:r>
        <w:rPr>
          <w:rFonts w:hint="eastAsia" w:ascii="方正仿宋简体" w:hAnsi="方正仿宋简体" w:eastAsia="方正仿宋简体" w:cs="方正仿宋简体"/>
          <w:b w:val="0"/>
          <w:bCs w:val="0"/>
          <w:sz w:val="32"/>
          <w:szCs w:val="32"/>
          <w:lang w:val="en-US" w:eastAsia="zh-CN"/>
        </w:rPr>
        <w:t>.</w:t>
      </w:r>
      <w:r>
        <w:rPr>
          <w:rFonts w:hint="eastAsia" w:ascii="方正仿宋简体" w:hAnsi="方正仿宋简体" w:eastAsia="方正仿宋简体" w:cs="方正仿宋简体"/>
          <w:b w:val="0"/>
          <w:bCs w:val="0"/>
          <w:sz w:val="32"/>
          <w:szCs w:val="32"/>
        </w:rPr>
        <w:t>立项程序规范性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项目申请、设立过程符合相关要求，</w:t>
      </w:r>
      <w:r>
        <w:rPr>
          <w:rFonts w:hint="eastAsia" w:ascii="方正仿宋简体" w:hAnsi="方正仿宋简体" w:eastAsia="方正仿宋简体" w:cs="方正仿宋简体"/>
          <w:sz w:val="32"/>
          <w:szCs w:val="32"/>
          <w:lang w:eastAsia="zh-Hans"/>
        </w:rPr>
        <w:t>严格按照审批流程准备符合要求的文件、材料；</w:t>
      </w:r>
      <w:r>
        <w:rPr>
          <w:rFonts w:hint="eastAsia" w:ascii="方正仿宋简体" w:hAnsi="方正仿宋简体" w:eastAsia="方正仿宋简体" w:cs="方正仿宋简体"/>
          <w:sz w:val="32"/>
          <w:szCs w:val="32"/>
          <w:lang w:val="en-US" w:eastAsia="zh-CN"/>
        </w:rPr>
        <w:t>根据决算依据编制工作计划和经费预算，经过与部门项目分管领导沟通、筛选确定经费预算计划，确定最终预算方案。项目的审批文件、材料符合相关要求，项目集体决策，保障了程序的规范性。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bCs/>
          <w:sz w:val="32"/>
          <w:szCs w:val="32"/>
          <w:lang w:val="en-US" w:eastAsia="zh-CN"/>
        </w:rPr>
        <w:t>2.绩效目标</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（1）绩效目标合理性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Hans"/>
        </w:rPr>
        <w:t>年初结合实际工作内容</w:t>
      </w:r>
      <w:r>
        <w:rPr>
          <w:rFonts w:hint="eastAsia" w:ascii="方正仿宋简体" w:hAnsi="方正仿宋简体" w:eastAsia="方正仿宋简体" w:cs="方正仿宋简体"/>
          <w:sz w:val="32"/>
          <w:szCs w:val="32"/>
          <w:lang w:val="en-US" w:eastAsia="zh-CN"/>
        </w:rPr>
        <w:t>设定绩效目标</w:t>
      </w:r>
      <w:r>
        <w:rPr>
          <w:rFonts w:hint="eastAsia" w:ascii="方正仿宋简体" w:hAnsi="方正仿宋简体" w:eastAsia="方正仿宋简体" w:cs="方正仿宋简体"/>
          <w:sz w:val="32"/>
          <w:szCs w:val="32"/>
          <w:lang w:val="en-US" w:eastAsia="zh-Hans"/>
        </w:rPr>
        <w:t>，绩效目标</w:t>
      </w:r>
      <w:r>
        <w:rPr>
          <w:rFonts w:hint="eastAsia" w:ascii="方正仿宋简体" w:hAnsi="方正仿宋简体" w:eastAsia="方正仿宋简体" w:cs="方正仿宋简体"/>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bookmarkStart w:id="13" w:name="_Hlk68699917"/>
      <w:r>
        <w:rPr>
          <w:rFonts w:hint="eastAsia" w:ascii="方正仿宋简体" w:hAnsi="方正仿宋简体" w:eastAsia="方正仿宋简体" w:cs="方正仿宋简体"/>
          <w:sz w:val="32"/>
          <w:szCs w:val="32"/>
          <w:lang w:val="en-US" w:eastAsia="zh-CN"/>
        </w:rPr>
        <w:t>（2）绩效指标明确性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3"/>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textAlignment w:val="auto"/>
        <w:outlineLvl w:val="9"/>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3.资金投入</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（1）预算编制科学性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（2）资金分配合理性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资金分配额度与项目单位实际工作内容相适应，资金分配额度合理，资金分配依据充分。</w:t>
      </w:r>
    </w:p>
    <w:p>
      <w:pPr>
        <w:pStyle w:val="2"/>
        <w:pageBreakBefore w:val="0"/>
        <w:numPr>
          <w:ilvl w:val="0"/>
          <w:numId w:val="0"/>
        </w:numPr>
        <w:kinsoku/>
        <w:wordWrap/>
        <w:overflowPunct/>
        <w:topLinePunct w:val="0"/>
        <w:autoSpaceDE/>
        <w:autoSpaceDN/>
        <w:bidi w:val="0"/>
        <w:adjustRightInd/>
        <w:snapToGrid/>
        <w:spacing w:before="0" w:after="0" w:line="560" w:lineRule="exact"/>
        <w:ind w:left="0"/>
        <w:jc w:val="both"/>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（二）</w:t>
      </w:r>
      <w:r>
        <w:rPr>
          <w:rFonts w:hint="eastAsia" w:ascii="方正仿宋简体" w:hAnsi="方正仿宋简体" w:eastAsia="方正仿宋简体" w:cs="方正仿宋简体"/>
          <w:sz w:val="32"/>
          <w:szCs w:val="32"/>
        </w:rPr>
        <w:t>项目过程情况</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项目过程类指标包括资金管理和组织实施两方面的内容，由5个三级指标构成，权重分值为20分，实际得分20分，得分率为100%。</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1.资金管理</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（1）资金到位率</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本项目</w:t>
      </w:r>
      <w:r>
        <w:rPr>
          <w:rFonts w:hint="eastAsia" w:ascii="方正仿宋简体" w:hAnsi="方正仿宋简体" w:eastAsia="方正仿宋简体" w:cs="方正仿宋简体"/>
          <w:sz w:val="32"/>
          <w:szCs w:val="32"/>
          <w:highlight w:val="none"/>
          <w:lang w:val="en-US" w:eastAsia="zh-CN"/>
        </w:rPr>
        <w:t>总投资20万元，财政资金及时足额到位，到位率100%，预算资</w:t>
      </w:r>
      <w:r>
        <w:rPr>
          <w:rFonts w:hint="eastAsia" w:ascii="方正仿宋简体" w:hAnsi="方正仿宋简体" w:eastAsia="方正仿宋简体" w:cs="方正仿宋简体"/>
          <w:sz w:val="32"/>
          <w:szCs w:val="32"/>
          <w:lang w:val="en-US" w:eastAsia="zh-CN"/>
        </w:rPr>
        <w:t>金按计划进度执行。</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（2）预算执行率</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预算编制较为详细，项目资金支出总体能够按照预算执行，</w:t>
      </w:r>
      <w:r>
        <w:rPr>
          <w:rFonts w:hint="eastAsia" w:ascii="方正仿宋简体" w:hAnsi="方正仿宋简体" w:eastAsia="方正仿宋简体" w:cs="方正仿宋简体"/>
          <w:sz w:val="32"/>
          <w:szCs w:val="32"/>
          <w:highlight w:val="none"/>
          <w:lang w:val="en-US" w:eastAsia="zh-CN"/>
        </w:rPr>
        <w:t>预算资金支出20万元，预算执行率为100%</w:t>
      </w:r>
      <w:r>
        <w:rPr>
          <w:rFonts w:hint="eastAsia" w:ascii="方正仿宋简体" w:hAnsi="方正仿宋简体" w:eastAsia="方正仿宋简体" w:cs="方正仿宋简体"/>
          <w:sz w:val="32"/>
          <w:szCs w:val="32"/>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（3）资金使用合规性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2.组织实施</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（1）管理制度健全性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（2）制度执行有效性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pageBreakBefore w:val="0"/>
        <w:numPr>
          <w:ilvl w:val="0"/>
          <w:numId w:val="0"/>
        </w:numPr>
        <w:kinsoku/>
        <w:wordWrap/>
        <w:overflowPunct/>
        <w:topLinePunct w:val="0"/>
        <w:autoSpaceDE/>
        <w:autoSpaceDN/>
        <w:bidi w:val="0"/>
        <w:adjustRightInd/>
        <w:snapToGrid/>
        <w:spacing w:line="560" w:lineRule="exact"/>
        <w:ind w:left="0" w:firstLine="643" w:firstLineChars="200"/>
        <w:textAlignment w:val="auto"/>
        <w:outlineLvl w:val="9"/>
        <w:rPr>
          <w:rFonts w:hint="eastAsia" w:ascii="方正仿宋简体" w:hAnsi="方正仿宋简体" w:eastAsia="方正仿宋简体" w:cs="方正仿宋简体"/>
          <w:b/>
          <w:bCs/>
          <w:kern w:val="2"/>
          <w:sz w:val="32"/>
          <w:szCs w:val="32"/>
          <w:lang w:val="en-US" w:eastAsia="zh-CN" w:bidi="ar-SA"/>
        </w:rPr>
      </w:pPr>
      <w:bookmarkStart w:id="14" w:name="_Toc68703840"/>
      <w:r>
        <w:rPr>
          <w:rFonts w:hint="eastAsia" w:ascii="方正仿宋简体" w:hAnsi="方正仿宋简体" w:eastAsia="方正仿宋简体" w:cs="方正仿宋简体"/>
          <w:b/>
          <w:bCs/>
          <w:kern w:val="2"/>
          <w:sz w:val="32"/>
          <w:szCs w:val="32"/>
          <w:lang w:val="en-US" w:eastAsia="zh-CN" w:bidi="ar-SA"/>
        </w:rPr>
        <w:t>3.项目产出情况</w:t>
      </w:r>
      <w:bookmarkEnd w:id="14"/>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项目产出类指标包括产出数量、产出质量、产出时效、产出成本四方面的内容，由</w:t>
      </w:r>
      <w:r>
        <w:rPr>
          <w:rFonts w:hint="eastAsia" w:ascii="方正仿宋简体" w:hAnsi="方正仿宋简体" w:eastAsia="方正仿宋简体" w:cs="方正仿宋简体"/>
          <w:sz w:val="32"/>
          <w:szCs w:val="32"/>
          <w:highlight w:val="none"/>
          <w:lang w:val="en-US" w:eastAsia="zh-CN"/>
        </w:rPr>
        <w:t>9个三级指标构成，权重分为40分，实际得分36.24分，得分率为90.6%。具</w:t>
      </w:r>
      <w:r>
        <w:rPr>
          <w:rFonts w:hint="eastAsia" w:ascii="方正仿宋简体" w:hAnsi="方正仿宋简体" w:eastAsia="方正仿宋简体" w:cs="方正仿宋简体"/>
          <w:sz w:val="32"/>
          <w:szCs w:val="32"/>
          <w:lang w:val="en-US" w:eastAsia="zh-CN"/>
        </w:rPr>
        <w:t>体产出指标完成情况如下：</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fldChar w:fldCharType="begin"/>
      </w:r>
      <w:r>
        <w:rPr>
          <w:rFonts w:hint="eastAsia" w:ascii="方正仿宋简体" w:hAnsi="方正仿宋简体" w:eastAsia="方正仿宋简体" w:cs="方正仿宋简体"/>
          <w:sz w:val="32"/>
          <w:szCs w:val="32"/>
          <w:highlight w:val="none"/>
        </w:rPr>
        <w:instrText xml:space="preserve"> = 1 \* GB3 </w:instrText>
      </w:r>
      <w:r>
        <w:rPr>
          <w:rFonts w:hint="eastAsia" w:ascii="方正仿宋简体" w:hAnsi="方正仿宋简体" w:eastAsia="方正仿宋简体" w:cs="方正仿宋简体"/>
          <w:sz w:val="32"/>
          <w:szCs w:val="32"/>
          <w:highlight w:val="none"/>
        </w:rPr>
        <w:fldChar w:fldCharType="separate"/>
      </w:r>
      <w:r>
        <w:rPr>
          <w:rFonts w:hint="eastAsia" w:ascii="方正仿宋简体" w:hAnsi="方正仿宋简体" w:eastAsia="方正仿宋简体" w:cs="方正仿宋简体"/>
          <w:sz w:val="32"/>
          <w:szCs w:val="32"/>
          <w:highlight w:val="none"/>
        </w:rPr>
        <w:t>①</w:t>
      </w:r>
      <w:r>
        <w:rPr>
          <w:rFonts w:hint="eastAsia" w:ascii="方正仿宋简体" w:hAnsi="方正仿宋简体" w:eastAsia="方正仿宋简体" w:cs="方正仿宋简体"/>
          <w:sz w:val="32"/>
          <w:szCs w:val="32"/>
          <w:highlight w:val="none"/>
        </w:rPr>
        <w:fldChar w:fldCharType="end"/>
      </w:r>
      <w:r>
        <w:rPr>
          <w:rFonts w:hint="eastAsia" w:ascii="方正仿宋简体" w:hAnsi="方正仿宋简体" w:eastAsia="方正仿宋简体" w:cs="方正仿宋简体"/>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rPr>
        <w:t>指标1：</w:t>
      </w:r>
      <w:r>
        <w:rPr>
          <w:rFonts w:hint="eastAsia" w:ascii="方正仿宋简体" w:hAnsi="方正仿宋简体" w:eastAsia="方正仿宋简体" w:cs="方正仿宋简体"/>
          <w:color w:val="auto"/>
          <w:sz w:val="32"/>
          <w:szCs w:val="32"/>
          <w:lang w:val="en-US" w:eastAsia="zh-CN"/>
        </w:rPr>
        <w:t>抽检农产品批次</w:t>
      </w:r>
      <w:r>
        <w:rPr>
          <w:rFonts w:hint="eastAsia" w:ascii="方正仿宋简体" w:hAnsi="方正仿宋简体" w:eastAsia="方正仿宋简体" w:cs="方正仿宋简体"/>
          <w:color w:val="auto"/>
          <w:sz w:val="32"/>
          <w:szCs w:val="32"/>
        </w:rPr>
        <w:t>，指标值：</w:t>
      </w:r>
      <w:r>
        <w:rPr>
          <w:rFonts w:hint="eastAsia" w:ascii="方正仿宋简体" w:hAnsi="方正仿宋简体" w:eastAsia="方正仿宋简体" w:cs="方正仿宋简体"/>
          <w:color w:val="auto"/>
          <w:sz w:val="32"/>
          <w:szCs w:val="32"/>
          <w:lang w:val="en-US" w:eastAsia="zh-CN"/>
        </w:rPr>
        <w:t>110批次</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110批次</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偏差原因：</w:t>
      </w:r>
      <w:r>
        <w:rPr>
          <w:rFonts w:hint="eastAsia" w:ascii="方正仿宋简体" w:hAnsi="方正仿宋简体" w:eastAsia="方正仿宋简体" w:cs="方正仿宋简体"/>
          <w:color w:val="auto"/>
          <w:sz w:val="32"/>
          <w:szCs w:val="32"/>
          <w:lang w:val="en-US" w:eastAsia="zh-CN"/>
        </w:rPr>
        <w:t>无。</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FF0000"/>
          <w:sz w:val="32"/>
          <w:szCs w:val="32"/>
          <w:lang w:val="en-US" w:eastAsia="zh-CN"/>
        </w:rPr>
      </w:pPr>
      <w:r>
        <w:rPr>
          <w:rFonts w:hint="eastAsia" w:ascii="方正仿宋简体" w:hAnsi="方正仿宋简体" w:eastAsia="方正仿宋简体" w:cs="方正仿宋简体"/>
          <w:color w:val="auto"/>
          <w:sz w:val="32"/>
          <w:szCs w:val="32"/>
        </w:rPr>
        <w:t>指标2：</w:t>
      </w:r>
      <w:r>
        <w:rPr>
          <w:rFonts w:hint="eastAsia" w:ascii="方正仿宋简体" w:hAnsi="方正仿宋简体" w:eastAsia="方正仿宋简体" w:cs="方正仿宋简体"/>
          <w:color w:val="auto"/>
          <w:sz w:val="32"/>
          <w:szCs w:val="32"/>
          <w:lang w:val="en-US" w:eastAsia="zh-CN"/>
        </w:rPr>
        <w:t>抽检药品医疗器械批次</w:t>
      </w:r>
      <w:r>
        <w:rPr>
          <w:rFonts w:hint="eastAsia" w:ascii="方正仿宋简体" w:hAnsi="方正仿宋简体" w:eastAsia="方正仿宋简体" w:cs="方正仿宋简体"/>
          <w:color w:val="auto"/>
          <w:sz w:val="32"/>
          <w:szCs w:val="32"/>
        </w:rPr>
        <w:t>，指标值：</w:t>
      </w:r>
      <w:r>
        <w:rPr>
          <w:rFonts w:hint="eastAsia" w:ascii="方正仿宋简体" w:hAnsi="方正仿宋简体" w:eastAsia="方正仿宋简体" w:cs="方正仿宋简体"/>
          <w:color w:val="auto"/>
          <w:sz w:val="32"/>
          <w:szCs w:val="32"/>
          <w:lang w:val="en-US" w:eastAsia="zh-CN"/>
        </w:rPr>
        <w:t>6批次</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6批次</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rPr>
        <w:t>%，偏差原因：</w:t>
      </w:r>
      <w:r>
        <w:rPr>
          <w:rFonts w:hint="eastAsia" w:ascii="方正仿宋简体" w:hAnsi="方正仿宋简体" w:eastAsia="方正仿宋简体" w:cs="方正仿宋简体"/>
          <w:color w:val="auto"/>
          <w:sz w:val="32"/>
          <w:szCs w:val="32"/>
          <w:lang w:val="en-US" w:eastAsia="zh-CN"/>
        </w:rPr>
        <w:t>无</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FF0000"/>
          <w:sz w:val="32"/>
          <w:szCs w:val="32"/>
          <w:lang w:val="en-US" w:eastAsia="zh-CN"/>
        </w:rPr>
      </w:pPr>
      <w:r>
        <w:rPr>
          <w:rFonts w:hint="eastAsia" w:ascii="方正仿宋简体" w:hAnsi="方正仿宋简体" w:eastAsia="方正仿宋简体" w:cs="方正仿宋简体"/>
          <w:color w:val="auto"/>
          <w:sz w:val="32"/>
          <w:szCs w:val="32"/>
        </w:rPr>
        <w:t>指标</w:t>
      </w:r>
      <w:r>
        <w:rPr>
          <w:rFonts w:hint="eastAsia" w:ascii="方正仿宋简体" w:hAnsi="方正仿宋简体" w:eastAsia="方正仿宋简体" w:cs="方正仿宋简体"/>
          <w:color w:val="auto"/>
          <w:sz w:val="32"/>
          <w:szCs w:val="32"/>
          <w:lang w:val="en-US" w:eastAsia="zh-CN"/>
        </w:rPr>
        <w:t>3</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val="en-US" w:eastAsia="zh-CN"/>
        </w:rPr>
        <w:t>抽检产品质量抽检批次</w:t>
      </w:r>
      <w:r>
        <w:rPr>
          <w:rFonts w:hint="eastAsia" w:ascii="方正仿宋简体" w:hAnsi="方正仿宋简体" w:eastAsia="方正仿宋简体" w:cs="方正仿宋简体"/>
          <w:color w:val="auto"/>
          <w:sz w:val="32"/>
          <w:szCs w:val="32"/>
        </w:rPr>
        <w:t>，指标值：</w:t>
      </w:r>
      <w:r>
        <w:rPr>
          <w:rFonts w:hint="eastAsia" w:ascii="方正仿宋简体" w:hAnsi="方正仿宋简体" w:eastAsia="方正仿宋简体" w:cs="方正仿宋简体"/>
          <w:color w:val="auto"/>
          <w:sz w:val="32"/>
          <w:szCs w:val="32"/>
          <w:lang w:val="en-US" w:eastAsia="zh-CN"/>
        </w:rPr>
        <w:t>20批次</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20批次</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rPr>
        <w:t>%，偏差原因：</w:t>
      </w:r>
      <w:r>
        <w:rPr>
          <w:rFonts w:hint="eastAsia" w:ascii="方正仿宋简体" w:hAnsi="方正仿宋简体" w:eastAsia="方正仿宋简体" w:cs="方正仿宋简体"/>
          <w:color w:val="auto"/>
          <w:sz w:val="32"/>
          <w:szCs w:val="32"/>
          <w:lang w:val="en-US" w:eastAsia="zh-CN"/>
        </w:rPr>
        <w:t>无</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FF0000"/>
          <w:sz w:val="32"/>
          <w:szCs w:val="32"/>
          <w:lang w:val="en-US" w:eastAsia="zh-CN"/>
        </w:rPr>
      </w:pPr>
      <w:r>
        <w:rPr>
          <w:rFonts w:hint="eastAsia" w:ascii="方正仿宋简体" w:hAnsi="方正仿宋简体" w:eastAsia="方正仿宋简体" w:cs="方正仿宋简体"/>
          <w:color w:val="auto"/>
          <w:sz w:val="32"/>
          <w:szCs w:val="32"/>
        </w:rPr>
        <w:t>指标</w:t>
      </w:r>
      <w:r>
        <w:rPr>
          <w:rFonts w:hint="eastAsia" w:ascii="方正仿宋简体" w:hAnsi="方正仿宋简体" w:eastAsia="方正仿宋简体" w:cs="方正仿宋简体"/>
          <w:color w:val="auto"/>
          <w:sz w:val="32"/>
          <w:szCs w:val="32"/>
          <w:lang w:val="en-US" w:eastAsia="zh-CN"/>
        </w:rPr>
        <w:t>4</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val="en-US" w:eastAsia="zh-CN"/>
        </w:rPr>
        <w:t>出具抽检报告数量</w:t>
      </w:r>
      <w:r>
        <w:rPr>
          <w:rFonts w:hint="eastAsia" w:ascii="方正仿宋简体" w:hAnsi="方正仿宋简体" w:eastAsia="方正仿宋简体" w:cs="方正仿宋简体"/>
          <w:color w:val="auto"/>
          <w:sz w:val="32"/>
          <w:szCs w:val="32"/>
        </w:rPr>
        <w:t>，指标值：</w:t>
      </w:r>
      <w:r>
        <w:rPr>
          <w:rFonts w:hint="eastAsia" w:ascii="方正仿宋简体" w:hAnsi="方正仿宋简体" w:eastAsia="方正仿宋简体" w:cs="方正仿宋简体"/>
          <w:color w:val="auto"/>
          <w:sz w:val="32"/>
          <w:szCs w:val="32"/>
          <w:lang w:val="en-US" w:eastAsia="zh-CN"/>
        </w:rPr>
        <w:t>3份</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3份</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rPr>
        <w:t>%，偏差原因：</w:t>
      </w:r>
      <w:r>
        <w:rPr>
          <w:rFonts w:hint="eastAsia" w:ascii="方正仿宋简体" w:hAnsi="方正仿宋简体" w:eastAsia="方正仿宋简体" w:cs="方正仿宋简体"/>
          <w:color w:val="auto"/>
          <w:sz w:val="32"/>
          <w:szCs w:val="32"/>
          <w:lang w:val="en-US" w:eastAsia="zh-CN"/>
        </w:rPr>
        <w:t>无</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fldChar w:fldCharType="begin"/>
      </w:r>
      <w:r>
        <w:rPr>
          <w:rFonts w:hint="eastAsia" w:ascii="方正仿宋简体" w:hAnsi="方正仿宋简体" w:eastAsia="方正仿宋简体" w:cs="方正仿宋简体"/>
          <w:sz w:val="32"/>
          <w:szCs w:val="32"/>
          <w:highlight w:val="none"/>
        </w:rPr>
        <w:instrText xml:space="preserve"> = 2 \* GB3 </w:instrText>
      </w:r>
      <w:r>
        <w:rPr>
          <w:rFonts w:hint="eastAsia" w:ascii="方正仿宋简体" w:hAnsi="方正仿宋简体" w:eastAsia="方正仿宋简体" w:cs="方正仿宋简体"/>
          <w:sz w:val="32"/>
          <w:szCs w:val="32"/>
          <w:highlight w:val="none"/>
        </w:rPr>
        <w:fldChar w:fldCharType="separate"/>
      </w:r>
      <w:r>
        <w:rPr>
          <w:rFonts w:hint="eastAsia" w:ascii="方正仿宋简体" w:hAnsi="方正仿宋简体" w:eastAsia="方正仿宋简体" w:cs="方正仿宋简体"/>
          <w:sz w:val="32"/>
          <w:szCs w:val="32"/>
          <w:highlight w:val="none"/>
        </w:rPr>
        <w:t>②</w:t>
      </w:r>
      <w:r>
        <w:rPr>
          <w:rFonts w:hint="eastAsia" w:ascii="方正仿宋简体" w:hAnsi="方正仿宋简体" w:eastAsia="方正仿宋简体" w:cs="方正仿宋简体"/>
          <w:sz w:val="32"/>
          <w:szCs w:val="32"/>
          <w:highlight w:val="none"/>
        </w:rPr>
        <w:fldChar w:fldCharType="end"/>
      </w:r>
      <w:r>
        <w:rPr>
          <w:rFonts w:hint="eastAsia" w:ascii="方正仿宋简体" w:hAnsi="方正仿宋简体" w:eastAsia="方正仿宋简体" w:cs="方正仿宋简体"/>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rPr>
        <w:t>指标1：</w:t>
      </w:r>
      <w:r>
        <w:rPr>
          <w:rFonts w:hint="eastAsia" w:ascii="方正仿宋简体" w:hAnsi="方正仿宋简体" w:eastAsia="方正仿宋简体" w:cs="方正仿宋简体"/>
          <w:color w:val="auto"/>
          <w:sz w:val="32"/>
          <w:szCs w:val="32"/>
          <w:lang w:val="en-US" w:eastAsia="zh-CN"/>
        </w:rPr>
        <w:t>抽检覆盖率</w:t>
      </w:r>
      <w:r>
        <w:rPr>
          <w:rFonts w:hint="eastAsia" w:ascii="方正仿宋简体" w:hAnsi="方正仿宋简体" w:eastAsia="方正仿宋简体" w:cs="方正仿宋简体"/>
          <w:color w:val="auto"/>
          <w:sz w:val="32"/>
          <w:szCs w:val="32"/>
        </w:rPr>
        <w:t>，指标值：≥</w:t>
      </w:r>
      <w:r>
        <w:rPr>
          <w:rFonts w:hint="eastAsia" w:ascii="方正仿宋简体" w:hAnsi="方正仿宋简体" w:eastAsia="方正仿宋简体" w:cs="方正仿宋简体"/>
          <w:color w:val="auto"/>
          <w:sz w:val="32"/>
          <w:szCs w:val="32"/>
          <w:lang w:val="en-US" w:eastAsia="zh-CN"/>
        </w:rPr>
        <w:t>95%</w:t>
      </w:r>
      <w:r>
        <w:rPr>
          <w:rFonts w:hint="eastAsia" w:ascii="方正仿宋简体" w:hAnsi="方正仿宋简体" w:eastAsia="方正仿宋简体" w:cs="方正仿宋简体"/>
          <w:color w:val="auto"/>
          <w:sz w:val="32"/>
          <w:szCs w:val="32"/>
          <w:lang w:eastAsia="zh-CN"/>
        </w:rPr>
        <w:t>　</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95%</w:t>
      </w:r>
      <w:r>
        <w:rPr>
          <w:rFonts w:hint="eastAsia" w:ascii="方正仿宋简体" w:hAnsi="方正仿宋简体" w:eastAsia="方正仿宋简体" w:cs="方正仿宋简体"/>
          <w:color w:val="auto"/>
          <w:sz w:val="32"/>
          <w:szCs w:val="32"/>
          <w:lang w:eastAsia="zh-CN"/>
        </w:rPr>
        <w:t>　</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偏差原因：</w:t>
      </w:r>
      <w:r>
        <w:rPr>
          <w:rFonts w:hint="eastAsia" w:ascii="方正仿宋简体" w:hAnsi="方正仿宋简体" w:eastAsia="方正仿宋简体" w:cs="方正仿宋简体"/>
          <w:color w:val="auto"/>
          <w:sz w:val="32"/>
          <w:szCs w:val="32"/>
          <w:lang w:val="en-US" w:eastAsia="zh-CN"/>
        </w:rPr>
        <w:t>无</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fldChar w:fldCharType="begin"/>
      </w:r>
      <w:r>
        <w:rPr>
          <w:rFonts w:hint="eastAsia" w:ascii="方正仿宋简体" w:hAnsi="方正仿宋简体" w:eastAsia="方正仿宋简体" w:cs="方正仿宋简体"/>
          <w:sz w:val="32"/>
          <w:szCs w:val="32"/>
          <w:highlight w:val="none"/>
        </w:rPr>
        <w:instrText xml:space="preserve"> = 3 \* GB3 </w:instrText>
      </w:r>
      <w:r>
        <w:rPr>
          <w:rFonts w:hint="eastAsia" w:ascii="方正仿宋简体" w:hAnsi="方正仿宋简体" w:eastAsia="方正仿宋简体" w:cs="方正仿宋简体"/>
          <w:sz w:val="32"/>
          <w:szCs w:val="32"/>
          <w:highlight w:val="none"/>
        </w:rPr>
        <w:fldChar w:fldCharType="separate"/>
      </w:r>
      <w:r>
        <w:rPr>
          <w:rFonts w:hint="eastAsia" w:ascii="方正仿宋简体" w:hAnsi="方正仿宋简体" w:eastAsia="方正仿宋简体" w:cs="方正仿宋简体"/>
          <w:sz w:val="32"/>
          <w:szCs w:val="32"/>
          <w:highlight w:val="none"/>
        </w:rPr>
        <w:t>③</w:t>
      </w:r>
      <w:r>
        <w:rPr>
          <w:rFonts w:hint="eastAsia" w:ascii="方正仿宋简体" w:hAnsi="方正仿宋简体" w:eastAsia="方正仿宋简体" w:cs="方正仿宋简体"/>
          <w:sz w:val="32"/>
          <w:szCs w:val="32"/>
          <w:highlight w:val="none"/>
        </w:rPr>
        <w:fldChar w:fldCharType="end"/>
      </w:r>
      <w:r>
        <w:rPr>
          <w:rFonts w:hint="eastAsia" w:ascii="方正仿宋简体" w:hAnsi="方正仿宋简体" w:eastAsia="方正仿宋简体" w:cs="方正仿宋简体"/>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auto"/>
          <w:sz w:val="32"/>
          <w:szCs w:val="32"/>
          <w:lang w:val="en-US" w:eastAsia="zh-CN"/>
        </w:rPr>
      </w:pPr>
      <w:bookmarkStart w:id="15" w:name="_Toc68703841"/>
      <w:r>
        <w:rPr>
          <w:rFonts w:hint="eastAsia" w:ascii="方正仿宋简体" w:hAnsi="方正仿宋简体" w:eastAsia="方正仿宋简体" w:cs="方正仿宋简体"/>
          <w:color w:val="auto"/>
          <w:sz w:val="32"/>
          <w:szCs w:val="32"/>
        </w:rPr>
        <w:t>指标1：</w:t>
      </w:r>
      <w:r>
        <w:rPr>
          <w:rFonts w:hint="eastAsia" w:ascii="方正仿宋简体" w:hAnsi="方正仿宋简体" w:eastAsia="方正仿宋简体" w:cs="方正仿宋简体"/>
          <w:color w:val="auto"/>
          <w:sz w:val="32"/>
          <w:szCs w:val="32"/>
          <w:lang w:val="en-US" w:eastAsia="zh-CN"/>
        </w:rPr>
        <w:t>年度抽检任务按时完成率</w:t>
      </w:r>
      <w:r>
        <w:rPr>
          <w:rFonts w:hint="eastAsia" w:ascii="方正仿宋简体" w:hAnsi="方正仿宋简体" w:eastAsia="方正仿宋简体" w:cs="方正仿宋简体"/>
          <w:color w:val="auto"/>
          <w:sz w:val="32"/>
          <w:szCs w:val="32"/>
        </w:rPr>
        <w:t>，指标值：</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lang w:eastAsia="zh-CN"/>
        </w:rPr>
        <w:t>　</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lang w:eastAsia="zh-CN"/>
        </w:rPr>
        <w:t>　</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偏差原因：</w:t>
      </w:r>
      <w:r>
        <w:rPr>
          <w:rFonts w:hint="eastAsia" w:ascii="方正仿宋简体" w:hAnsi="方正仿宋简体" w:eastAsia="方正仿宋简体" w:cs="方正仿宋简体"/>
          <w:color w:val="auto"/>
          <w:sz w:val="32"/>
          <w:szCs w:val="32"/>
          <w:lang w:val="en-US" w:eastAsia="zh-CN"/>
        </w:rPr>
        <w:t>无</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fldChar w:fldCharType="begin"/>
      </w:r>
      <w:r>
        <w:rPr>
          <w:rFonts w:hint="eastAsia" w:ascii="方正仿宋简体" w:hAnsi="方正仿宋简体" w:eastAsia="方正仿宋简体" w:cs="方正仿宋简体"/>
          <w:sz w:val="32"/>
          <w:szCs w:val="32"/>
          <w:highlight w:val="none"/>
          <w:lang w:val="en-US" w:eastAsia="zh-CN"/>
        </w:rPr>
        <w:instrText xml:space="preserve"> = 4 \* GB3 </w:instrText>
      </w:r>
      <w:r>
        <w:rPr>
          <w:rFonts w:hint="eastAsia" w:ascii="方正仿宋简体" w:hAnsi="方正仿宋简体" w:eastAsia="方正仿宋简体" w:cs="方正仿宋简体"/>
          <w:sz w:val="32"/>
          <w:szCs w:val="32"/>
          <w:highlight w:val="none"/>
          <w:lang w:val="en-US" w:eastAsia="zh-CN"/>
        </w:rPr>
        <w:fldChar w:fldCharType="separate"/>
      </w:r>
      <w:r>
        <w:rPr>
          <w:rFonts w:hint="eastAsia" w:ascii="方正仿宋简体" w:hAnsi="方正仿宋简体" w:eastAsia="方正仿宋简体" w:cs="方正仿宋简体"/>
          <w:sz w:val="32"/>
          <w:szCs w:val="32"/>
          <w:highlight w:val="none"/>
          <w:lang w:val="en-US" w:eastAsia="zh-CN"/>
        </w:rPr>
        <w:t>④</w:t>
      </w:r>
      <w:r>
        <w:rPr>
          <w:rFonts w:hint="eastAsia" w:ascii="方正仿宋简体" w:hAnsi="方正仿宋简体" w:eastAsia="方正仿宋简体" w:cs="方正仿宋简体"/>
          <w:sz w:val="32"/>
          <w:szCs w:val="32"/>
          <w:highlight w:val="none"/>
          <w:lang w:val="en-US" w:eastAsia="zh-CN"/>
        </w:rPr>
        <w:fldChar w:fldCharType="end"/>
      </w:r>
      <w:r>
        <w:rPr>
          <w:rFonts w:hint="eastAsia" w:ascii="方正仿宋简体" w:hAnsi="方正仿宋简体" w:eastAsia="方正仿宋简体" w:cs="方正仿宋简体"/>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rPr>
        <w:t>指标1：</w:t>
      </w:r>
      <w:r>
        <w:rPr>
          <w:rFonts w:hint="eastAsia" w:ascii="方正仿宋简体" w:hAnsi="方正仿宋简体" w:eastAsia="方正仿宋简体" w:cs="方正仿宋简体"/>
          <w:color w:val="auto"/>
          <w:sz w:val="32"/>
          <w:szCs w:val="32"/>
          <w:lang w:val="en-US" w:eastAsia="zh-CN"/>
        </w:rPr>
        <w:t>农产品抽检费用</w:t>
      </w:r>
      <w:r>
        <w:rPr>
          <w:rFonts w:hint="eastAsia" w:ascii="方正仿宋简体" w:hAnsi="方正仿宋简体" w:eastAsia="方正仿宋简体" w:cs="方正仿宋简体"/>
          <w:color w:val="auto"/>
          <w:sz w:val="32"/>
          <w:szCs w:val="32"/>
        </w:rPr>
        <w:t>，指标值：≤</w:t>
      </w:r>
      <w:r>
        <w:rPr>
          <w:rFonts w:hint="eastAsia" w:ascii="方正仿宋简体" w:hAnsi="方正仿宋简体" w:eastAsia="方正仿宋简体" w:cs="方正仿宋简体"/>
          <w:color w:val="auto"/>
          <w:sz w:val="32"/>
          <w:szCs w:val="32"/>
          <w:lang w:val="en-US" w:eastAsia="zh-CN"/>
        </w:rPr>
        <w:t>11万元</w:t>
      </w:r>
      <w:r>
        <w:rPr>
          <w:rFonts w:hint="eastAsia" w:ascii="方正仿宋简体" w:hAnsi="方正仿宋简体" w:eastAsia="方正仿宋简体" w:cs="方正仿宋简体"/>
          <w:color w:val="auto"/>
          <w:sz w:val="32"/>
          <w:szCs w:val="32"/>
          <w:lang w:eastAsia="zh-CN"/>
        </w:rPr>
        <w:t>　</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11.3万元</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0</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偏差原因：</w:t>
      </w:r>
      <w:r>
        <w:rPr>
          <w:rFonts w:hint="eastAsia" w:ascii="方正仿宋简体" w:hAnsi="方正仿宋简体" w:eastAsia="方正仿宋简体" w:cs="方正仿宋简体"/>
          <w:color w:val="auto"/>
          <w:sz w:val="32"/>
          <w:szCs w:val="32"/>
          <w:lang w:val="en-US" w:eastAsia="zh-CN"/>
        </w:rPr>
        <w:t>因次项目执行支出抽检费用增加，导致费用增加，超出计划预算值，改进措施：下一年度精准预算，节省开支。</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rPr>
        <w:t>指标</w:t>
      </w:r>
      <w:r>
        <w:rPr>
          <w:rFonts w:hint="eastAsia" w:ascii="方正仿宋简体" w:hAnsi="方正仿宋简体" w:eastAsia="方正仿宋简体" w:cs="方正仿宋简体"/>
          <w:color w:val="auto"/>
          <w:sz w:val="32"/>
          <w:szCs w:val="32"/>
          <w:lang w:val="en-US" w:eastAsia="zh-CN"/>
        </w:rPr>
        <w:t>2</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val="en-US" w:eastAsia="zh-CN"/>
        </w:rPr>
        <w:t>药品安全抽检费用</w:t>
      </w:r>
      <w:r>
        <w:rPr>
          <w:rFonts w:hint="eastAsia" w:ascii="方正仿宋简体" w:hAnsi="方正仿宋简体" w:eastAsia="方正仿宋简体" w:cs="方正仿宋简体"/>
          <w:color w:val="auto"/>
          <w:sz w:val="32"/>
          <w:szCs w:val="32"/>
        </w:rPr>
        <w:t>，指标值：≤</w:t>
      </w:r>
      <w:r>
        <w:rPr>
          <w:rFonts w:hint="eastAsia" w:ascii="方正仿宋简体" w:hAnsi="方正仿宋简体" w:eastAsia="方正仿宋简体" w:cs="方正仿宋简体"/>
          <w:color w:val="auto"/>
          <w:sz w:val="32"/>
          <w:szCs w:val="32"/>
          <w:lang w:val="en-US" w:eastAsia="zh-CN"/>
        </w:rPr>
        <w:t>3万元</w:t>
      </w:r>
      <w:r>
        <w:rPr>
          <w:rFonts w:hint="eastAsia" w:ascii="方正仿宋简体" w:hAnsi="方正仿宋简体" w:eastAsia="方正仿宋简体" w:cs="方正仿宋简体"/>
          <w:color w:val="auto"/>
          <w:sz w:val="32"/>
          <w:szCs w:val="32"/>
          <w:lang w:eastAsia="zh-CN"/>
        </w:rPr>
        <w:t>　</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2.9万元</w:t>
      </w:r>
      <w:r>
        <w:rPr>
          <w:rFonts w:hint="eastAsia" w:ascii="方正仿宋简体" w:hAnsi="方正仿宋简体" w:eastAsia="方正仿宋简体" w:cs="方正仿宋简体"/>
          <w:color w:val="auto"/>
          <w:sz w:val="32"/>
          <w:szCs w:val="32"/>
          <w:lang w:eastAsia="zh-CN"/>
        </w:rPr>
        <w:t>　</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96.67</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偏差原因：</w:t>
      </w:r>
      <w:r>
        <w:rPr>
          <w:rFonts w:hint="eastAsia" w:ascii="方正仿宋简体" w:hAnsi="方正仿宋简体" w:eastAsia="方正仿宋简体" w:cs="方正仿宋简体"/>
          <w:color w:val="auto"/>
          <w:sz w:val="32"/>
          <w:szCs w:val="32"/>
          <w:lang w:val="en-US" w:eastAsia="zh-CN"/>
        </w:rPr>
        <w:t>节约成本，支出时给予优惠价。</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rPr>
        <w:t>指标1：</w:t>
      </w:r>
      <w:r>
        <w:rPr>
          <w:rFonts w:hint="eastAsia" w:ascii="方正仿宋简体" w:hAnsi="方正仿宋简体" w:eastAsia="方正仿宋简体" w:cs="方正仿宋简体"/>
          <w:color w:val="auto"/>
          <w:sz w:val="32"/>
          <w:szCs w:val="32"/>
          <w:lang w:val="en-US" w:eastAsia="zh-CN"/>
        </w:rPr>
        <w:t>产品质量抽检费用</w:t>
      </w:r>
      <w:r>
        <w:rPr>
          <w:rFonts w:hint="eastAsia" w:ascii="方正仿宋简体" w:hAnsi="方正仿宋简体" w:eastAsia="方正仿宋简体" w:cs="方正仿宋简体"/>
          <w:color w:val="auto"/>
          <w:sz w:val="32"/>
          <w:szCs w:val="32"/>
        </w:rPr>
        <w:t>，指标值：≤</w:t>
      </w:r>
      <w:r>
        <w:rPr>
          <w:rFonts w:hint="eastAsia" w:ascii="方正仿宋简体" w:hAnsi="方正仿宋简体" w:eastAsia="方正仿宋简体" w:cs="方正仿宋简体"/>
          <w:color w:val="auto"/>
          <w:sz w:val="32"/>
          <w:szCs w:val="32"/>
          <w:lang w:val="en-US" w:eastAsia="zh-CN"/>
        </w:rPr>
        <w:t>6万元</w:t>
      </w:r>
      <w:r>
        <w:rPr>
          <w:rFonts w:hint="eastAsia" w:ascii="方正仿宋简体" w:hAnsi="方正仿宋简体" w:eastAsia="方正仿宋简体" w:cs="方正仿宋简体"/>
          <w:color w:val="auto"/>
          <w:sz w:val="32"/>
          <w:szCs w:val="32"/>
          <w:lang w:eastAsia="zh-CN"/>
        </w:rPr>
        <w:t>　</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5.7万元</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95</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偏差原因：</w:t>
      </w:r>
      <w:r>
        <w:rPr>
          <w:rFonts w:hint="eastAsia" w:ascii="方正仿宋简体" w:hAnsi="方正仿宋简体" w:eastAsia="方正仿宋简体" w:cs="方正仿宋简体"/>
          <w:color w:val="auto"/>
          <w:sz w:val="32"/>
          <w:szCs w:val="32"/>
          <w:lang w:val="en-US" w:eastAsia="zh-CN"/>
        </w:rPr>
        <w:t>节约成本，支出时给予优惠价。</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textAlignment w:val="auto"/>
        <w:outlineLvl w:val="9"/>
        <w:rPr>
          <w:rFonts w:hint="eastAsia" w:ascii="方正仿宋简体" w:hAnsi="方正仿宋简体" w:eastAsia="方正仿宋简体" w:cs="方正仿宋简体"/>
          <w:b/>
          <w:bCs/>
          <w:kern w:val="2"/>
          <w:sz w:val="32"/>
          <w:szCs w:val="32"/>
          <w:lang w:val="en-US" w:eastAsia="zh-CN" w:bidi="ar-SA"/>
        </w:rPr>
      </w:pPr>
      <w:r>
        <w:rPr>
          <w:rFonts w:hint="eastAsia" w:ascii="方正仿宋简体" w:hAnsi="方正仿宋简体" w:eastAsia="方正仿宋简体" w:cs="方正仿宋简体"/>
          <w:b/>
          <w:bCs/>
          <w:kern w:val="2"/>
          <w:sz w:val="32"/>
          <w:szCs w:val="32"/>
          <w:lang w:val="en-US" w:eastAsia="zh-CN" w:bidi="ar-SA"/>
        </w:rPr>
        <w:t>（四）项目效益情况</w:t>
      </w:r>
      <w:bookmarkEnd w:id="15"/>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项目效益类指标包括项目实施效益和满意度两方面的内容，由</w:t>
      </w:r>
      <w:r>
        <w:rPr>
          <w:rFonts w:hint="eastAsia" w:ascii="方正仿宋简体" w:hAnsi="方正仿宋简体" w:eastAsia="方正仿宋简体" w:cs="方正仿宋简体"/>
          <w:sz w:val="32"/>
          <w:szCs w:val="32"/>
          <w:highlight w:val="none"/>
          <w:lang w:val="en-US" w:eastAsia="zh-CN"/>
        </w:rPr>
        <w:t>3个三级指标构成，权重分为20分，实际得分20分，得分率为100%。具体效益指标及满意度指标完成情况如下</w:t>
      </w:r>
      <w:r>
        <w:rPr>
          <w:rFonts w:hint="eastAsia" w:ascii="方正仿宋简体" w:hAnsi="方正仿宋简体" w:eastAsia="方正仿宋简体" w:cs="方正仿宋简体"/>
          <w:sz w:val="32"/>
          <w:szCs w:val="32"/>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1.实施效益</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①</w:t>
      </w:r>
      <w:r>
        <w:rPr>
          <w:rFonts w:hint="eastAsia" w:ascii="方正仿宋简体" w:hAnsi="方正仿宋简体" w:eastAsia="方正仿宋简体" w:cs="方正仿宋简体"/>
          <w:sz w:val="32"/>
          <w:szCs w:val="32"/>
          <w:highlight w:val="none"/>
        </w:rPr>
        <w:t>社会效益指标：</w:t>
      </w:r>
      <w:r>
        <w:rPr>
          <w:rFonts w:hint="eastAsia" w:ascii="方正仿宋简体" w:hAnsi="方正仿宋简体" w:eastAsia="方正仿宋简体" w:cs="方正仿宋简体"/>
          <w:sz w:val="32"/>
          <w:szCs w:val="32"/>
          <w:highlight w:val="none"/>
          <w:lang w:val="en-US" w:eastAsia="zh-CN"/>
        </w:rPr>
        <w:t>指标1：抽检结果公开率=100%，实际完成值:100%，指标完成率100%。</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指标2：问题整改落实率=95%，实际完成值:95%，指标完成率100%。</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2.满意度</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满意度指标：检查人员被投诉次数≤1次，</w:t>
      </w:r>
      <w:r>
        <w:rPr>
          <w:rFonts w:hint="eastAsia" w:ascii="方正仿宋简体" w:hAnsi="方正仿宋简体" w:eastAsia="方正仿宋简体" w:cs="方正仿宋简体"/>
          <w:color w:val="auto"/>
          <w:sz w:val="32"/>
          <w:szCs w:val="32"/>
        </w:rPr>
        <w:t>实际完成值</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0次</w:t>
      </w:r>
      <w:r>
        <w:rPr>
          <w:rFonts w:hint="eastAsia" w:ascii="方正仿宋简体" w:hAnsi="方正仿宋简体" w:eastAsia="方正仿宋简体" w:cs="方正仿宋简体"/>
          <w:color w:val="auto"/>
          <w:sz w:val="32"/>
          <w:szCs w:val="32"/>
        </w:rPr>
        <w:t>，指标完成率</w:t>
      </w:r>
      <w:r>
        <w:rPr>
          <w:rFonts w:hint="eastAsia" w:ascii="方正仿宋简体" w:hAnsi="方正仿宋简体" w:eastAsia="方正仿宋简体" w:cs="方正仿宋简体"/>
          <w:color w:val="auto"/>
          <w:sz w:val="32"/>
          <w:szCs w:val="32"/>
          <w:lang w:val="en-US" w:eastAsia="zh-CN"/>
        </w:rPr>
        <w:t>100</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eastAsia="zh-CN"/>
        </w:rPr>
        <w:t>。</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sz w:val="32"/>
          <w:szCs w:val="32"/>
          <w:lang w:val="en-US" w:eastAsia="zh-Hans"/>
        </w:rPr>
      </w:pPr>
      <w:r>
        <w:rPr>
          <w:rFonts w:hint="eastAsia" w:ascii="Times New Roman" w:hAnsi="Times New Roman" w:eastAsia="黑体" w:cs="Times New Roman"/>
          <w:sz w:val="32"/>
          <w:szCs w:val="32"/>
          <w:lang w:val="en-US" w:eastAsia="zh-Hans"/>
        </w:rPr>
        <w:t>五、预算执行进度与绩效指标总体完成率偏差</w:t>
      </w:r>
    </w:p>
    <w:p>
      <w:pPr>
        <w:pStyle w:val="20"/>
        <w:pageBreakBefore w:val="0"/>
        <w:kinsoku/>
        <w:wordWrap/>
        <w:overflowPunct/>
        <w:topLinePunct w:val="0"/>
        <w:autoSpaceDE/>
        <w:autoSpaceDN/>
        <w:bidi w:val="0"/>
        <w:adjustRightInd/>
        <w:snapToGrid/>
        <w:spacing w:line="560" w:lineRule="exact"/>
        <w:ind w:left="0" w:firstLine="64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auto"/>
          <w:kern w:val="2"/>
          <w:sz w:val="32"/>
          <w:szCs w:val="32"/>
          <w:lang w:val="en-US" w:eastAsia="zh-CN" w:bidi="ar-SA"/>
        </w:rPr>
        <w:t>食品、药品、产品质量抽检项目年初预算20万元，全年预算20万元，实际支出20万元</w:t>
      </w:r>
      <w:r>
        <w:rPr>
          <w:rFonts w:hint="eastAsia" w:ascii="方正仿宋简体" w:hAnsi="方正仿宋简体" w:eastAsia="方正仿宋简体" w:cs="方正仿宋简体"/>
          <w:kern w:val="2"/>
          <w:sz w:val="32"/>
          <w:szCs w:val="32"/>
          <w:highlight w:val="none"/>
          <w:lang w:val="en-US" w:eastAsia="zh-CN" w:bidi="ar-SA"/>
        </w:rPr>
        <w:t>，预算执行率为100%，项目绩效指标总体完成率为90.97%，</w:t>
      </w:r>
      <w:r>
        <w:rPr>
          <w:rFonts w:hint="eastAsia" w:ascii="方正仿宋简体" w:hAnsi="方正仿宋简体" w:eastAsia="方正仿宋简体" w:cs="方正仿宋简体"/>
          <w:kern w:val="2"/>
          <w:sz w:val="32"/>
          <w:szCs w:val="32"/>
          <w:highlight w:val="none"/>
          <w:lang w:val="en-US" w:eastAsia="zh-Hans" w:bidi="ar-SA"/>
        </w:rPr>
        <w:t>总体</w:t>
      </w:r>
      <w:r>
        <w:rPr>
          <w:rFonts w:hint="eastAsia" w:ascii="方正仿宋简体" w:hAnsi="方正仿宋简体" w:eastAsia="方正仿宋简体" w:cs="方正仿宋简体"/>
          <w:kern w:val="2"/>
          <w:sz w:val="32"/>
          <w:szCs w:val="32"/>
          <w:highlight w:val="none"/>
          <w:lang w:val="en-US" w:eastAsia="zh-CN" w:bidi="ar-SA"/>
        </w:rPr>
        <w:t>偏差率为9.03%,</w:t>
      </w:r>
      <w:r>
        <w:rPr>
          <w:rFonts w:hint="eastAsia" w:ascii="方正仿宋简体" w:hAnsi="方正仿宋简体" w:eastAsia="方正仿宋简体" w:cs="方正仿宋简体"/>
          <w:kern w:val="2"/>
          <w:sz w:val="32"/>
          <w:szCs w:val="32"/>
          <w:highlight w:val="none"/>
          <w:lang w:val="en-US" w:eastAsia="zh-Hans" w:bidi="ar-SA"/>
        </w:rPr>
        <w:t>偏差</w:t>
      </w:r>
      <w:r>
        <w:rPr>
          <w:rFonts w:hint="eastAsia" w:ascii="方正仿宋简体" w:hAnsi="方正仿宋简体" w:eastAsia="方正仿宋简体" w:cs="方正仿宋简体"/>
          <w:kern w:val="2"/>
          <w:sz w:val="32"/>
          <w:szCs w:val="32"/>
          <w:lang w:val="en-US" w:eastAsia="zh-CN" w:bidi="ar-SA"/>
        </w:rPr>
        <w:t>原因农产品抽检费用增加，导致费用超出计划支出额，</w:t>
      </w:r>
      <w:r>
        <w:rPr>
          <w:rFonts w:hint="eastAsia" w:ascii="方正仿宋简体" w:hAnsi="方正仿宋简体" w:eastAsia="方正仿宋简体" w:cs="方正仿宋简体"/>
          <w:kern w:val="2"/>
          <w:sz w:val="32"/>
          <w:szCs w:val="32"/>
          <w:lang w:val="en-US" w:eastAsia="zh-Hans" w:bidi="ar-SA"/>
        </w:rPr>
        <w:t>改进</w:t>
      </w:r>
      <w:r>
        <w:rPr>
          <w:rFonts w:hint="eastAsia" w:ascii="方正仿宋简体" w:hAnsi="方正仿宋简体" w:eastAsia="方正仿宋简体" w:cs="方正仿宋简体"/>
          <w:kern w:val="2"/>
          <w:sz w:val="32"/>
          <w:szCs w:val="32"/>
          <w:lang w:val="en-US" w:eastAsia="zh-CN" w:bidi="ar-SA"/>
        </w:rPr>
        <w:t>措施：下一年度</w:t>
      </w:r>
      <w:r>
        <w:rPr>
          <w:rFonts w:hint="eastAsia" w:ascii="方正仿宋简体" w:hAnsi="方正仿宋简体" w:eastAsia="方正仿宋简体" w:cs="方正仿宋简体"/>
          <w:color w:val="auto"/>
          <w:kern w:val="2"/>
          <w:sz w:val="32"/>
          <w:szCs w:val="32"/>
          <w:lang w:val="en-US" w:eastAsia="zh-CN" w:bidi="ar-SA"/>
        </w:rPr>
        <w:t>精准预算，节省开支。</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sz w:val="32"/>
          <w:szCs w:val="32"/>
          <w:lang w:val="en-US" w:eastAsia="zh-CN"/>
        </w:rPr>
      </w:pPr>
      <w:bookmarkStart w:id="16" w:name="_Toc68703842"/>
      <w:r>
        <w:rPr>
          <w:rFonts w:hint="eastAsia" w:ascii="Times New Roman" w:hAnsi="Times New Roman" w:eastAsia="黑体" w:cs="Times New Roman"/>
          <w:sz w:val="32"/>
          <w:szCs w:val="32"/>
          <w:lang w:val="en-US" w:eastAsia="zh-CN"/>
        </w:rPr>
        <w:t>六、主要经验及做法、存在的问题及原因分析</w:t>
      </w:r>
      <w:bookmarkEnd w:id="16"/>
    </w:p>
    <w:p>
      <w:pPr>
        <w:pageBreakBefore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b/>
          <w:bCs/>
          <w:kern w:val="2"/>
          <w:sz w:val="32"/>
          <w:szCs w:val="32"/>
          <w:lang w:val="en-US" w:eastAsia="zh-CN" w:bidi="ar-SA"/>
        </w:rPr>
      </w:pPr>
      <w:bookmarkStart w:id="17" w:name="_Toc68703843"/>
      <w:r>
        <w:rPr>
          <w:rFonts w:hint="eastAsia" w:ascii="方正仿宋简体" w:hAnsi="方正仿宋简体" w:eastAsia="方正仿宋简体" w:cs="方正仿宋简体"/>
          <w:b/>
          <w:bCs/>
          <w:kern w:val="2"/>
          <w:sz w:val="32"/>
          <w:szCs w:val="32"/>
          <w:lang w:val="en-US" w:eastAsia="zh-CN" w:bidi="ar-SA"/>
        </w:rPr>
        <w:t>（一）主要经验及做法</w:t>
      </w:r>
      <w:bookmarkEnd w:id="17"/>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left="0" w:firstLine="640" w:firstLineChars="200"/>
        <w:jc w:val="left"/>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val="0"/>
          <w:bCs w:val="0"/>
          <w:kern w:val="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before="0" w:after="0" w:line="560" w:lineRule="exact"/>
        <w:ind w:left="0"/>
        <w:textAlignment w:val="auto"/>
        <w:outlineLvl w:val="9"/>
        <w:rPr>
          <w:rFonts w:hint="eastAsia" w:ascii="方正仿宋简体" w:hAnsi="方正仿宋简体" w:eastAsia="方正仿宋简体" w:cs="方正仿宋简体"/>
          <w:b/>
          <w:bCs/>
          <w:kern w:val="2"/>
          <w:sz w:val="32"/>
          <w:szCs w:val="32"/>
          <w:lang w:val="en-US" w:eastAsia="zh-CN" w:bidi="ar-SA"/>
        </w:rPr>
      </w:pPr>
      <w:bookmarkStart w:id="18" w:name="_Toc68703844"/>
      <w:r>
        <w:rPr>
          <w:rFonts w:hint="eastAsia" w:ascii="方正仿宋简体" w:hAnsi="方正仿宋简体" w:eastAsia="方正仿宋简体" w:cs="方正仿宋简体"/>
          <w:b/>
          <w:bCs/>
          <w:kern w:val="2"/>
          <w:sz w:val="32"/>
          <w:szCs w:val="32"/>
          <w:lang w:val="en-US" w:eastAsia="zh-CN" w:bidi="ar-SA"/>
        </w:rPr>
        <w:t>（二）存在的问题及原因分析</w:t>
      </w:r>
      <w:bookmarkEnd w:id="18"/>
      <w:r>
        <w:rPr>
          <w:rFonts w:hint="eastAsia" w:ascii="方正仿宋简体" w:hAnsi="方正仿宋简体" w:eastAsia="方正仿宋简体" w:cs="方正仿宋简体"/>
          <w:b/>
          <w:bCs/>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b w:val="0"/>
          <w:bCs w:val="0"/>
          <w:sz w:val="32"/>
          <w:szCs w:val="32"/>
          <w:lang w:val="en-US" w:eastAsia="zh-CN"/>
        </w:rPr>
      </w:pPr>
      <w:bookmarkStart w:id="19" w:name="_Toc68703845"/>
      <w:r>
        <w:rPr>
          <w:rFonts w:hint="eastAsia" w:ascii="方正仿宋简体" w:hAnsi="方正仿宋简体" w:eastAsia="方正仿宋简体" w:cs="方正仿宋简体"/>
          <w:b w:val="0"/>
          <w:bCs w:val="0"/>
          <w:sz w:val="32"/>
          <w:szCs w:val="32"/>
          <w:lang w:val="en-US" w:eastAsia="zh-CN"/>
        </w:rPr>
        <w:t>2.对基层监管工作培训、指导力度不够。食品科目前在局机关开展工作4人，从事食品监管工作仅有3人，由于工作较多，市市场监管局对乡、街道（片区）场监管人员培训、指导不到位，导致基层监管力量人存在不会管、不敢管，农村食品安全问题仍然突出。</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3.农产品品种多，数量大，部分农产品经销商和消费者在购买农产品时，未强调农产品合格证，特别是现代物流形式多样，造成市场上的农产品来源广泛，外部品相、内在质量差距较大。因而推行食用农产品合格证制度缓慢。</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七、有关建议</w:t>
      </w:r>
      <w:bookmarkEnd w:id="19"/>
      <w:r>
        <w:rPr>
          <w:rFonts w:hint="eastAsia" w:ascii="Times New Roman" w:hAnsi="Times New Roman" w:eastAsia="黑体" w:cs="Times New Roman"/>
          <w:sz w:val="32"/>
          <w:szCs w:val="32"/>
          <w:lang w:val="en-US" w:eastAsia="zh-CN"/>
        </w:rPr>
        <w:t>　</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方正仿宋简体" w:hAnsi="方正仿宋简体" w:eastAsia="方正仿宋简体" w:cs="方正仿宋简体"/>
          <w:sz w:val="32"/>
          <w:szCs w:val="32"/>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sz w:val="32"/>
          <w:szCs w:val="32"/>
          <w:lang w:val="en-US" w:eastAsia="zh-CN"/>
        </w:rPr>
      </w:pPr>
      <w:bookmarkStart w:id="20" w:name="_Toc68703846"/>
      <w:r>
        <w:rPr>
          <w:rFonts w:hint="eastAsia" w:ascii="Times New Roman" w:hAnsi="Times New Roman" w:eastAsia="黑体" w:cs="Times New Roman"/>
          <w:sz w:val="32"/>
          <w:szCs w:val="32"/>
          <w:lang w:val="en-US" w:eastAsia="zh-CN"/>
        </w:rPr>
        <w:t>八、其他需要说明的问题</w:t>
      </w:r>
      <w:bookmarkEnd w:id="20"/>
    </w:p>
    <w:p>
      <w:pPr>
        <w:pageBreakBefore w:val="0"/>
        <w:widowControl w:val="0"/>
        <w:kinsoku/>
        <w:wordWrap/>
        <w:overflowPunct/>
        <w:topLinePunct w:val="0"/>
        <w:autoSpaceDE/>
        <w:autoSpaceDN/>
        <w:bidi w:val="0"/>
        <w:adjustRightInd/>
        <w:snapToGrid/>
        <w:spacing w:line="560" w:lineRule="exact"/>
        <w:ind w:left="0"/>
        <w:textAlignment w:val="auto"/>
        <w:outlineLvl w:val="9"/>
        <w:rPr>
          <w:rFonts w:hint="eastAsia" w:ascii="方正仿宋简体" w:hAnsi="方正仿宋简体" w:eastAsia="方正仿宋简体" w:cs="方正仿宋简体"/>
          <w:color w:val="FF0000"/>
          <w:sz w:val="32"/>
          <w:szCs w:val="32"/>
        </w:rPr>
      </w:pPr>
      <w:r>
        <w:rPr>
          <w:rFonts w:hint="eastAsia" w:ascii="方正仿宋简体" w:hAnsi="方正仿宋简体" w:eastAsia="方正仿宋简体" w:cs="方正仿宋简体"/>
          <w:sz w:val="32"/>
          <w:szCs w:val="32"/>
          <w:lang w:eastAsia="zh-CN"/>
        </w:rPr>
        <w:t>　</w:t>
      </w:r>
      <w:r>
        <w:rPr>
          <w:rFonts w:hint="eastAsia" w:ascii="方正仿宋简体" w:hAnsi="方正仿宋简体" w:eastAsia="方正仿宋简体" w:cs="方正仿宋简体"/>
          <w:sz w:val="32"/>
          <w:szCs w:val="32"/>
          <w:lang w:eastAsia="zh-Hans"/>
        </w:rPr>
        <w:t>本项目无其他需说明的问题</w:t>
      </w:r>
      <w:r>
        <w:rPr>
          <w:rFonts w:hint="eastAsia" w:ascii="方正仿宋简体" w:hAnsi="方正仿宋简体" w:eastAsia="方正仿宋简体" w:cs="方正仿宋简体"/>
          <w:sz w:val="32"/>
          <w:szCs w:val="32"/>
          <w:lang w:eastAsia="zh-CN"/>
        </w:rPr>
        <w:t>。</w:t>
      </w:r>
    </w:p>
    <w:p>
      <w:pPr>
        <w:pageBreakBefore w:val="0"/>
        <w:kinsoku/>
        <w:wordWrap/>
        <w:overflowPunct/>
        <w:topLinePunct w:val="0"/>
        <w:autoSpaceDE/>
        <w:autoSpaceDN/>
        <w:bidi w:val="0"/>
        <w:adjustRightInd/>
        <w:snapToGrid/>
        <w:spacing w:line="560" w:lineRule="exact"/>
        <w:ind w:left="0"/>
        <w:outlineLvl w:val="9"/>
      </w:pPr>
    </w:p>
    <w:p>
      <w:pPr>
        <w:pStyle w:val="2"/>
        <w:pageBreakBefore w:val="0"/>
        <w:kinsoku/>
        <w:wordWrap/>
        <w:overflowPunct/>
        <w:topLinePunct w:val="0"/>
        <w:autoSpaceDE/>
        <w:autoSpaceDN/>
        <w:bidi w:val="0"/>
        <w:adjustRightInd/>
        <w:snapToGrid/>
        <w:spacing w:before="0" w:after="0" w:line="560" w:lineRule="exact"/>
        <w:ind w:left="0"/>
        <w:outlineLvl w:val="9"/>
      </w:pPr>
    </w:p>
    <w:p>
      <w:pPr>
        <w:pageBreakBefore w:val="0"/>
        <w:kinsoku/>
        <w:wordWrap/>
        <w:overflowPunct/>
        <w:topLinePunct w:val="0"/>
        <w:autoSpaceDE/>
        <w:autoSpaceDN/>
        <w:bidi w:val="0"/>
        <w:adjustRightInd/>
        <w:snapToGrid/>
        <w:spacing w:line="560" w:lineRule="exact"/>
        <w:ind w:left="0"/>
        <w:outlineLvl w:val="9"/>
      </w:pPr>
    </w:p>
    <w:p>
      <w:pPr>
        <w:pageBreakBefore w:val="0"/>
        <w:kinsoku/>
        <w:wordWrap/>
        <w:overflowPunct/>
        <w:topLinePunct w:val="0"/>
        <w:autoSpaceDE/>
        <w:autoSpaceDN/>
        <w:bidi w:val="0"/>
        <w:adjustRightInd/>
        <w:snapToGrid/>
        <w:spacing w:line="560" w:lineRule="exact"/>
        <w:ind w:left="0"/>
        <w:outlineLvl w:val="9"/>
      </w:pPr>
    </w:p>
    <w:p>
      <w:pPr>
        <w:pStyle w:val="2"/>
        <w:pageBreakBefore w:val="0"/>
        <w:kinsoku/>
        <w:wordWrap/>
        <w:overflowPunct/>
        <w:topLinePunct w:val="0"/>
        <w:autoSpaceDE/>
        <w:autoSpaceDN/>
        <w:bidi w:val="0"/>
        <w:adjustRightInd/>
        <w:snapToGrid/>
        <w:spacing w:before="0" w:after="0" w:line="560" w:lineRule="exact"/>
        <w:ind w:left="0"/>
        <w:jc w:val="both"/>
        <w:outlineLvl w:val="9"/>
      </w:pPr>
    </w:p>
    <w:p>
      <w:pPr>
        <w:pageBreakBefore w:val="0"/>
        <w:kinsoku/>
        <w:wordWrap/>
        <w:overflowPunct/>
        <w:topLinePunct w:val="0"/>
        <w:autoSpaceDE/>
        <w:autoSpaceDN/>
        <w:bidi w:val="0"/>
        <w:adjustRightInd/>
        <w:snapToGrid/>
        <w:spacing w:line="560" w:lineRule="exact"/>
        <w:ind w:left="0"/>
        <w:outlineLvl w:val="9"/>
        <w:rPr>
          <w:rFonts w:hint="eastAsia" w:ascii="黑体" w:hAnsi="黑体" w:eastAsia="黑体" w:cs="黑体"/>
          <w:bCs/>
          <w:sz w:val="32"/>
          <w:szCs w:val="32"/>
        </w:rPr>
      </w:pPr>
    </w:p>
    <w:p>
      <w:pPr>
        <w:bidi w:val="0"/>
        <w:rPr>
          <w:rFonts w:hint="eastAsia" w:ascii="Times New Roman" w:hAnsi="Times New Roman" w:eastAsia="仿宋_GB2312" w:cs="Times New Roman"/>
          <w:kern w:val="2"/>
          <w:sz w:val="30"/>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left"/>
        <w:rPr>
          <w:rFonts w:hint="eastAsia"/>
          <w:lang w:val="en-US" w:eastAsia="zh-CN"/>
        </w:rPr>
        <w:sectPr>
          <w:headerReference r:id="rId3" w:type="default"/>
          <w:pgSz w:w="11906" w:h="16838"/>
          <w:pgMar w:top="1928" w:right="1531" w:bottom="1701" w:left="1531" w:header="737" w:footer="851" w:gutter="0"/>
          <w:cols w:space="720" w:num="1"/>
          <w:docGrid w:type="lines" w:linePitch="408" w:charSpace="0"/>
        </w:sectPr>
      </w:pPr>
    </w:p>
    <w:tbl>
      <w:tblPr>
        <w:tblW w:w="15640" w:type="dxa"/>
        <w:jc w:val="center"/>
        <w:tblInd w:w="-12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928"/>
        <w:gridCol w:w="1302"/>
        <w:gridCol w:w="1780"/>
        <w:gridCol w:w="554"/>
        <w:gridCol w:w="1650"/>
        <w:gridCol w:w="658"/>
        <w:gridCol w:w="1379"/>
        <w:gridCol w:w="1380"/>
        <w:gridCol w:w="748"/>
        <w:gridCol w:w="670"/>
        <w:gridCol w:w="761"/>
        <w:gridCol w:w="528"/>
        <w:gridCol w:w="607"/>
        <w:gridCol w:w="26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33" w:hRule="atLeast"/>
          <w:jc w:val="center"/>
        </w:trPr>
        <w:tc>
          <w:tcPr>
            <w:tcW w:w="1564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1" w:hRule="atLeast"/>
          <w:jc w:val="center"/>
        </w:trPr>
        <w:tc>
          <w:tcPr>
            <w:tcW w:w="1564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22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13410"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食品、药品、产品质量抽检项目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22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6021"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霍尔果斯市市场监督管理局</w:t>
            </w:r>
          </w:p>
        </w:tc>
        <w:tc>
          <w:tcPr>
            <w:tcW w:w="21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5261"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223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23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20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21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14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1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26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8" w:hRule="atLeast"/>
          <w:jc w:val="center"/>
        </w:trPr>
        <w:tc>
          <w:tcPr>
            <w:tcW w:w="22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16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20.00</w:t>
            </w:r>
          </w:p>
        </w:tc>
        <w:tc>
          <w:tcPr>
            <w:tcW w:w="20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21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20.00</w:t>
            </w:r>
          </w:p>
        </w:tc>
        <w:tc>
          <w:tcPr>
            <w:tcW w:w="14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26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5" w:hRule="atLeast"/>
          <w:jc w:val="center"/>
        </w:trPr>
        <w:tc>
          <w:tcPr>
            <w:tcW w:w="22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16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20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21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1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6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5" w:hRule="atLeast"/>
          <w:jc w:val="center"/>
        </w:trPr>
        <w:tc>
          <w:tcPr>
            <w:tcW w:w="22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16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0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1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1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6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5" w:hRule="atLeast"/>
          <w:jc w:val="center"/>
        </w:trPr>
        <w:tc>
          <w:tcPr>
            <w:tcW w:w="22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16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0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1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1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6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7323"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7389"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88"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23"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2023年地县市场监管局食品安全监督抽检计划》文件要求，对辖区内抽检品种主要为畜禽肉类及副产品、蔬菜、水果、水产品、鲜蛋共五大类，主要针对农兽药残留开展监督抽检。食用农产品、药品，各类产品质量抽检项目经费20万元。市场监督管理局作为执法部门，时刻把牢安全这条红线底线为主要目标责任，落实深化商事制度改革不停步，提升监管执法效能不懈怠，保障居民饮食用药安全不放松，各项工作推进落实良好有序，产品质量抽检抽查等工作，为切实做好了市场监督管理工作。2023年，霍尔果斯市食品安全监督抽检总任务量110批次，其中，学校、托幼、养老、福利等机构食堂餐饮食品、食用农产品；完成抽检药品医疗器械6批次；完成抽检产品质量20批次，计划与2023年12月完成抽检工作。</w:t>
            </w:r>
          </w:p>
        </w:tc>
        <w:tc>
          <w:tcPr>
            <w:tcW w:w="7389"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2023年地县市场监管局食品安全监督抽检计划》文件要求，以科学技术为支撑，坚持问题导向，立足我市实际，按照自治区下发的食品安全监督抽检计划，根据计划内容积极确定第三方检测机构，均衡开展2023年110批次食品安全监督抽检工作，同时将“你点我检”活动列入年度抽检计划，通过线上+线下的问卷形式聚焦群众关切，主动接受公众监督，积极回应社会关切的问题，有序开展2023年“你点我检”工作，并加强媒体正面宣传。截止目前，已完成食品安全监督抽检110批次（2批次抽检不合格）、“你点我检”15批次，市本级抽检9批次。药品抽检6批次，产品质量抽检20批次，完成我单位年度指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12" w:hRule="atLeast"/>
          <w:jc w:val="center"/>
        </w:trPr>
        <w:tc>
          <w:tcPr>
            <w:tcW w:w="92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17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2862"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137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13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1418"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289"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3302"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862"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18"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8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30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130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抽检农产品批次</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&gt;=110批次</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110批次</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抽检药品医疗器械批次</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&gt;=6批次</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6批次</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抽检产品质量批次</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&gt;=20批次</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20批次</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出具抽检报告数量</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&gt;=3份</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3份</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抽检覆盖率</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年度抽检任务按时完成率</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农产品抽检费用</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&lt;=11万元</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11.3万元</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因此项目执行支出有抽检费用增加，导致费用超目标值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药品安全抽检费用</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&lt;=3万元</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2.9万元</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6.77</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因此项目抽检费用节约成本，支出少于目标值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产品质量抽检费用</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&lt;=6万元</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5.7万元</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5.7</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因此项目抽检费用节约成本，支出少于目标值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社会成本指标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生态环境成本指标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经济效益指标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抽检结果公开率</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问题整改落实率</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生态效益指标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7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286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检查人员被投诉次数</w:t>
            </w:r>
          </w:p>
        </w:tc>
        <w:tc>
          <w:tcPr>
            <w:tcW w:w="13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&lt;=1次</w:t>
            </w:r>
          </w:p>
        </w:tc>
        <w:tc>
          <w:tcPr>
            <w:tcW w:w="13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0次</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0" w:hRule="atLeast"/>
          <w:jc w:val="center"/>
        </w:trPr>
        <w:tc>
          <w:tcPr>
            <w:tcW w:w="9631"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14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8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92.47分</w:t>
            </w:r>
          </w:p>
        </w:tc>
        <w:tc>
          <w:tcPr>
            <w:tcW w:w="33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2"/>
        <w:rPr>
          <w:rFonts w:hint="eastAsia"/>
          <w:lang w:val="en-US" w:eastAsia="zh-CN"/>
        </w:rPr>
        <w:sectPr>
          <w:pgSz w:w="16838" w:h="11906" w:orient="landscape"/>
          <w:pgMar w:top="1531" w:right="1928" w:bottom="1531" w:left="1701" w:header="737" w:footer="851" w:gutter="0"/>
          <w:cols w:space="720" w:num="1"/>
          <w:docGrid w:type="lines" w:linePitch="408" w:charSpace="0"/>
        </w:sectPr>
      </w:pPr>
    </w:p>
    <w:p>
      <w:pPr>
        <w:pStyle w:val="20"/>
        <w:pageBreakBefore w:val="0"/>
        <w:kinsoku/>
        <w:wordWrap/>
        <w:overflowPunct/>
        <w:topLinePunct w:val="0"/>
        <w:autoSpaceDE/>
        <w:autoSpaceDN/>
        <w:bidi w:val="0"/>
        <w:adjustRightInd/>
        <w:snapToGrid/>
        <w:spacing w:line="560" w:lineRule="exact"/>
        <w:ind w:left="0" w:firstLine="562"/>
        <w:jc w:val="center"/>
        <w:outlineLvl w:val="9"/>
        <w:rPr>
          <w:sz w:val="28"/>
          <w:szCs w:val="40"/>
        </w:rPr>
      </w:pPr>
      <w:bookmarkStart w:id="21" w:name="_Toc26499_WPSOffice_Level2"/>
      <w:bookmarkStart w:id="22" w:name="_Toc30064_WPSOffice_Level1"/>
      <w:r>
        <w:rPr>
          <w:rFonts w:hint="eastAsia"/>
          <w:b/>
          <w:bCs/>
          <w:sz w:val="28"/>
          <w:szCs w:val="40"/>
          <w:highlight w:val="none"/>
          <w:lang w:val="en-US" w:eastAsia="zh-CN"/>
        </w:rPr>
        <w:t>食品、药品、产品质量抽检</w:t>
      </w:r>
      <w:r>
        <w:rPr>
          <w:rFonts w:hint="eastAsia"/>
          <w:b/>
          <w:bCs/>
          <w:sz w:val="28"/>
          <w:szCs w:val="40"/>
          <w:highlight w:val="none"/>
        </w:rPr>
        <w:t>项目</w:t>
      </w:r>
      <w:r>
        <w:rPr>
          <w:rFonts w:hint="eastAsia"/>
          <w:b/>
          <w:bCs/>
          <w:sz w:val="28"/>
          <w:szCs w:val="40"/>
        </w:rPr>
        <w:t>绩效评价指标体系及综合评分表</w:t>
      </w:r>
      <w:bookmarkEnd w:id="21"/>
      <w:bookmarkEnd w:id="22"/>
    </w:p>
    <w:tbl>
      <w:tblPr>
        <w:tblW w:w="15560" w:type="dxa"/>
        <w:jc w:val="center"/>
        <w:tblInd w:w="-116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67"/>
        <w:gridCol w:w="1182"/>
        <w:gridCol w:w="1412"/>
        <w:gridCol w:w="3520"/>
        <w:gridCol w:w="7166"/>
        <w:gridCol w:w="756"/>
        <w:gridCol w:w="7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24" w:hRule="atLeast"/>
          <w:jc w:val="center"/>
        </w:trPr>
        <w:tc>
          <w:tcPr>
            <w:tcW w:w="14047"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bookmarkStart w:id="23" w:name="_GoBack"/>
            <w:r>
              <w:rPr>
                <w:rFonts w:hint="eastAsia" w:ascii="宋体" w:hAnsi="宋体" w:eastAsia="宋体" w:cs="宋体"/>
                <w:b/>
                <w:i w:val="0"/>
                <w:color w:val="000000"/>
                <w:kern w:val="0"/>
                <w:sz w:val="36"/>
                <w:szCs w:val="36"/>
                <w:u w:val="none"/>
                <w:bdr w:val="none" w:color="auto" w:sz="0" w:space="0"/>
                <w:lang w:val="en-US" w:eastAsia="zh-CN" w:bidi="ar"/>
              </w:rPr>
              <w:t>食品、药品、产品质量抽检项目项目支出绩效评价指标体系</w:t>
            </w:r>
          </w:p>
        </w:tc>
        <w:tc>
          <w:tcPr>
            <w:tcW w:w="756"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57"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6" w:hRule="atLeast"/>
          <w:jc w:val="center"/>
        </w:trPr>
        <w:tc>
          <w:tcPr>
            <w:tcW w:w="767"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182"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412"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520"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7166"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56"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57"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5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6"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57"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5"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5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6"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57"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5"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5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6"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57"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5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6"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57"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5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6"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57"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5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6"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57"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8"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56"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8" w:hRule="atLeast"/>
          <w:jc w:val="center"/>
        </w:trPr>
        <w:tc>
          <w:tcPr>
            <w:tcW w:w="767"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182"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412"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520"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7166"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56" w:type="dxa"/>
            <w:vMerge w:val="restart"/>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57" w:type="dxa"/>
            <w:vMerge w:val="restart"/>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56" w:type="dxa"/>
            <w:vMerge w:val="continue"/>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56" w:type="dxa"/>
            <w:vMerge w:val="continue"/>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5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56"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57"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41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5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6"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57"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41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5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6"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57"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5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6"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57"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18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41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5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56"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57"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6"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6"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41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5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56"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57"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12"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41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5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56"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57"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8"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56"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41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5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56" w:type="dxa"/>
            <w:vMerge w:val="restart"/>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57" w:type="dxa"/>
            <w:vMerge w:val="restart"/>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6.24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6"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56" w:type="dxa"/>
            <w:vMerge w:val="continue"/>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6"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56" w:type="dxa"/>
            <w:vMerge w:val="continue"/>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7" w:type="dxa"/>
            <w:vMerge w:val="continue"/>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6" w:hRule="atLeast"/>
          <w:jc w:val="center"/>
        </w:trPr>
        <w:tc>
          <w:tcPr>
            <w:tcW w:w="7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18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4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5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7166"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56"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5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6" w:hRule="atLeast"/>
          <w:jc w:val="center"/>
        </w:trPr>
        <w:tc>
          <w:tcPr>
            <w:tcW w:w="7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5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7166"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56"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5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jc w:val="center"/>
        </w:trPr>
        <w:tc>
          <w:tcPr>
            <w:tcW w:w="14047"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56" w:type="dxa"/>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5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96.24 </w:t>
            </w:r>
          </w:p>
        </w:tc>
      </w:tr>
      <w:bookmarkEnd w:id="23"/>
    </w:tbl>
    <w:p>
      <w:pPr>
        <w:pageBreakBefore w:val="0"/>
        <w:kinsoku/>
        <w:wordWrap/>
        <w:overflowPunct/>
        <w:topLinePunct w:val="0"/>
        <w:autoSpaceDE/>
        <w:autoSpaceDN/>
        <w:bidi w:val="0"/>
        <w:adjustRightInd/>
        <w:snapToGrid/>
        <w:spacing w:line="560" w:lineRule="exact"/>
        <w:ind w:left="0"/>
        <w:outlineLvl w:val="9"/>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B98A47E9-5E54-4E4B-9DA5-3DA8FC66FA39}"/>
  </w:font>
  <w:font w:name="黑体">
    <w:panose1 w:val="02010609060101010101"/>
    <w:charset w:val="86"/>
    <w:family w:val="auto"/>
    <w:pitch w:val="default"/>
    <w:sig w:usb0="800002BF" w:usb1="38CF7CFA" w:usb2="00000016" w:usb3="00000000" w:csb0="00040001" w:csb1="00000000"/>
    <w:embedRegular r:id="rId2" w:fontKey="{439ACE5B-62A5-402A-833C-9B5632D48E7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24F240E9-8F23-40CF-9E2B-60637AE8FAA8}"/>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embedRegular r:id="rId4" w:fontKey="{D161E89F-D8BB-4223-991D-C12AD636C0F6}"/>
  </w:font>
  <w:font w:name="红豆小标宋简体">
    <w:altName w:val="宋体"/>
    <w:panose1 w:val="02000509000000000000"/>
    <w:charset w:val="86"/>
    <w:family w:val="auto"/>
    <w:pitch w:val="default"/>
    <w:sig w:usb0="00000000" w:usb1="00000000" w:usb2="00000012" w:usb3="00000000" w:csb0="00040001" w:csb1="00000000"/>
    <w:embedRegular r:id="rId5" w:fontKey="{8F75B2B0-EF48-4D9F-B9D1-E965284760AF}"/>
  </w:font>
  <w:font w:name="楷体_GB2312">
    <w:panose1 w:val="02010609030101010101"/>
    <w:charset w:val="86"/>
    <w:family w:val="auto"/>
    <w:pitch w:val="default"/>
    <w:sig w:usb0="00000001" w:usb1="080E0000" w:usb2="00000000" w:usb3="00000000" w:csb0="00040000" w:csb1="00000000"/>
    <w:embedRegular r:id="rId6" w:fontKey="{C9985A8F-15DF-48C5-8EED-060E6407EEB3}"/>
  </w:font>
  <w:font w:name="方正仿宋简体">
    <w:panose1 w:val="03000509000000000000"/>
    <w:charset w:val="86"/>
    <w:family w:val="auto"/>
    <w:pitch w:val="default"/>
    <w:sig w:usb0="00000001" w:usb1="080E0000" w:usb2="00000000" w:usb3="00000000" w:csb0="00040000" w:csb1="00000000"/>
    <w:embedRegular r:id="rId7" w:fontKey="{40C4BEAD-BAFB-4758-B5B6-9E6C364ABBA2}"/>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A7E810"/>
    <w:multiLevelType w:val="singleLevel"/>
    <w:tmpl w:val="D4A7E810"/>
    <w:lvl w:ilvl="0" w:tentative="0">
      <w:start w:val="2"/>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7D49C5"/>
    <w:rsid w:val="000D63FA"/>
    <w:rsid w:val="005B64E8"/>
    <w:rsid w:val="00614288"/>
    <w:rsid w:val="00670592"/>
    <w:rsid w:val="00792CFE"/>
    <w:rsid w:val="007D49C5"/>
    <w:rsid w:val="008175E0"/>
    <w:rsid w:val="008C631D"/>
    <w:rsid w:val="00A114ED"/>
    <w:rsid w:val="00B24331"/>
    <w:rsid w:val="00D06051"/>
    <w:rsid w:val="01583141"/>
    <w:rsid w:val="05253FFE"/>
    <w:rsid w:val="08ED2887"/>
    <w:rsid w:val="0F2A6BF7"/>
    <w:rsid w:val="109627EE"/>
    <w:rsid w:val="17136327"/>
    <w:rsid w:val="181871E2"/>
    <w:rsid w:val="19166846"/>
    <w:rsid w:val="1BFC7D6D"/>
    <w:rsid w:val="1C1A1047"/>
    <w:rsid w:val="20E92B23"/>
    <w:rsid w:val="22AC2218"/>
    <w:rsid w:val="230C2B5E"/>
    <w:rsid w:val="239F486B"/>
    <w:rsid w:val="2729052F"/>
    <w:rsid w:val="287423F6"/>
    <w:rsid w:val="28C14634"/>
    <w:rsid w:val="2BEA7FFE"/>
    <w:rsid w:val="2EC724D4"/>
    <w:rsid w:val="2EE30257"/>
    <w:rsid w:val="34DA27CE"/>
    <w:rsid w:val="36411DC5"/>
    <w:rsid w:val="36B72533"/>
    <w:rsid w:val="3AAC44BE"/>
    <w:rsid w:val="4057649F"/>
    <w:rsid w:val="450B6AE4"/>
    <w:rsid w:val="474A1428"/>
    <w:rsid w:val="4A612FAE"/>
    <w:rsid w:val="4BA66FBA"/>
    <w:rsid w:val="51897716"/>
    <w:rsid w:val="54873A1A"/>
    <w:rsid w:val="54B675CF"/>
    <w:rsid w:val="56796849"/>
    <w:rsid w:val="568F383B"/>
    <w:rsid w:val="57BC59C2"/>
    <w:rsid w:val="5D555EEF"/>
    <w:rsid w:val="5DA95371"/>
    <w:rsid w:val="686F7714"/>
    <w:rsid w:val="6A862BA8"/>
    <w:rsid w:val="6C4C40F7"/>
    <w:rsid w:val="6DFC1C65"/>
    <w:rsid w:val="6F532094"/>
    <w:rsid w:val="70CD1D64"/>
    <w:rsid w:val="728B79B6"/>
    <w:rsid w:val="75FA041F"/>
    <w:rsid w:val="760F49BD"/>
    <w:rsid w:val="76E870A0"/>
    <w:rsid w:val="7AE40DD7"/>
    <w:rsid w:val="7B826A13"/>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22</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2024-06-12T08:58:12Z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