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48"/>
          <w:szCs w:val="48"/>
          <w:highlight w:val="none"/>
        </w:rPr>
      </w:pPr>
    </w:p>
    <w:p>
      <w:pPr>
        <w:jc w:val="center"/>
        <w:rPr>
          <w:rFonts w:ascii="宋体" w:hAnsi="宋体" w:eastAsia="宋体" w:cs="Arial"/>
          <w:b/>
          <w:bCs/>
          <w:color w:val="auto"/>
          <w:sz w:val="48"/>
          <w:szCs w:val="48"/>
          <w:highlight w:val="none"/>
        </w:rPr>
      </w:pPr>
    </w:p>
    <w:p>
      <w:pPr>
        <w:jc w:val="center"/>
        <w:rPr>
          <w:rFonts w:ascii="宋体" w:hAnsi="宋体" w:eastAsia="宋体" w:cs="Arial"/>
          <w:b/>
          <w:bCs/>
          <w:color w:val="auto"/>
          <w:sz w:val="48"/>
          <w:szCs w:val="48"/>
          <w:highlight w:val="none"/>
        </w:rPr>
      </w:pPr>
    </w:p>
    <w:p>
      <w:pPr>
        <w:spacing w:line="540" w:lineRule="exact"/>
        <w:jc w:val="center"/>
        <w:rPr>
          <w:rFonts w:eastAsia="方正小标宋_GBK"/>
          <w:color w:val="auto"/>
          <w:kern w:val="0"/>
          <w:sz w:val="48"/>
          <w:szCs w:val="48"/>
          <w:highlight w:val="none"/>
        </w:rPr>
      </w:pPr>
      <w:r>
        <w:rPr>
          <w:rFonts w:hint="eastAsia" w:eastAsia="方正小标宋_GBK"/>
          <w:color w:val="auto"/>
          <w:kern w:val="0"/>
          <w:sz w:val="48"/>
          <w:szCs w:val="48"/>
          <w:highlight w:val="none"/>
          <w:lang w:eastAsia="zh-CN"/>
        </w:rPr>
        <w:t>社区运转及服务群众</w:t>
      </w:r>
      <w:r>
        <w:rPr>
          <w:rFonts w:eastAsia="方正小标宋_GBK"/>
          <w:color w:val="auto"/>
          <w:kern w:val="0"/>
          <w:sz w:val="48"/>
          <w:szCs w:val="48"/>
          <w:highlight w:val="none"/>
        </w:rPr>
        <w:t>资金项目支出</w:t>
      </w:r>
    </w:p>
    <w:p>
      <w:pPr>
        <w:spacing w:line="540" w:lineRule="exact"/>
        <w:jc w:val="center"/>
        <w:rPr>
          <w:rFonts w:eastAsia="方正小标宋_GBK"/>
          <w:color w:val="auto"/>
          <w:kern w:val="0"/>
          <w:sz w:val="48"/>
          <w:szCs w:val="48"/>
          <w:highlight w:val="none"/>
        </w:rPr>
      </w:pPr>
      <w:r>
        <w:rPr>
          <w:rFonts w:eastAsia="方正小标宋_GBK"/>
          <w:color w:val="auto"/>
          <w:kern w:val="0"/>
          <w:sz w:val="48"/>
          <w:szCs w:val="48"/>
          <w:highlight w:val="none"/>
        </w:rPr>
        <w:t>绩效评价报告</w:t>
      </w:r>
    </w:p>
    <w:p>
      <w:pPr>
        <w:jc w:val="center"/>
        <w:rPr>
          <w:rFonts w:ascii="宋体" w:hAnsi="宋体" w:eastAsia="宋体" w:cs="Arial"/>
          <w:b/>
          <w:bCs/>
          <w:color w:val="auto"/>
          <w:sz w:val="48"/>
          <w:szCs w:val="48"/>
          <w:highlight w:val="none"/>
        </w:rPr>
      </w:pPr>
    </w:p>
    <w:p>
      <w:pPr>
        <w:widowControl/>
        <w:spacing w:line="560" w:lineRule="exact"/>
        <w:jc w:val="center"/>
        <w:rPr>
          <w:rFonts w:ascii="仿宋_GB2312" w:hAnsi="仿宋_GB2312" w:cs="仿宋_GB2312"/>
          <w:b/>
          <w:color w:val="auto"/>
          <w:kern w:val="0"/>
          <w:sz w:val="50"/>
          <w:szCs w:val="50"/>
          <w:highlight w:val="none"/>
          <w:lang w:bidi="en-US"/>
        </w:rPr>
      </w:pPr>
      <w:r>
        <w:rPr>
          <w:rFonts w:hint="eastAsia" w:ascii="红豆小标宋简体" w:hAnsi="红豆小标宋简体" w:eastAsia="红豆小标宋简体" w:cs="红豆小标宋简体"/>
          <w:color w:val="auto"/>
          <w:kern w:val="0"/>
          <w:sz w:val="36"/>
          <w:szCs w:val="36"/>
          <w:highlight w:val="none"/>
        </w:rPr>
        <w:t>（2</w:t>
      </w:r>
      <w:r>
        <w:rPr>
          <w:rFonts w:ascii="红豆小标宋简体" w:hAnsi="红豆小标宋简体" w:eastAsia="红豆小标宋简体" w:cs="红豆小标宋简体"/>
          <w:color w:val="auto"/>
          <w:kern w:val="0"/>
          <w:sz w:val="36"/>
          <w:szCs w:val="36"/>
          <w:highlight w:val="none"/>
        </w:rPr>
        <w:t>02</w:t>
      </w:r>
      <w:r>
        <w:rPr>
          <w:rFonts w:hint="eastAsia" w:ascii="红豆小标宋简体" w:hAnsi="红豆小标宋简体" w:eastAsia="红豆小标宋简体" w:cs="红豆小标宋简体"/>
          <w:color w:val="auto"/>
          <w:kern w:val="0"/>
          <w:sz w:val="36"/>
          <w:szCs w:val="36"/>
          <w:highlight w:val="none"/>
          <w:lang w:val="en-US" w:eastAsia="zh-CN"/>
        </w:rPr>
        <w:t>3</w:t>
      </w:r>
      <w:r>
        <w:rPr>
          <w:rFonts w:hint="eastAsia" w:ascii="红豆小标宋简体" w:hAnsi="红豆小标宋简体" w:eastAsia="红豆小标宋简体" w:cs="红豆小标宋简体"/>
          <w:color w:val="auto"/>
          <w:kern w:val="0"/>
          <w:sz w:val="36"/>
          <w:szCs w:val="36"/>
          <w:highlight w:val="none"/>
        </w:rPr>
        <w:t>年度）</w:t>
      </w:r>
    </w:p>
    <w:p>
      <w:pPr>
        <w:spacing w:line="480" w:lineRule="auto"/>
        <w:jc w:val="center"/>
        <w:rPr>
          <w:rFonts w:ascii="仿宋_GB2312" w:hAnsi="仿宋_GB2312" w:cs="仿宋_GB2312"/>
          <w:b/>
          <w:color w:val="auto"/>
          <w:kern w:val="0"/>
          <w:sz w:val="50"/>
          <w:szCs w:val="50"/>
          <w:highlight w:val="none"/>
          <w:lang w:bidi="en-US"/>
        </w:rPr>
      </w:pPr>
    </w:p>
    <w:p>
      <w:pPr>
        <w:spacing w:line="480" w:lineRule="auto"/>
        <w:jc w:val="center"/>
        <w:rPr>
          <w:rFonts w:ascii="仿宋_GB2312" w:hAnsi="仿宋_GB2312" w:cs="仿宋_GB2312"/>
          <w:b/>
          <w:color w:val="auto"/>
          <w:kern w:val="0"/>
          <w:sz w:val="50"/>
          <w:szCs w:val="50"/>
          <w:highlight w:val="none"/>
          <w:lang w:bidi="en-US"/>
        </w:rPr>
      </w:pPr>
    </w:p>
    <w:p>
      <w:pPr>
        <w:spacing w:line="480" w:lineRule="auto"/>
        <w:jc w:val="center"/>
        <w:rPr>
          <w:rFonts w:ascii="仿宋_GB2312" w:hAnsi="仿宋_GB2312" w:cs="仿宋_GB2312"/>
          <w:b/>
          <w:color w:val="auto"/>
          <w:kern w:val="0"/>
          <w:sz w:val="50"/>
          <w:szCs w:val="50"/>
          <w:highlight w:val="none"/>
          <w:lang w:bidi="en-US"/>
        </w:rPr>
      </w:pPr>
    </w:p>
    <w:p>
      <w:pPr>
        <w:spacing w:line="480" w:lineRule="auto"/>
        <w:jc w:val="center"/>
        <w:rPr>
          <w:rFonts w:ascii="仿宋_GB2312" w:hAnsi="仿宋_GB2312" w:cs="仿宋_GB2312"/>
          <w:b/>
          <w:color w:val="auto"/>
          <w:kern w:val="0"/>
          <w:sz w:val="50"/>
          <w:szCs w:val="50"/>
          <w:highlight w:val="none"/>
          <w:lang w:bidi="en-US"/>
        </w:rPr>
      </w:pPr>
    </w:p>
    <w:p>
      <w:pPr>
        <w:spacing w:line="480" w:lineRule="auto"/>
        <w:jc w:val="center"/>
        <w:rPr>
          <w:rFonts w:ascii="仿宋_GB2312" w:hAnsi="仿宋_GB2312" w:cs="仿宋_GB2312"/>
          <w:b/>
          <w:color w:val="auto"/>
          <w:kern w:val="0"/>
          <w:sz w:val="50"/>
          <w:szCs w:val="50"/>
          <w:highlight w:val="none"/>
          <w:lang w:bidi="en-US"/>
        </w:rPr>
      </w:pPr>
    </w:p>
    <w:p>
      <w:pPr>
        <w:spacing w:line="560" w:lineRule="exact"/>
        <w:ind w:firstLine="321" w:firstLineChars="100"/>
        <w:jc w:val="both"/>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项目名称：</w:t>
      </w:r>
      <w:r>
        <w:rPr>
          <w:rFonts w:hint="eastAsia" w:ascii="宋体" w:hAnsi="宋体" w:eastAsia="宋体" w:cs="仿宋_GB2312"/>
          <w:b/>
          <w:bCs/>
          <w:color w:val="auto"/>
          <w:kern w:val="0"/>
          <w:sz w:val="32"/>
          <w:szCs w:val="32"/>
          <w:highlight w:val="none"/>
          <w:lang w:eastAsia="zh-CN"/>
        </w:rPr>
        <w:t>社区运转及服务群众经费</w:t>
      </w:r>
    </w:p>
    <w:p>
      <w:pPr>
        <w:spacing w:line="560" w:lineRule="exact"/>
        <w:jc w:val="both"/>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实施单位（公章）：</w:t>
      </w:r>
      <w:r>
        <w:rPr>
          <w:rFonts w:hint="eastAsia" w:ascii="宋体" w:hAnsi="宋体" w:eastAsia="宋体" w:cs="仿宋_GB2312"/>
          <w:b/>
          <w:bCs/>
          <w:color w:val="auto"/>
          <w:kern w:val="0"/>
          <w:sz w:val="32"/>
          <w:szCs w:val="32"/>
          <w:highlight w:val="none"/>
          <w:lang w:eastAsia="zh-CN"/>
        </w:rPr>
        <w:t>霍尔果斯市亚欧东路街道办事处</w:t>
      </w:r>
    </w:p>
    <w:p>
      <w:pPr>
        <w:spacing w:line="560" w:lineRule="exact"/>
        <w:jc w:val="both"/>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主管部门（公章）：</w:t>
      </w:r>
      <w:r>
        <w:rPr>
          <w:rFonts w:hint="eastAsia" w:ascii="宋体" w:hAnsi="宋体" w:eastAsia="宋体" w:cs="仿宋_GB2312"/>
          <w:b/>
          <w:bCs/>
          <w:color w:val="auto"/>
          <w:kern w:val="0"/>
          <w:sz w:val="32"/>
          <w:szCs w:val="32"/>
          <w:highlight w:val="none"/>
          <w:lang w:eastAsia="zh-CN"/>
        </w:rPr>
        <w:t>霍尔果斯市人民政府</w:t>
      </w:r>
    </w:p>
    <w:p>
      <w:pPr>
        <w:spacing w:line="560" w:lineRule="exact"/>
        <w:ind w:firstLine="321" w:firstLineChars="100"/>
        <w:jc w:val="both"/>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项目负责人（签章）：</w:t>
      </w:r>
      <w:r>
        <w:rPr>
          <w:rFonts w:hint="eastAsia" w:ascii="宋体" w:hAnsi="宋体" w:eastAsia="宋体" w:cs="仿宋_GB2312"/>
          <w:b/>
          <w:bCs/>
          <w:color w:val="auto"/>
          <w:kern w:val="0"/>
          <w:sz w:val="32"/>
          <w:szCs w:val="32"/>
          <w:highlight w:val="none"/>
          <w:lang w:eastAsia="zh-CN"/>
        </w:rPr>
        <w:t>郭世强</w:t>
      </w:r>
    </w:p>
    <w:p>
      <w:pPr>
        <w:spacing w:line="560" w:lineRule="exact"/>
        <w:ind w:firstLine="321" w:firstLineChars="100"/>
        <w:jc w:val="both"/>
        <w:rPr>
          <w:rFonts w:ascii="宋体" w:hAnsi="宋体" w:eastAsia="宋体" w:cs="仿宋_GB2312"/>
          <w:color w:val="auto"/>
          <w:kern w:val="0"/>
          <w:sz w:val="32"/>
          <w:szCs w:val="32"/>
          <w:highlight w:val="none"/>
        </w:rPr>
      </w:pPr>
      <w:r>
        <w:rPr>
          <w:rFonts w:hint="eastAsia" w:ascii="宋体" w:hAnsi="宋体" w:eastAsia="宋体" w:cs="仿宋_GB2312"/>
          <w:b/>
          <w:bCs/>
          <w:color w:val="auto"/>
          <w:kern w:val="0"/>
          <w:sz w:val="32"/>
          <w:szCs w:val="32"/>
          <w:highlight w:val="none"/>
          <w:lang w:eastAsia="zh-CN"/>
        </w:rPr>
        <w:t>　　　　</w:t>
      </w:r>
      <w:r>
        <w:rPr>
          <w:rFonts w:hint="eastAsia" w:ascii="宋体" w:hAnsi="宋体" w:eastAsia="宋体" w:cs="仿宋_GB2312"/>
          <w:b/>
          <w:bCs/>
          <w:color w:val="auto"/>
          <w:kern w:val="0"/>
          <w:sz w:val="32"/>
          <w:szCs w:val="32"/>
          <w:highlight w:val="none"/>
        </w:rPr>
        <w:t>填报时间：</w:t>
      </w:r>
      <w:r>
        <w:rPr>
          <w:rFonts w:hint="eastAsia" w:ascii="宋体" w:hAnsi="宋体" w:eastAsia="宋体" w:cs="仿宋_GB2312"/>
          <w:color w:val="auto"/>
          <w:kern w:val="0"/>
          <w:sz w:val="32"/>
          <w:szCs w:val="32"/>
          <w:highlight w:val="none"/>
        </w:rPr>
        <w:t>202</w:t>
      </w:r>
      <w:r>
        <w:rPr>
          <w:rFonts w:hint="eastAsia" w:ascii="宋体" w:hAnsi="宋体" w:eastAsia="宋体" w:cs="仿宋_GB2312"/>
          <w:color w:val="auto"/>
          <w:kern w:val="0"/>
          <w:sz w:val="32"/>
          <w:szCs w:val="32"/>
          <w:highlight w:val="none"/>
          <w:lang w:val="en-US" w:eastAsia="zh-CN"/>
        </w:rPr>
        <w:t>4</w:t>
      </w:r>
      <w:r>
        <w:rPr>
          <w:rFonts w:hint="eastAsia" w:ascii="宋体" w:hAnsi="宋体" w:eastAsia="宋体" w:cs="仿宋_GB2312"/>
          <w:color w:val="auto"/>
          <w:kern w:val="0"/>
          <w:sz w:val="32"/>
          <w:szCs w:val="32"/>
          <w:highlight w:val="none"/>
        </w:rPr>
        <w:t xml:space="preserve">年  </w:t>
      </w:r>
      <w:r>
        <w:rPr>
          <w:rFonts w:hint="eastAsia" w:ascii="宋体" w:hAnsi="宋体" w:eastAsia="宋体" w:cs="仿宋_GB2312"/>
          <w:color w:val="auto"/>
          <w:kern w:val="0"/>
          <w:sz w:val="32"/>
          <w:szCs w:val="32"/>
          <w:highlight w:val="none"/>
          <w:lang w:val="en-US" w:eastAsia="zh-CN"/>
        </w:rPr>
        <w:t>4</w:t>
      </w:r>
      <w:r>
        <w:rPr>
          <w:rFonts w:hint="eastAsia" w:ascii="宋体" w:hAnsi="宋体" w:eastAsia="宋体" w:cs="仿宋_GB2312"/>
          <w:color w:val="auto"/>
          <w:kern w:val="0"/>
          <w:sz w:val="32"/>
          <w:szCs w:val="32"/>
          <w:highlight w:val="none"/>
        </w:rPr>
        <w:t xml:space="preserve"> 月 </w:t>
      </w:r>
      <w:r>
        <w:rPr>
          <w:rFonts w:hint="eastAsia" w:ascii="宋体" w:hAnsi="宋体" w:eastAsia="宋体" w:cs="仿宋_GB2312"/>
          <w:color w:val="auto"/>
          <w:kern w:val="0"/>
          <w:sz w:val="32"/>
          <w:szCs w:val="32"/>
          <w:highlight w:val="none"/>
          <w:lang w:val="en-US" w:eastAsia="zh-CN"/>
        </w:rPr>
        <w:t>19</w:t>
      </w:r>
      <w:r>
        <w:rPr>
          <w:rFonts w:hint="eastAsia" w:ascii="宋体" w:hAnsi="宋体" w:eastAsia="宋体" w:cs="仿宋_GB2312"/>
          <w:color w:val="auto"/>
          <w:kern w:val="0"/>
          <w:sz w:val="32"/>
          <w:szCs w:val="32"/>
          <w:highlight w:val="none"/>
        </w:rPr>
        <w:t xml:space="preserve">  日</w:t>
      </w:r>
    </w:p>
    <w:p>
      <w:pPr>
        <w:widowControl/>
        <w:jc w:val="left"/>
        <w:rPr>
          <w:rFonts w:ascii="宋体" w:hAnsi="宋体" w:eastAsia="宋体" w:cs="Arial"/>
          <w:b/>
          <w:bCs/>
          <w:color w:val="auto"/>
          <w:sz w:val="36"/>
          <w:szCs w:val="36"/>
          <w:highlight w:val="none"/>
        </w:rPr>
      </w:pPr>
      <w:r>
        <w:rPr>
          <w:rFonts w:ascii="宋体" w:hAnsi="宋体" w:eastAsia="宋体" w:cs="Arial"/>
          <w:b/>
          <w:bCs/>
          <w:color w:val="auto"/>
          <w:sz w:val="36"/>
          <w:szCs w:val="36"/>
          <w:highlight w:val="none"/>
        </w:rPr>
        <w:br w:type="page"/>
      </w:r>
    </w:p>
    <w:p>
      <w:pPr>
        <w:numPr>
          <w:ilvl w:val="0"/>
          <w:numId w:val="1"/>
        </w:numPr>
        <w:spacing w:line="560" w:lineRule="exact"/>
        <w:rPr>
          <w:rFonts w:hint="eastAsia" w:ascii="Times New Roman" w:hAnsi="Times New Roman" w:eastAsia="黑体" w:cs="Times New Roman"/>
          <w:bCs/>
          <w:color w:val="auto"/>
          <w:sz w:val="32"/>
          <w:szCs w:val="32"/>
          <w:highlight w:val="none"/>
        </w:rPr>
      </w:pPr>
      <w:bookmarkStart w:id="0" w:name="_Toc68703827"/>
      <w:r>
        <w:rPr>
          <w:rFonts w:hint="eastAsia" w:ascii="Times New Roman" w:hAnsi="Times New Roman" w:eastAsia="黑体" w:cs="Times New Roman"/>
          <w:bCs/>
          <w:color w:val="auto"/>
          <w:sz w:val="32"/>
          <w:szCs w:val="32"/>
          <w:highlight w:val="none"/>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color w:val="auto"/>
          <w:sz w:val="32"/>
          <w:szCs w:val="32"/>
          <w:highlight w:val="none"/>
          <w:lang w:eastAsia="zh-CN"/>
        </w:rPr>
      </w:pPr>
      <w:r>
        <w:rPr>
          <w:rFonts w:hint="eastAsia" w:ascii="Times New Roman" w:hAnsi="Times New Roman" w:eastAsia="楷体_GB2312" w:cs="Times New Roman"/>
          <w:b/>
          <w:bCs/>
          <w:color w:val="auto"/>
          <w:sz w:val="32"/>
          <w:szCs w:val="32"/>
          <w:highlight w:val="none"/>
          <w:lang w:eastAsia="zh-CN"/>
        </w:rPr>
        <w:t>（一）</w:t>
      </w:r>
      <w:r>
        <w:rPr>
          <w:rFonts w:hint="eastAsia" w:ascii="Times New Roman" w:hAnsi="Times New Roman" w:eastAsia="楷体_GB2312" w:cs="Times New Roman"/>
          <w:b/>
          <w:bCs/>
          <w:color w:val="auto"/>
          <w:sz w:val="32"/>
          <w:szCs w:val="32"/>
          <w:highlight w:val="none"/>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color w:val="auto"/>
          <w:highlight w:val="none"/>
          <w:lang w:eastAsia="zh-CN"/>
        </w:rPr>
      </w:pPr>
      <w:r>
        <w:rPr>
          <w:rFonts w:hint="eastAsia" w:ascii="Times New Roman" w:hAnsi="Times New Roman" w:cs="Times New Roman"/>
          <w:b w:val="0"/>
          <w:bCs w:val="0"/>
          <w:color w:val="auto"/>
          <w:sz w:val="32"/>
          <w:szCs w:val="32"/>
          <w:highlight w:val="none"/>
          <w:lang w:val="en-US" w:eastAsia="zh-CN"/>
        </w:rPr>
        <w:t>　</w:t>
      </w:r>
      <w:r>
        <w:rPr>
          <w:rFonts w:hint="eastAsia" w:ascii="Times New Roman" w:hAnsi="Times New Roman" w:eastAsia="仿宋_GB2312" w:cs="Times New Roman"/>
          <w:b w:val="0"/>
          <w:bCs w:val="0"/>
          <w:color w:val="auto"/>
          <w:sz w:val="32"/>
          <w:szCs w:val="32"/>
          <w:highlight w:val="none"/>
          <w:lang w:val="en-US" w:eastAsia="zh-CN"/>
        </w:rPr>
        <w:t>1.项目背景：</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霍尔果斯市亚欧东路街道根据关于印发根据《关于聚焦社会稳定和长治久安总目标加强自治州城市基层党建工作的实施意见》文件（霍市党发【2019】37号）的通知，街道社区积极开展服务和群众活动，保障街道社区正常运转，为加快街道社区阵地建设、改造、运转、维护等，倡导辖区群众积极参与，同时也对本辖区之间的经济、文化、政治交流产生了一定的影响，也对霍尔果斯市经济发展起到极大的促进作用。</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auto"/>
          <w:sz w:val="32"/>
          <w:szCs w:val="32"/>
          <w:highlight w:val="none"/>
          <w:lang w:eastAsia="zh-CN"/>
        </w:rPr>
      </w:pPr>
      <w:r>
        <w:rPr>
          <w:rFonts w:hint="eastAsia" w:ascii="Times New Roman" w:hAnsi="Times New Roman" w:cs="Times New Roman"/>
          <w:b w:val="0"/>
          <w:bCs w:val="0"/>
          <w:color w:val="auto"/>
          <w:sz w:val="32"/>
          <w:szCs w:val="32"/>
          <w:highlight w:val="none"/>
          <w:lang w:eastAsia="zh-CN"/>
        </w:rPr>
        <w:t>　</w:t>
      </w:r>
      <w:r>
        <w:rPr>
          <w:rFonts w:hint="eastAsia" w:ascii="Times New Roman" w:hAnsi="Times New Roman" w:eastAsia="仿宋_GB2312" w:cs="Times New Roman"/>
          <w:b w:val="0"/>
          <w:bCs w:val="0"/>
          <w:color w:val="auto"/>
          <w:sz w:val="32"/>
          <w:szCs w:val="32"/>
          <w:highlight w:val="none"/>
          <w:lang w:eastAsia="zh-CN"/>
        </w:rPr>
        <w:t>2</w:t>
      </w:r>
      <w:r>
        <w:rPr>
          <w:rFonts w:hint="eastAsia" w:ascii="Times New Roman" w:hAnsi="Times New Roman"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val="0"/>
          <w:bCs w:val="0"/>
          <w:color w:val="auto"/>
          <w:sz w:val="32"/>
          <w:szCs w:val="32"/>
          <w:highlight w:val="none"/>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eastAsia" w:ascii="仿宋_GB2312"/>
          <w:color w:val="auto"/>
          <w:sz w:val="32"/>
          <w:szCs w:val="32"/>
          <w:highlight w:val="none"/>
        </w:rPr>
        <w:t>主要内容：</w:t>
      </w:r>
      <w:r>
        <w:rPr>
          <w:rFonts w:hint="eastAsia"/>
          <w:color w:val="auto"/>
          <w:sz w:val="32"/>
          <w:szCs w:val="32"/>
          <w:highlight w:val="none"/>
          <w:lang w:val="en-US" w:eastAsia="zh-CN"/>
        </w:rPr>
        <w:t xml:space="preserve"> </w:t>
      </w:r>
      <w:r>
        <w:rPr>
          <w:rFonts w:hint="eastAsia" w:ascii="仿宋_GB2312"/>
          <w:color w:val="auto"/>
          <w:sz w:val="32"/>
          <w:szCs w:val="32"/>
          <w:highlight w:val="none"/>
          <w:lang w:val="en-US" w:eastAsia="zh-CN"/>
        </w:rPr>
        <w:t>霍尔果斯市亚欧东路街道运转及服务群众经费为保障街道社区日常工作开展，同时开展为民服务、环境整治、治安防控、矛盾化解等相关业务，该项目的实施能够满足居民生产生活、文体活动，党员群众团队的建设、教育培训、组织开展宣传教育活动、对群众的关心关爱等相关支出，对本辖区经济发展、居民安居乐业带来了深远影响。</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eastAsia" w:ascii="仿宋_GB2312"/>
          <w:color w:val="auto"/>
          <w:sz w:val="32"/>
          <w:szCs w:val="32"/>
          <w:highlight w:val="none"/>
        </w:rPr>
        <w:t>实施情况：</w:t>
      </w:r>
      <w:r>
        <w:rPr>
          <w:rFonts w:hint="eastAsia" w:ascii="仿宋_GB2312"/>
          <w:color w:val="auto"/>
          <w:sz w:val="32"/>
          <w:szCs w:val="32"/>
          <w:highlight w:val="none"/>
          <w:lang w:val="en-US" w:eastAsia="zh-CN"/>
        </w:rPr>
        <w:t>亚欧东路</w:t>
      </w:r>
      <w:r>
        <w:rPr>
          <w:rFonts w:hint="eastAsia" w:eastAsia="仿宋_GB2312"/>
          <w:color w:val="auto"/>
          <w:sz w:val="32"/>
          <w:szCs w:val="32"/>
          <w:highlight w:val="none"/>
        </w:rPr>
        <w:t>街道2023年开展民族团结活动、计划生育活动、慰问困难群众活动、就业培训、八一建军节、七一红歌、六一儿童节、端午节活动、春节活动、教师节活动等，进一步增强辖区居民彼此之间的亲情感、归属感，激发他们学习、工作和生活的热情；本辖区基层建设社区管理支出经费项目进行预算申报，我街道基层组织经费项目包括社区运转经费、社区服务群众经费两项工作经费共计35万元</w:t>
      </w:r>
      <w:r>
        <w:rPr>
          <w:rFonts w:hint="eastAsia"/>
          <w:color w:val="auto"/>
          <w:sz w:val="32"/>
          <w:szCs w:val="32"/>
          <w:highlight w:val="none"/>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color w:val="auto"/>
          <w:sz w:val="32"/>
          <w:szCs w:val="32"/>
          <w:highlight w:val="none"/>
          <w:lang w:eastAsia="zh-CN"/>
        </w:rPr>
      </w:pPr>
      <w:r>
        <w:rPr>
          <w:rFonts w:hint="eastAsia" w:ascii="Times New Roman" w:hAnsi="Times New Roman" w:cs="Times New Roman"/>
          <w:b w:val="0"/>
          <w:bCs w:val="0"/>
          <w:color w:val="auto"/>
          <w:sz w:val="32"/>
          <w:szCs w:val="32"/>
          <w:highlight w:val="none"/>
          <w:lang w:eastAsia="zh-CN"/>
        </w:rPr>
        <w:t>　3</w:t>
      </w:r>
      <w:r>
        <w:rPr>
          <w:rFonts w:hint="eastAsia" w:ascii="Times New Roman" w:hAnsi="Times New Roman" w:cs="Times New Roman"/>
          <w:b w:val="0"/>
          <w:bCs w:val="0"/>
          <w:color w:val="auto"/>
          <w:sz w:val="32"/>
          <w:szCs w:val="32"/>
          <w:highlight w:val="none"/>
          <w:lang w:val="en-US" w:eastAsia="zh-CN"/>
        </w:rPr>
        <w:t>.</w:t>
      </w:r>
      <w:r>
        <w:rPr>
          <w:rFonts w:hint="eastAsia" w:ascii="Times New Roman" w:hAnsi="Times New Roman" w:cs="Times New Roman"/>
          <w:b w:val="0"/>
          <w:bCs w:val="0"/>
          <w:color w:val="auto"/>
          <w:sz w:val="32"/>
          <w:szCs w:val="32"/>
          <w:highlight w:val="none"/>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资金投入情况：该项目年初预算数</w:t>
      </w:r>
      <w:r>
        <w:rPr>
          <w:rFonts w:hint="eastAsia"/>
          <w:color w:val="auto"/>
          <w:sz w:val="32"/>
          <w:szCs w:val="32"/>
          <w:highlight w:val="none"/>
          <w:lang w:val="en-US" w:eastAsia="zh-CN"/>
        </w:rPr>
        <w:t>35</w:t>
      </w:r>
      <w:r>
        <w:rPr>
          <w:rFonts w:hint="eastAsia"/>
          <w:color w:val="auto"/>
          <w:sz w:val="32"/>
          <w:szCs w:val="32"/>
          <w:highlight w:val="none"/>
        </w:rPr>
        <w:t>万元，全年预算数</w:t>
      </w:r>
      <w:r>
        <w:rPr>
          <w:rFonts w:hint="eastAsia"/>
          <w:color w:val="auto"/>
          <w:sz w:val="32"/>
          <w:szCs w:val="32"/>
          <w:highlight w:val="none"/>
          <w:lang w:val="en-US" w:eastAsia="zh-CN"/>
        </w:rPr>
        <w:t>35</w:t>
      </w:r>
      <w:r>
        <w:rPr>
          <w:rFonts w:hint="eastAsia"/>
          <w:color w:val="auto"/>
          <w:sz w:val="32"/>
          <w:szCs w:val="32"/>
          <w:highlight w:val="none"/>
        </w:rPr>
        <w:t>万元，实际总投入</w:t>
      </w:r>
      <w:r>
        <w:rPr>
          <w:rFonts w:hint="eastAsia"/>
          <w:color w:val="auto"/>
          <w:sz w:val="32"/>
          <w:szCs w:val="32"/>
          <w:highlight w:val="none"/>
          <w:lang w:val="en-US" w:eastAsia="zh-CN"/>
        </w:rPr>
        <w:t>35</w:t>
      </w:r>
      <w:r>
        <w:rPr>
          <w:rFonts w:hint="eastAsia"/>
          <w:color w:val="auto"/>
          <w:sz w:val="32"/>
          <w:szCs w:val="32"/>
          <w:highlight w:val="none"/>
        </w:rPr>
        <w:t>万元，该项目资金已全部落实到位</w:t>
      </w:r>
      <w:r>
        <w:rPr>
          <w:rFonts w:hint="eastAsia"/>
          <w:color w:val="auto"/>
          <w:sz w:val="32"/>
          <w:szCs w:val="32"/>
          <w:highlight w:val="none"/>
          <w:lang w:val="en-US" w:eastAsia="zh-CN"/>
        </w:rPr>
        <w:t>35</w:t>
      </w:r>
      <w:r>
        <w:rPr>
          <w:rFonts w:hint="eastAsia"/>
          <w:color w:val="auto"/>
          <w:sz w:val="32"/>
          <w:szCs w:val="32"/>
          <w:highlight w:val="none"/>
        </w:rPr>
        <w:t>，资金来源为</w:t>
      </w:r>
      <w:r>
        <w:rPr>
          <w:rFonts w:hint="eastAsia"/>
          <w:color w:val="auto"/>
          <w:sz w:val="32"/>
          <w:szCs w:val="32"/>
          <w:highlight w:val="none"/>
          <w:lang w:eastAsia="zh-CN"/>
        </w:rPr>
        <w:t>：</w:t>
      </w:r>
      <w:r>
        <w:rPr>
          <w:rFonts w:hint="eastAsia"/>
          <w:color w:val="auto"/>
          <w:sz w:val="32"/>
          <w:szCs w:val="32"/>
          <w:highlight w:val="none"/>
          <w:lang w:val="en-US" w:eastAsia="zh-CN"/>
        </w:rPr>
        <w:t>本级财政资金</w:t>
      </w:r>
      <w:r>
        <w:rPr>
          <w:rFonts w:hint="eastAsia"/>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资金使用情况：该项目年初预算数</w:t>
      </w:r>
      <w:r>
        <w:rPr>
          <w:rFonts w:hint="eastAsia"/>
          <w:color w:val="auto"/>
          <w:sz w:val="32"/>
          <w:szCs w:val="32"/>
          <w:highlight w:val="none"/>
          <w:lang w:val="en-US" w:eastAsia="zh-CN"/>
        </w:rPr>
        <w:t>35</w:t>
      </w:r>
      <w:r>
        <w:rPr>
          <w:rFonts w:hint="eastAsia"/>
          <w:color w:val="auto"/>
          <w:sz w:val="32"/>
          <w:szCs w:val="32"/>
          <w:highlight w:val="none"/>
        </w:rPr>
        <w:t>万元，全年预算数</w:t>
      </w:r>
      <w:r>
        <w:rPr>
          <w:rFonts w:hint="eastAsia"/>
          <w:color w:val="auto"/>
          <w:sz w:val="32"/>
          <w:szCs w:val="32"/>
          <w:highlight w:val="none"/>
          <w:lang w:val="en-US" w:eastAsia="zh-CN"/>
        </w:rPr>
        <w:t>35</w:t>
      </w:r>
      <w:r>
        <w:rPr>
          <w:rFonts w:hint="eastAsia"/>
          <w:color w:val="auto"/>
          <w:sz w:val="32"/>
          <w:szCs w:val="32"/>
          <w:highlight w:val="none"/>
        </w:rPr>
        <w:t>万元，全年执行数</w:t>
      </w:r>
      <w:r>
        <w:rPr>
          <w:rFonts w:hint="eastAsia"/>
          <w:color w:val="auto"/>
          <w:sz w:val="32"/>
          <w:szCs w:val="32"/>
          <w:highlight w:val="none"/>
          <w:lang w:val="en-US" w:eastAsia="zh-CN"/>
        </w:rPr>
        <w:t>35</w:t>
      </w:r>
      <w:r>
        <w:rPr>
          <w:rFonts w:hint="eastAsia"/>
          <w:color w:val="auto"/>
          <w:sz w:val="32"/>
          <w:szCs w:val="32"/>
          <w:highlight w:val="none"/>
        </w:rPr>
        <w:t>万元，预算执行率为</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主要</w:t>
      </w:r>
      <w:r>
        <w:rPr>
          <w:rFonts w:hint="eastAsia"/>
          <w:color w:val="auto"/>
          <w:sz w:val="32"/>
          <w:szCs w:val="32"/>
          <w:highlight w:val="none"/>
        </w:rPr>
        <w:t>用于：</w:t>
      </w:r>
      <w:r>
        <w:rPr>
          <w:rFonts w:hint="eastAsia"/>
          <w:color w:val="auto"/>
          <w:sz w:val="32"/>
          <w:szCs w:val="32"/>
          <w:highlight w:val="none"/>
          <w:lang w:val="en-US" w:eastAsia="zh-CN"/>
        </w:rPr>
        <w:t>35</w:t>
      </w:r>
      <w:r>
        <w:rPr>
          <w:rFonts w:hint="eastAsia"/>
          <w:color w:val="auto"/>
          <w:sz w:val="32"/>
          <w:szCs w:val="32"/>
          <w:highlight w:val="none"/>
        </w:rPr>
        <w:t>万元</w:t>
      </w:r>
      <w:r>
        <w:rPr>
          <w:rFonts w:hint="eastAsia"/>
          <w:color w:val="auto"/>
          <w:sz w:val="32"/>
          <w:szCs w:val="32"/>
          <w:highlight w:val="none"/>
          <w:lang w:eastAsia="zh-CN"/>
        </w:rPr>
        <w:t>，</w:t>
      </w:r>
      <w:r>
        <w:rPr>
          <w:rFonts w:hint="eastAsia"/>
          <w:color w:val="auto"/>
          <w:sz w:val="32"/>
          <w:szCs w:val="32"/>
          <w:highlight w:val="none"/>
        </w:rPr>
        <w:t>开展各项文艺活动</w:t>
      </w:r>
      <w:r>
        <w:rPr>
          <w:rFonts w:hint="eastAsia"/>
          <w:color w:val="auto"/>
          <w:sz w:val="32"/>
          <w:szCs w:val="32"/>
          <w:highlight w:val="none"/>
          <w:lang w:eastAsia="zh-CN"/>
        </w:rPr>
        <w:t>、</w:t>
      </w:r>
      <w:r>
        <w:rPr>
          <w:rFonts w:hint="eastAsia"/>
          <w:color w:val="auto"/>
          <w:sz w:val="32"/>
          <w:szCs w:val="32"/>
          <w:highlight w:val="none"/>
        </w:rPr>
        <w:t>开展培训经费</w:t>
      </w:r>
      <w:r>
        <w:rPr>
          <w:rFonts w:hint="eastAsia"/>
          <w:color w:val="auto"/>
          <w:sz w:val="32"/>
          <w:szCs w:val="32"/>
          <w:highlight w:val="none"/>
          <w:lang w:eastAsia="zh-CN"/>
        </w:rPr>
        <w:t>、</w:t>
      </w:r>
      <w:r>
        <w:rPr>
          <w:rFonts w:hint="eastAsia" w:ascii="仿宋_GB2312" w:hAnsi="Calibri" w:eastAsia="仿宋_GB2312" w:cs="黑体"/>
          <w:color w:val="auto"/>
          <w:kern w:val="2"/>
          <w:sz w:val="28"/>
          <w:szCs w:val="22"/>
          <w:highlight w:val="none"/>
          <w:lang w:val="en-US" w:eastAsia="zh-CN" w:bidi="ar-SA"/>
        </w:rPr>
        <w:t>保障街道社区正常运转</w:t>
      </w:r>
      <w:r>
        <w:rPr>
          <w:rFonts w:hint="eastAsia" w:ascii="仿宋_GB2312" w:hAnsi="Calibri" w:cs="黑体"/>
          <w:color w:val="auto"/>
          <w:kern w:val="2"/>
          <w:sz w:val="28"/>
          <w:szCs w:val="22"/>
          <w:highlight w:val="none"/>
          <w:lang w:val="en-US" w:eastAsia="zh-CN" w:bidi="ar-SA"/>
        </w:rPr>
        <w:t>等</w:t>
      </w:r>
      <w:r>
        <w:rPr>
          <w:rFonts w:hint="eastAsia"/>
          <w:color w:val="auto"/>
          <w:sz w:val="32"/>
          <w:szCs w:val="32"/>
          <w:highlight w:val="none"/>
        </w:rPr>
        <w:t>。</w:t>
      </w:r>
      <w:bookmarkStart w:id="2" w:name="_Toc68703829"/>
    </w:p>
    <w:p>
      <w:pPr>
        <w:spacing w:line="560" w:lineRule="exact"/>
        <w:rPr>
          <w:rFonts w:hint="eastAsia" w:ascii="Times New Roman" w:hAnsi="Times New Roman" w:eastAsia="楷体_GB2312" w:cs="Times New Roman"/>
          <w:b/>
          <w:bCs/>
          <w:color w:val="auto"/>
          <w:sz w:val="32"/>
          <w:szCs w:val="32"/>
          <w:highlight w:val="none"/>
          <w:lang w:eastAsia="zh-CN"/>
        </w:rPr>
      </w:pPr>
      <w:r>
        <w:rPr>
          <w:rFonts w:hint="eastAsia" w:ascii="Times New Roman" w:hAnsi="Times New Roman" w:eastAsia="楷体_GB2312" w:cs="Times New Roman"/>
          <w:b/>
          <w:bCs/>
          <w:color w:val="auto"/>
          <w:sz w:val="32"/>
          <w:szCs w:val="32"/>
          <w:highlight w:val="none"/>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auto"/>
          <w:sz w:val="32"/>
          <w:szCs w:val="32"/>
          <w:highlight w:val="none"/>
          <w:lang w:val="en-US" w:eastAsia="zh-CN"/>
        </w:rPr>
      </w:pPr>
      <w:r>
        <w:rPr>
          <w:rFonts w:hint="eastAsia"/>
          <w:color w:val="auto"/>
          <w:sz w:val="32"/>
          <w:szCs w:val="32"/>
          <w:highlight w:val="none"/>
          <w:lang w:eastAsia="zh-CN"/>
        </w:rPr>
        <w:t>　</w:t>
      </w:r>
      <w:r>
        <w:rPr>
          <w:rFonts w:hint="eastAsia"/>
          <w:b w:val="0"/>
          <w:bCs w:val="0"/>
          <w:color w:val="auto"/>
          <w:sz w:val="32"/>
          <w:szCs w:val="32"/>
          <w:highlight w:val="none"/>
          <w:lang w:eastAsia="zh-CN"/>
        </w:rPr>
        <w:t>　</w:t>
      </w:r>
      <w:r>
        <w:rPr>
          <w:rFonts w:hint="eastAsia" w:ascii="Times New Roman" w:hAnsi="Times New Roman" w:eastAsia="仿宋_GB2312" w:cs="Times New Roman"/>
          <w:b w:val="0"/>
          <w:bCs w:val="0"/>
          <w:color w:val="auto"/>
          <w:sz w:val="32"/>
          <w:szCs w:val="32"/>
          <w:highlight w:val="none"/>
          <w:lang w:val="en-US" w:eastAsia="zh-CN"/>
        </w:rPr>
        <w:t>1.总体目标：根据根据《关于聚焦社会稳定和长治久安总目标加强自治州城市基层党建工作的实施意见》文件要求，目标1：通过开展亚欧东路街道服务群众工作、做好辖区内常住和流动人口的管理工作。目标2：保障亚欧东路街道办事处所属社区的正常运转，发挥社区的职能作用。目标3：开展活动、技能培训班等，提高辖区社区为人民群众服务的工作质量和效率，让群众了解社区、提高群众满意度。</w:t>
      </w:r>
    </w:p>
    <w:p>
      <w:pPr>
        <w:numPr>
          <w:ilvl w:val="0"/>
          <w:numId w:val="0"/>
        </w:numPr>
        <w:spacing w:line="560" w:lineRule="exact"/>
        <w:ind w:firstLine="640" w:firstLineChars="200"/>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2.阶段性目标：</w:t>
      </w:r>
      <w:bookmarkStart w:id="3" w:name="_Toc68703830"/>
      <w:r>
        <w:rPr>
          <w:rFonts w:hint="eastAsia" w:ascii="Times New Roman" w:hAnsi="Times New Roman" w:eastAsia="仿宋_GB2312" w:cs="Times New Roman"/>
          <w:b w:val="0"/>
          <w:bCs w:val="0"/>
          <w:color w:val="auto"/>
          <w:sz w:val="32"/>
          <w:szCs w:val="32"/>
          <w:highlight w:val="none"/>
          <w:lang w:val="en-US" w:eastAsia="zh-CN"/>
        </w:rPr>
        <w:t>1.对社区生活环境进行治理，改善居民生活环境、提高居民生活质量，街道精心设计载体，采取群众喜闻乐见的形式深入社区、深入流动人口家庭，并在辖区流动人口居住集中地段适时开展宣传咨询、健康教育讲座等活动，努力使有关流动人口的政策法规和服务信息家喻户晓。2.进一步加强基层干部队伍建设，以及保障社区管理和基层党组织管理工作正常运行发挥了重要作用，以党建引领社区，充分发挥社区职能，促进网格、职责、队伍、平台、工作流程、数据资源融合，构建全域覆盖、全网整合、规范高效、常态运行的网格化管理服务体系。3.街道2023年开展民族团结活动、计划生育生育活动、慰问困难群众活动、就业培训、八一建军节、七一红歌、六一儿童节、端午节活动、春节活动、教师节活动等，进一步增强辖区居民彼此之间的亲情感、归属感，激发他们学习、工作和生活的热情；本辖区基层建设社区管理支出经费项目进行预算申报，我街道基层组织经费项目包括社区运转经费、社区服务群众经费两项工作经费共计35万元</w:t>
      </w:r>
      <w:r>
        <w:rPr>
          <w:rFonts w:hint="eastAsia" w:cs="Times New Roman"/>
          <w:b w:val="0"/>
          <w:bCs w:val="0"/>
          <w:color w:val="auto"/>
          <w:sz w:val="32"/>
          <w:szCs w:val="32"/>
          <w:highlight w:val="none"/>
          <w:lang w:val="en-US" w:eastAsia="zh-CN"/>
        </w:rPr>
        <w:t>。</w:t>
      </w:r>
    </w:p>
    <w:p>
      <w:pPr>
        <w:spacing w:line="560" w:lineRule="exact"/>
        <w:rPr>
          <w:rFonts w:hint="eastAsia" w:ascii="Times New Roman" w:hAnsi="Times New Roman" w:eastAsia="黑体" w:cs="Times New Roman"/>
          <w:bCs/>
          <w:color w:val="auto"/>
          <w:sz w:val="32"/>
          <w:szCs w:val="32"/>
          <w:highlight w:val="none"/>
          <w:lang w:val="en-US" w:eastAsia="zh-CN"/>
        </w:rPr>
      </w:pPr>
      <w:r>
        <w:rPr>
          <w:rFonts w:hint="eastAsia" w:ascii="Times New Roman" w:hAnsi="Times New Roman" w:eastAsia="黑体" w:cs="Times New Roman"/>
          <w:bCs/>
          <w:color w:val="auto"/>
          <w:sz w:val="32"/>
          <w:szCs w:val="32"/>
          <w:highlight w:val="none"/>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color w:val="auto"/>
          <w:sz w:val="32"/>
          <w:szCs w:val="32"/>
          <w:highlight w:val="none"/>
          <w:lang w:eastAsia="zh-CN"/>
        </w:rPr>
      </w:pPr>
      <w:bookmarkStart w:id="4" w:name="_Toc68703831"/>
      <w:r>
        <w:rPr>
          <w:rFonts w:hint="eastAsia" w:ascii="Times New Roman" w:hAnsi="Times New Roman" w:eastAsia="楷体_GB2312" w:cs="Times New Roman"/>
          <w:b/>
          <w:bCs/>
          <w:color w:val="auto"/>
          <w:sz w:val="32"/>
          <w:szCs w:val="32"/>
          <w:highlight w:val="none"/>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　1.绩效评价目的</w:t>
      </w:r>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项目在实施前向项目负责人提供财政支出绩效方面的资金管理信息，促进项目支出严格按照资金管理规定进行。</w:t>
      </w:r>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（2）项目绩效管理财政支出运行提供及时、有效的信息。</w:t>
      </w:r>
    </w:p>
    <w:p>
      <w:pPr>
        <w:pStyle w:val="20"/>
        <w:spacing w:line="560" w:lineRule="exact"/>
        <w:ind w:firstLine="640" w:firstLineChars="200"/>
        <w:rPr>
          <w:rFonts w:eastAsia="方正仿宋_GBK" w:cs="方正仿宋_GBK"/>
          <w:color w:val="auto"/>
          <w:sz w:val="32"/>
          <w:szCs w:val="32"/>
          <w:highlight w:val="none"/>
        </w:rPr>
      </w:pPr>
      <w:r>
        <w:rPr>
          <w:rFonts w:eastAsia="仿宋_GB2312"/>
          <w:color w:val="auto"/>
          <w:sz w:val="32"/>
          <w:szCs w:val="32"/>
          <w:highlight w:val="none"/>
        </w:rPr>
        <w:t>综合来看，通过开展有效的财政支出绩效评价管理，</w:t>
      </w:r>
      <w:r>
        <w:rPr>
          <w:rFonts w:hint="eastAsia" w:eastAsia="仿宋_GB2312"/>
          <w:color w:val="auto"/>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cs="Times New Roman"/>
          <w:b/>
          <w:bCs/>
          <w:color w:val="auto"/>
          <w:sz w:val="30"/>
          <w:szCs w:val="30"/>
          <w:highlight w:val="none"/>
          <w:lang w:val="en-US" w:eastAsia="zh-CN"/>
        </w:rPr>
        <w:t>　</w:t>
      </w:r>
      <w:r>
        <w:rPr>
          <w:rFonts w:hint="eastAsia" w:ascii="Times New Roman" w:hAnsi="Times New Roman" w:eastAsia="仿宋_GB2312" w:cs="Times New Roman"/>
          <w:b w:val="0"/>
          <w:bCs w:val="0"/>
          <w:color w:val="auto"/>
          <w:sz w:val="32"/>
          <w:szCs w:val="32"/>
          <w:highlight w:val="none"/>
          <w:lang w:val="en-US" w:eastAsia="zh-CN"/>
        </w:rPr>
        <w:t>2.绩效评价对象：</w:t>
      </w:r>
    </w:p>
    <w:p>
      <w:pPr>
        <w:spacing w:line="560" w:lineRule="exact"/>
        <w:ind w:firstLine="640" w:firstLineChars="200"/>
        <w:rPr>
          <w:rFonts w:ascii="仿宋_GB2312" w:hAnsi="仿宋_GB2312" w:eastAsia="仿宋_GB2312" w:cs="仿宋_GB2312"/>
          <w:color w:val="auto"/>
          <w:sz w:val="32"/>
          <w:szCs w:val="32"/>
          <w:highlight w:val="none"/>
        </w:rPr>
      </w:pPr>
      <w:r>
        <w:rPr>
          <w:rFonts w:hint="eastAsia" w:eastAsia="仿宋_GB2312"/>
          <w:color w:val="auto"/>
          <w:sz w:val="32"/>
          <w:szCs w:val="32"/>
          <w:highlight w:val="none"/>
          <w:lang w:eastAsia="zh-CN"/>
        </w:rPr>
        <w:t>社区运转及服务群众工作经费</w:t>
      </w:r>
      <w:r>
        <w:rPr>
          <w:rFonts w:hint="eastAsia" w:ascii="仿宋_GB2312" w:hAnsi="仿宋_GB2312" w:eastAsia="仿宋_GB2312" w:cs="仿宋_GB2312"/>
          <w:color w:val="auto"/>
          <w:sz w:val="32"/>
          <w:szCs w:val="32"/>
          <w:highlight w:val="none"/>
        </w:rPr>
        <w:t>项目所包含的全部项目内容。</w:t>
      </w:r>
    </w:p>
    <w:p>
      <w:pPr>
        <w:spacing w:line="560" w:lineRule="exact"/>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本次评价从项目决策（包括绩效目标、决策过程）、项目管理（包括项目资金、项目实施）、项目产出（包括项目产出数量、产出质量、产出时效和产出成本）项目效益四个维度进行</w:t>
      </w:r>
      <w:r>
        <w:rPr>
          <w:rFonts w:hint="eastAsia" w:eastAsia="仿宋_GB2312"/>
          <w:color w:val="auto"/>
          <w:sz w:val="32"/>
          <w:szCs w:val="32"/>
          <w:highlight w:val="none"/>
          <w:lang w:eastAsia="zh-CN"/>
        </w:rPr>
        <w:t>社区运转及服务群众工作经费</w:t>
      </w:r>
      <w:r>
        <w:rPr>
          <w:rFonts w:hint="eastAsia"/>
          <w:color w:val="auto"/>
          <w:sz w:val="32"/>
          <w:szCs w:val="32"/>
          <w:highlight w:val="none"/>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5" w:name="_Toc68703832"/>
      <w:r>
        <w:rPr>
          <w:rFonts w:hint="eastAsia" w:ascii="Times New Roman" w:hAnsi="Times New Roman" w:eastAsia="楷体_GB2312" w:cs="Times New Roman"/>
          <w:b/>
          <w:bCs/>
          <w:color w:val="auto"/>
          <w:kern w:val="2"/>
          <w:sz w:val="32"/>
          <w:szCs w:val="32"/>
          <w:highlight w:val="none"/>
          <w:lang w:val="en-US" w:eastAsia="zh-CN" w:bidi="ar-SA"/>
        </w:rPr>
        <w:t>（二）绩效评价原则、评价指标体系</w:t>
      </w:r>
      <w:r>
        <w:rPr>
          <w:rFonts w:eastAsia="楷体_GB2312"/>
          <w:b/>
          <w:bCs/>
          <w:color w:val="auto"/>
          <w:sz w:val="32"/>
          <w:szCs w:val="32"/>
          <w:highlight w:val="none"/>
        </w:rPr>
        <w:t>（详情见表1）</w:t>
      </w:r>
      <w:r>
        <w:rPr>
          <w:rFonts w:hint="eastAsia" w:ascii="Times New Roman" w:hAnsi="Times New Roman" w:eastAsia="楷体_GB2312" w:cs="Times New Roman"/>
          <w:b/>
          <w:bCs/>
          <w:color w:val="auto"/>
          <w:kern w:val="2"/>
          <w:sz w:val="32"/>
          <w:szCs w:val="32"/>
          <w:highlight w:val="none"/>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1</w:t>
      </w:r>
      <w:r>
        <w:rPr>
          <w:rFonts w:hint="eastAsia"/>
          <w:color w:val="auto"/>
          <w:sz w:val="32"/>
          <w:szCs w:val="32"/>
          <w:highlight w:val="none"/>
          <w:lang w:val="en-US" w:eastAsia="zh-CN"/>
        </w:rPr>
        <w:t>.</w:t>
      </w:r>
      <w:r>
        <w:rPr>
          <w:rFonts w:hint="eastAsia"/>
          <w:color w:val="auto"/>
          <w:sz w:val="32"/>
          <w:szCs w:val="32"/>
          <w:highlight w:val="none"/>
        </w:rPr>
        <w:t>绩效评价原则</w:t>
      </w:r>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本次项目绩效评价遵循以下基本原则：</w:t>
      </w:r>
    </w:p>
    <w:p>
      <w:pPr>
        <w:pStyle w:val="1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color w:val="auto"/>
          <w:highlight w:val="none"/>
        </w:rPr>
      </w:pPr>
      <w:r>
        <w:rPr>
          <w:rFonts w:ascii="Times New Roman" w:hAnsi="Times New Roman" w:eastAsia="仿宋_GB2312"/>
          <w:b w:val="0"/>
          <w:bCs w:val="0"/>
          <w:color w:val="auto"/>
          <w:highlight w:val="none"/>
        </w:rPr>
        <w:t>（4）公开透明。绩效评价结果应依法依规公开，并自觉接受社会监督。</w:t>
      </w:r>
    </w:p>
    <w:p>
      <w:pPr>
        <w:spacing w:line="360" w:lineRule="auto"/>
        <w:ind w:firstLine="600" w:firstLineChars="200"/>
        <w:jc w:val="left"/>
        <w:rPr>
          <w:rFonts w:hint="eastAsia"/>
          <w:color w:val="auto"/>
          <w:sz w:val="32"/>
          <w:szCs w:val="32"/>
          <w:highlight w:val="none"/>
        </w:rPr>
      </w:pPr>
      <w:r>
        <w:rPr>
          <w:rFonts w:hint="eastAsia"/>
          <w:color w:val="auto"/>
          <w:highlight w:val="none"/>
        </w:rPr>
        <w:t>2、</w:t>
      </w:r>
      <w:r>
        <w:rPr>
          <w:rFonts w:hint="eastAsia"/>
          <w:color w:val="auto"/>
          <w:sz w:val="32"/>
          <w:szCs w:val="32"/>
          <w:highlight w:val="none"/>
        </w:rPr>
        <w:t>评价指标体系</w:t>
      </w:r>
    </w:p>
    <w:p>
      <w:pPr>
        <w:spacing w:line="560" w:lineRule="exact"/>
        <w:ind w:firstLine="708" w:firstLineChars="200"/>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（1）确定评价指标</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（2）确定权重</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ascii="Times New Roman" w:hAnsi="Times New Roman" w:eastAsia="仿宋_GB2312"/>
          <w:b w:val="0"/>
          <w:bCs w:val="0"/>
          <w:color w:val="auto"/>
          <w:spacing w:val="17"/>
          <w:kern w:val="2"/>
          <w:highlight w:val="none"/>
        </w:rPr>
      </w:pPr>
      <w:r>
        <w:rPr>
          <w:rFonts w:ascii="Times New Roman" w:hAnsi="Times New Roman" w:eastAsia="仿宋_GB2312"/>
          <w:b w:val="0"/>
          <w:bCs w:val="0"/>
          <w:color w:val="auto"/>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0"/>
        <w:widowControl w:val="0"/>
        <w:spacing w:before="0" w:after="0" w:line="560" w:lineRule="exact"/>
        <w:ind w:firstLine="708" w:firstLineChars="200"/>
        <w:jc w:val="both"/>
        <w:outlineLvl w:val="9"/>
        <w:rPr>
          <w:rFonts w:hint="eastAsia"/>
          <w:color w:val="auto"/>
          <w:highlight w:val="none"/>
        </w:rPr>
      </w:pPr>
      <w:r>
        <w:rPr>
          <w:rFonts w:ascii="Times New Roman" w:hAnsi="Times New Roman" w:eastAsia="仿宋_GB2312"/>
          <w:b w:val="0"/>
          <w:bCs w:val="0"/>
          <w:color w:val="auto"/>
          <w:spacing w:val="17"/>
          <w:highlight w:val="none"/>
        </w:rPr>
        <w:t>具体评价指标体系详情见附件1</w:t>
      </w:r>
    </w:p>
    <w:p>
      <w:pPr>
        <w:pStyle w:val="5"/>
        <w:rPr>
          <w:rFonts w:hint="eastAsia"/>
          <w:color w:val="auto"/>
          <w:sz w:val="32"/>
          <w:szCs w:val="32"/>
          <w:highlight w:val="none"/>
        </w:rPr>
      </w:pPr>
      <w:r>
        <w:rPr>
          <w:rFonts w:hint="eastAsia"/>
          <w:color w:val="auto"/>
          <w:sz w:val="32"/>
          <w:szCs w:val="32"/>
          <w:highlight w:val="none"/>
        </w:rPr>
        <w:t>3、评价方法</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auto"/>
          <w:sz w:val="32"/>
          <w:szCs w:val="32"/>
          <w:highlight w:val="none"/>
          <w:lang w:eastAsia="zh-CN"/>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（1）比较法</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通过对绩效目标与实施效果、历史与当期情况，综合分析绩效目标实现程度。对</w:t>
      </w:r>
      <w:r>
        <w:rPr>
          <w:rFonts w:eastAsia="仿宋_GB2312"/>
          <w:color w:val="auto"/>
          <w:sz w:val="32"/>
          <w:szCs w:val="32"/>
          <w:highlight w:val="none"/>
        </w:rPr>
        <w:t>项目</w:t>
      </w:r>
      <w:r>
        <w:rPr>
          <w:rFonts w:eastAsia="仿宋_GB2312"/>
          <w:color w:val="auto"/>
          <w:spacing w:val="17"/>
          <w:sz w:val="32"/>
          <w:szCs w:val="32"/>
          <w:highlight w:val="none"/>
        </w:rPr>
        <w:t>最终验收情况与年度绩效目标对比、预算资金执行情况等相关因素进行比较。</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（2）因素分析法</w:t>
      </w:r>
    </w:p>
    <w:p>
      <w:pPr>
        <w:spacing w:line="560" w:lineRule="exact"/>
        <w:ind w:firstLine="708" w:firstLineChars="200"/>
        <w:rPr>
          <w:rFonts w:hint="eastAsia" w:eastAsia="仿宋_GB2312"/>
          <w:bCs/>
          <w:color w:val="auto"/>
          <w:sz w:val="32"/>
          <w:szCs w:val="32"/>
          <w:highlight w:val="none"/>
          <w:lang w:eastAsia="zh-CN"/>
        </w:rPr>
      </w:pPr>
      <w:r>
        <w:rPr>
          <w:rFonts w:eastAsia="仿宋_GB2312"/>
          <w:color w:val="auto"/>
          <w:spacing w:val="17"/>
          <w:sz w:val="32"/>
          <w:szCs w:val="32"/>
          <w:highlight w:val="none"/>
        </w:rPr>
        <w:t>通过综合分析影响绩效目标实现、实施效果的内外因素，评价绩效目标实现程度。通过对</w:t>
      </w:r>
      <w:r>
        <w:rPr>
          <w:rFonts w:eastAsia="仿宋_GB2312"/>
          <w:color w:val="auto"/>
          <w:sz w:val="32"/>
          <w:szCs w:val="32"/>
          <w:highlight w:val="none"/>
        </w:rPr>
        <w:t>项目</w:t>
      </w:r>
      <w:r>
        <w:rPr>
          <w:rFonts w:eastAsia="仿宋_GB2312"/>
          <w:color w:val="auto"/>
          <w:spacing w:val="17"/>
          <w:sz w:val="32"/>
          <w:szCs w:val="32"/>
          <w:highlight w:val="none"/>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highlight w:val="none"/>
        </w:rPr>
      </w:pPr>
      <w:r>
        <w:rPr>
          <w:rFonts w:hint="eastAsia"/>
          <w:color w:val="auto"/>
          <w:highlight w:val="none"/>
          <w:lang w:eastAsia="zh-CN"/>
        </w:rPr>
        <w:t>　　</w:t>
      </w:r>
      <w:r>
        <w:rPr>
          <w:rFonts w:hint="eastAsia"/>
          <w:color w:val="auto"/>
          <w:sz w:val="32"/>
          <w:szCs w:val="32"/>
          <w:highlight w:val="none"/>
        </w:rPr>
        <w:t>4</w:t>
      </w:r>
      <w:r>
        <w:rPr>
          <w:rFonts w:hint="eastAsia"/>
          <w:color w:val="auto"/>
          <w:sz w:val="32"/>
          <w:szCs w:val="32"/>
          <w:highlight w:val="none"/>
          <w:lang w:val="en-US" w:eastAsia="zh-CN"/>
        </w:rPr>
        <w:t>.</w:t>
      </w:r>
      <w:r>
        <w:rPr>
          <w:rFonts w:hint="eastAsia"/>
          <w:color w:val="auto"/>
          <w:sz w:val="32"/>
          <w:szCs w:val="32"/>
          <w:highlight w:val="none"/>
        </w:rPr>
        <w:t>评价标准</w:t>
      </w:r>
    </w:p>
    <w:p>
      <w:pPr>
        <w:spacing w:line="560" w:lineRule="exact"/>
        <w:ind w:firstLine="640"/>
        <w:rPr>
          <w:rFonts w:hint="eastAsia"/>
          <w:bCs/>
          <w:color w:val="auto"/>
          <w:sz w:val="32"/>
          <w:szCs w:val="32"/>
          <w:highlight w:val="none"/>
        </w:rPr>
      </w:pPr>
      <w:r>
        <w:rPr>
          <w:rFonts w:hint="eastAsia"/>
          <w:bCs/>
          <w:color w:val="auto"/>
          <w:sz w:val="32"/>
          <w:szCs w:val="32"/>
          <w:highlight w:val="none"/>
        </w:rPr>
        <w:t>绩效评价标准通常包括计划标准、行业标准、历史标准等，用于对绩效指标完成情况进行比较、分析、评价。本次评价主要采用了</w:t>
      </w:r>
      <w:r>
        <w:rPr>
          <w:rFonts w:hint="eastAsia"/>
          <w:bCs/>
          <w:color w:val="auto"/>
          <w:sz w:val="32"/>
          <w:szCs w:val="32"/>
          <w:highlight w:val="none"/>
          <w:lang w:eastAsia="zh-CN"/>
        </w:rPr>
        <w:t>计划、历史</w:t>
      </w:r>
      <w:r>
        <w:rPr>
          <w:rFonts w:hint="eastAsia"/>
          <w:bCs/>
          <w:color w:val="auto"/>
          <w:sz w:val="32"/>
          <w:szCs w:val="32"/>
          <w:highlight w:val="none"/>
        </w:rPr>
        <w:t>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highlight w:val="none"/>
        </w:rPr>
      </w:pPr>
      <w:r>
        <w:rPr>
          <w:rFonts w:hint="eastAsia"/>
          <w:bCs/>
          <w:color w:val="auto"/>
          <w:sz w:val="32"/>
          <w:szCs w:val="32"/>
          <w:highlight w:val="none"/>
        </w:rPr>
        <w:t>（一）计划标准。指以预先制定的目标、计划、预算、定额等作为评价标准。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auto"/>
          <w:sz w:val="32"/>
          <w:szCs w:val="32"/>
          <w:highlight w:val="none"/>
        </w:rPr>
      </w:pPr>
      <w:r>
        <w:rPr>
          <w:rFonts w:hint="eastAsia"/>
          <w:bCs/>
          <w:color w:val="auto"/>
          <w:sz w:val="32"/>
          <w:szCs w:val="32"/>
          <w:highlight w:val="none"/>
        </w:rPr>
        <w:t>（</w:t>
      </w:r>
      <w:r>
        <w:rPr>
          <w:rFonts w:hint="eastAsia"/>
          <w:bCs/>
          <w:color w:val="auto"/>
          <w:sz w:val="32"/>
          <w:szCs w:val="32"/>
          <w:highlight w:val="none"/>
          <w:lang w:eastAsia="zh-CN"/>
        </w:rPr>
        <w:t>二</w:t>
      </w:r>
      <w:r>
        <w:rPr>
          <w:rFonts w:hint="eastAsia"/>
          <w:bCs/>
          <w:color w:val="auto"/>
          <w:sz w:val="32"/>
          <w:szCs w:val="32"/>
          <w:highlight w:val="none"/>
        </w:rPr>
        <w:t>）历史标准。指参照历史数据制定的评价标准，为体现绩效改进的原则，在可实现的条件下应当确定相对较高的评价标准。</w:t>
      </w:r>
      <w:bookmarkStart w:id="6" w:name="_Toc68703833"/>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r>
        <w:rPr>
          <w:rFonts w:hint="eastAsia" w:ascii="Times New Roman" w:hAnsi="Times New Roman" w:eastAsia="楷体_GB2312" w:cs="Times New Roman"/>
          <w:b/>
          <w:bCs/>
          <w:color w:val="auto"/>
          <w:kern w:val="2"/>
          <w:sz w:val="32"/>
          <w:szCs w:val="32"/>
          <w:highlight w:val="none"/>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1</w:t>
      </w:r>
      <w:r>
        <w:rPr>
          <w:rFonts w:hint="eastAsia"/>
          <w:color w:val="auto"/>
          <w:sz w:val="32"/>
          <w:szCs w:val="32"/>
          <w:highlight w:val="none"/>
          <w:lang w:val="en-US" w:eastAsia="zh-CN"/>
        </w:rPr>
        <w:t>.</w:t>
      </w:r>
      <w:r>
        <w:rPr>
          <w:rFonts w:hint="eastAsia"/>
          <w:color w:val="auto"/>
          <w:sz w:val="32"/>
          <w:szCs w:val="32"/>
          <w:highlight w:val="none"/>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2</w:t>
      </w:r>
      <w:r>
        <w:rPr>
          <w:rFonts w:hint="eastAsia"/>
          <w:color w:val="auto"/>
          <w:sz w:val="32"/>
          <w:szCs w:val="32"/>
          <w:highlight w:val="none"/>
          <w:lang w:val="en-US" w:eastAsia="zh-CN"/>
        </w:rPr>
        <w:t>.</w:t>
      </w:r>
      <w:r>
        <w:rPr>
          <w:rFonts w:hint="eastAsia"/>
          <w:color w:val="auto"/>
          <w:sz w:val="32"/>
          <w:szCs w:val="32"/>
          <w:highlight w:val="none"/>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3</w:t>
      </w:r>
      <w:r>
        <w:rPr>
          <w:rFonts w:hint="eastAsia"/>
          <w:color w:val="auto"/>
          <w:sz w:val="32"/>
          <w:szCs w:val="32"/>
          <w:highlight w:val="none"/>
          <w:lang w:val="en-US" w:eastAsia="zh-CN"/>
        </w:rPr>
        <w:t>.</w:t>
      </w:r>
      <w:r>
        <w:rPr>
          <w:rFonts w:hint="eastAsia"/>
          <w:color w:val="auto"/>
          <w:sz w:val="32"/>
          <w:szCs w:val="32"/>
          <w:highlight w:val="none"/>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color w:val="auto"/>
          <w:sz w:val="32"/>
          <w:szCs w:val="32"/>
          <w:highlight w:val="none"/>
        </w:rPr>
      </w:pPr>
      <w:bookmarkStart w:id="7" w:name="_Toc68703834"/>
      <w:r>
        <w:rPr>
          <w:rFonts w:hint="eastAsia" w:eastAsia="仿宋_GB2312"/>
          <w:bCs/>
          <w:color w:val="auto"/>
          <w:sz w:val="32"/>
          <w:szCs w:val="32"/>
          <w:highlight w:val="none"/>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color w:val="auto"/>
          <w:sz w:val="32"/>
          <w:szCs w:val="32"/>
          <w:highlight w:val="none"/>
          <w:lang w:val="en-US" w:eastAsia="zh-CN"/>
        </w:rPr>
      </w:pPr>
      <w:r>
        <w:rPr>
          <w:rFonts w:hint="eastAsia" w:eastAsia="黑体" w:cs="Times New Roman"/>
          <w:bCs/>
          <w:color w:val="auto"/>
          <w:sz w:val="32"/>
          <w:szCs w:val="32"/>
          <w:highlight w:val="none"/>
          <w:lang w:val="en-US" w:eastAsia="zh-CN"/>
        </w:rPr>
        <w:t>三、</w:t>
      </w:r>
      <w:r>
        <w:rPr>
          <w:rFonts w:hint="eastAsia" w:ascii="Times New Roman" w:hAnsi="Times New Roman" w:eastAsia="黑体" w:cs="Times New Roman"/>
          <w:bCs/>
          <w:color w:val="auto"/>
          <w:sz w:val="32"/>
          <w:szCs w:val="32"/>
          <w:highlight w:val="none"/>
          <w:lang w:val="en-US" w:eastAsia="zh-CN"/>
        </w:rPr>
        <w:t>综合评价情况及评价结论</w:t>
      </w:r>
      <w:bookmarkEnd w:id="7"/>
      <w:r>
        <w:rPr>
          <w:rFonts w:eastAsia="黑体"/>
          <w:color w:val="auto"/>
          <w:sz w:val="32"/>
          <w:szCs w:val="32"/>
          <w:highlight w:val="none"/>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8" w:name="_Toc68703835"/>
      <w:r>
        <w:rPr>
          <w:rFonts w:hint="eastAsia" w:ascii="Times New Roman" w:hAnsi="Times New Roman" w:eastAsia="楷体_GB2312" w:cs="Times New Roman"/>
          <w:b/>
          <w:bCs/>
          <w:color w:val="auto"/>
          <w:kern w:val="2"/>
          <w:sz w:val="32"/>
          <w:szCs w:val="32"/>
          <w:highlight w:val="none"/>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ascii="Times New Roman" w:hAnsi="Times New Roman" w:eastAsia="仿宋_GB2312" w:cs="Times New Roman"/>
          <w:b w:val="0"/>
          <w:bCs w:val="0"/>
          <w:color w:val="auto"/>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9" w:name="_Toc68703836"/>
      <w:r>
        <w:rPr>
          <w:rFonts w:hint="eastAsia" w:ascii="Times New Roman" w:hAnsi="Times New Roman" w:eastAsia="楷体_GB2312" w:cs="Times New Roman"/>
          <w:b/>
          <w:bCs/>
          <w:color w:val="auto"/>
          <w:kern w:val="2"/>
          <w:sz w:val="32"/>
          <w:szCs w:val="32"/>
          <w:highlight w:val="none"/>
          <w:lang w:val="en-US" w:eastAsia="zh-CN" w:bidi="ar-SA"/>
        </w:rPr>
        <w:t>（二）评价结论</w:t>
      </w:r>
      <w:bookmarkEnd w:id="9"/>
    </w:p>
    <w:p>
      <w:pPr>
        <w:pStyle w:val="10"/>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color w:val="auto"/>
          <w:highlight w:val="none"/>
        </w:rPr>
      </w:pPr>
      <w:r>
        <w:rPr>
          <w:rFonts w:hint="eastAsia" w:ascii="Times New Roman" w:hAnsi="Times New Roman" w:eastAsia="仿宋_GB2312"/>
          <w:b w:val="0"/>
          <w:bCs w:val="0"/>
          <w:color w:val="auto"/>
          <w:highlight w:val="none"/>
          <w:lang w:eastAsia="zh-CN"/>
        </w:rPr>
        <w:t>　　</w:t>
      </w:r>
      <w:r>
        <w:rPr>
          <w:rFonts w:hint="eastAsia" w:ascii="Times New Roman" w:hAnsi="Times New Roman" w:eastAsia="仿宋_GB2312"/>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 xml:space="preserve">分，属于“优”。其中，项目决策类指标权重为20分，得分为 </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%。项目过程类指标权重为20分，得分为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%。项目产出类指标权重为40分，得分为</w:t>
      </w:r>
      <w:r>
        <w:rPr>
          <w:rFonts w:hint="eastAsia" w:ascii="Times New Roman" w:hAnsi="Times New Roman" w:eastAsia="仿宋_GB2312"/>
          <w:b w:val="0"/>
          <w:bCs w:val="0"/>
          <w:color w:val="auto"/>
          <w:highlight w:val="none"/>
          <w:lang w:val="en-US" w:eastAsia="zh-CN"/>
        </w:rPr>
        <w:t>40</w:t>
      </w:r>
      <w:r>
        <w:rPr>
          <w:rFonts w:hint="eastAsia"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%。项目效益类指标权重为20分，得分为</w:t>
      </w:r>
      <w:r>
        <w:rPr>
          <w:rFonts w:hint="eastAsia" w:ascii="Times New Roman" w:hAnsi="Times New Roman" w:eastAsia="仿宋_GB2312"/>
          <w:b w:val="0"/>
          <w:bCs w:val="0"/>
          <w:color w:val="auto"/>
          <w:highlight w:val="none"/>
          <w:lang w:val="en-US" w:eastAsia="zh-CN"/>
        </w:rPr>
        <w:t>20</w:t>
      </w:r>
      <w:r>
        <w:rPr>
          <w:rFonts w:hint="eastAsia"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hint="eastAsia" w:ascii="Times New Roman" w:hAnsi="Times New Roman" w:eastAsia="仿宋_GB2312"/>
          <w:b w:val="0"/>
          <w:bCs w:val="0"/>
          <w:color w:val="auto"/>
          <w:highlight w:val="none"/>
        </w:rPr>
        <w:t>%。具体打分情况详见：附件1综合评分表</w:t>
      </w:r>
      <w:r>
        <w:rPr>
          <w:rFonts w:hint="eastAsia" w:ascii="Times New Roman" w:hAnsi="Times New Roman" w:eastAsia="仿宋_GB2312"/>
          <w:b w:val="0"/>
          <w:bCs w:val="0"/>
          <w:color w:val="auto"/>
          <w:highlight w:val="none"/>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color w:val="auto"/>
          <w:kern w:val="28"/>
          <w:sz w:val="32"/>
          <w:szCs w:val="32"/>
          <w:highlight w:val="none"/>
          <w:lang w:val="en-US" w:eastAsia="zh-CN" w:bidi="ar-SA"/>
        </w:rPr>
      </w:pPr>
      <w:r>
        <w:rPr>
          <w:rFonts w:hint="eastAsia"/>
          <w:color w:val="auto"/>
          <w:sz w:val="30"/>
          <w:szCs w:val="30"/>
          <w:highlight w:val="none"/>
          <w:lang w:eastAsia="zh-CN"/>
        </w:rPr>
        <w:t>　　　</w:t>
      </w:r>
      <w:r>
        <w:rPr>
          <w:rFonts w:hint="eastAsia"/>
          <w:color w:val="auto"/>
          <w:sz w:val="30"/>
          <w:szCs w:val="30"/>
          <w:highlight w:val="none"/>
          <w:lang w:val="en-US" w:eastAsia="zh-CN"/>
        </w:rPr>
        <w:t xml:space="preserve"> </w:t>
      </w:r>
      <w:r>
        <w:rPr>
          <w:rFonts w:hint="eastAsia" w:ascii="Times New Roman" w:hAnsi="Times New Roman" w:eastAsia="仿宋_GB2312" w:cs="Times New Roman"/>
          <w:b w:val="0"/>
          <w:bCs w:val="0"/>
          <w:color w:val="auto"/>
          <w:kern w:val="28"/>
          <w:sz w:val="32"/>
          <w:szCs w:val="32"/>
          <w:highlight w:val="none"/>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highlight w:val="none"/>
              </w:rPr>
            </w:pPr>
            <w:r>
              <w:rPr>
                <w:rFonts w:hint="eastAsia"/>
                <w:b/>
                <w:bCs/>
                <w:color w:val="auto"/>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highlight w:val="none"/>
              </w:rPr>
            </w:pPr>
            <w:r>
              <w:rPr>
                <w:rFonts w:hint="eastAsia"/>
                <w:b/>
                <w:bCs/>
                <w:color w:val="auto"/>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highlight w:val="none"/>
              </w:rPr>
            </w:pPr>
            <w:r>
              <w:rPr>
                <w:rFonts w:hint="eastAsia"/>
                <w:b/>
                <w:bCs/>
                <w:color w:val="auto"/>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highlight w:val="none"/>
              </w:rPr>
            </w:pPr>
            <w:r>
              <w:rPr>
                <w:rFonts w:hint="eastAsia" w:eastAsia="宋体"/>
                <w:color w:val="auto"/>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highlight w:val="none"/>
              </w:rPr>
            </w:pPr>
            <w:r>
              <w:rPr>
                <w:rFonts w:hint="eastAsia" w:eastAsia="宋体"/>
                <w:color w:val="auto"/>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highlight w:val="none"/>
              </w:rPr>
            </w:pPr>
            <w:r>
              <w:rPr>
                <w:rFonts w:hint="eastAsia" w:eastAsia="宋体"/>
                <w:color w:val="auto"/>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highlight w:val="none"/>
              </w:rPr>
            </w:pPr>
            <w:r>
              <w:rPr>
                <w:rFonts w:hint="eastAsia" w:eastAsia="宋体"/>
                <w:color w:val="auto"/>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auto"/>
                <w:sz w:val="22"/>
                <w:highlight w:val="none"/>
              </w:rPr>
            </w:pPr>
            <w:r>
              <w:rPr>
                <w:rFonts w:hint="eastAsia" w:cs="宋体"/>
                <w:b/>
                <w:bCs/>
                <w:color w:val="auto"/>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22"/>
                <w:highlight w:val="none"/>
                <w:lang w:val="en-US" w:eastAsia="zh-CN"/>
              </w:rPr>
            </w:pPr>
            <w:r>
              <w:rPr>
                <w:rFonts w:hint="eastAsia"/>
                <w:b/>
                <w:bCs/>
                <w:color w:val="auto"/>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22"/>
                <w:highlight w:val="none"/>
                <w:lang w:val="en-US" w:eastAsia="zh-CN"/>
              </w:rPr>
            </w:pPr>
            <w:r>
              <w:rPr>
                <w:rFonts w:hint="eastAsia"/>
                <w:b/>
                <w:bCs/>
                <w:color w:val="auto"/>
                <w:sz w:val="22"/>
                <w:highlight w:val="none"/>
                <w:lang w:val="en-US" w:eastAsia="zh-CN"/>
              </w:rPr>
              <w:t>100</w:t>
            </w:r>
          </w:p>
        </w:tc>
      </w:tr>
    </w:tbl>
    <w:p>
      <w:pPr>
        <w:spacing w:line="560" w:lineRule="exact"/>
        <w:rPr>
          <w:rFonts w:hint="eastAsia" w:ascii="Times New Roman" w:hAnsi="Times New Roman" w:eastAsia="黑体" w:cs="Times New Roman"/>
          <w:bCs/>
          <w:color w:val="auto"/>
          <w:sz w:val="32"/>
          <w:szCs w:val="32"/>
          <w:highlight w:val="none"/>
          <w:lang w:val="en-US" w:eastAsia="zh-CN"/>
        </w:rPr>
      </w:pPr>
      <w:bookmarkStart w:id="10" w:name="_Toc68703837"/>
      <w:r>
        <w:rPr>
          <w:rFonts w:hint="eastAsia" w:ascii="Times New Roman" w:hAnsi="Times New Roman" w:eastAsia="黑体" w:cs="Times New Roman"/>
          <w:bCs/>
          <w:color w:val="auto"/>
          <w:sz w:val="32"/>
          <w:szCs w:val="32"/>
          <w:highlight w:val="none"/>
          <w:lang w:val="en-US" w:eastAsia="zh-CN"/>
        </w:rPr>
        <w:t>四、绩效评价指标分析</w:t>
      </w:r>
      <w:bookmarkEnd w:id="10"/>
    </w:p>
    <w:p>
      <w:pPr>
        <w:spacing w:line="560" w:lineRule="exact"/>
        <w:rPr>
          <w:rFonts w:hint="eastAsia" w:ascii="Times New Roman" w:hAnsi="Times New Roman" w:eastAsia="楷体_GB2312" w:cs="Times New Roman"/>
          <w:b/>
          <w:bCs/>
          <w:color w:val="auto"/>
          <w:kern w:val="2"/>
          <w:sz w:val="32"/>
          <w:szCs w:val="32"/>
          <w:highlight w:val="none"/>
          <w:lang w:val="en-US" w:eastAsia="zh-CN" w:bidi="ar-SA"/>
        </w:rPr>
      </w:pPr>
      <w:bookmarkStart w:id="11" w:name="_Toc68703838"/>
      <w:r>
        <w:rPr>
          <w:rFonts w:hint="eastAsia" w:ascii="Times New Roman" w:hAnsi="Times New Roman" w:eastAsia="楷体_GB2312" w:cs="Times New Roman"/>
          <w:b/>
          <w:bCs/>
          <w:color w:val="auto"/>
          <w:kern w:val="2"/>
          <w:sz w:val="32"/>
          <w:szCs w:val="32"/>
          <w:highlight w:val="none"/>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highlight w:val="none"/>
          <w:lang w:val="en-US" w:eastAsia="zh-CN"/>
        </w:rPr>
      </w:pPr>
      <w:r>
        <w:rPr>
          <w:rFonts w:hint="eastAsia"/>
          <w:b w:val="0"/>
          <w:bCs w:val="0"/>
          <w:color w:val="auto"/>
          <w:sz w:val="32"/>
          <w:szCs w:val="32"/>
          <w:highlight w:val="none"/>
          <w:lang w:val="en-US" w:eastAsia="zh-CN"/>
        </w:rPr>
        <w:t>　　项目决策类指标包括项目立项、绩效目标和资金投入三方面的内容，由6个三级指标构成，权重分值为20分，实际得分20分，得分率为100%。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val="en-US" w:eastAsia="zh-CN"/>
        </w:rPr>
        <w:t>项目立项</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w:t>
      </w:r>
    </w:p>
    <w:p>
      <w:pPr>
        <w:shd w:val="clear"/>
        <w:spacing w:line="600" w:lineRule="exact"/>
        <w:ind w:firstLine="640" w:firstLineChars="200"/>
        <w:outlineLvl w:val="0"/>
        <w:rPr>
          <w:color w:val="auto"/>
          <w:sz w:val="32"/>
          <w:szCs w:val="32"/>
          <w:highlight w:val="none"/>
        </w:rPr>
      </w:pPr>
      <w:r>
        <w:rPr>
          <w:rFonts w:hint="eastAsia" w:ascii="仿宋_GB2312" w:hAnsi="仿宋_GB2312" w:eastAsia="仿宋_GB2312" w:cs="仿宋_GB2312"/>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color w:val="auto"/>
          <w:sz w:val="32"/>
          <w:szCs w:val="32"/>
          <w:highlight w:val="none"/>
        </w:rPr>
      </w:pPr>
      <w:r>
        <w:rPr>
          <w:rFonts w:hint="eastAsia"/>
          <w:b w:val="0"/>
          <w:bCs w:val="0"/>
          <w:color w:val="auto"/>
          <w:sz w:val="32"/>
          <w:szCs w:val="32"/>
          <w:highlight w:val="none"/>
        </w:rPr>
        <w:t>2</w:t>
      </w:r>
      <w:r>
        <w:rPr>
          <w:rFonts w:hint="eastAsia"/>
          <w:b w:val="0"/>
          <w:bCs w:val="0"/>
          <w:color w:val="auto"/>
          <w:sz w:val="32"/>
          <w:szCs w:val="32"/>
          <w:highlight w:val="none"/>
          <w:lang w:val="en-US" w:eastAsia="zh-CN"/>
        </w:rPr>
        <w:t>.</w:t>
      </w:r>
      <w:r>
        <w:rPr>
          <w:rFonts w:hint="eastAsia"/>
          <w:b w:val="0"/>
          <w:bCs w:val="0"/>
          <w:color w:val="auto"/>
          <w:sz w:val="32"/>
          <w:szCs w:val="32"/>
          <w:highlight w:val="none"/>
        </w:rPr>
        <w:t>立项程序规范性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项目申请、设立过程符合相关要求，</w:t>
      </w:r>
      <w:r>
        <w:rPr>
          <w:rFonts w:hint="eastAsia" w:ascii="仿宋_GB2312" w:hAnsi="仿宋_GB2312" w:eastAsia="仿宋_GB2312" w:cs="仿宋_GB2312"/>
          <w:color w:val="auto"/>
          <w:sz w:val="32"/>
          <w:szCs w:val="32"/>
          <w:highlight w:val="none"/>
          <w:lang w:eastAsia="zh-Hans"/>
        </w:rPr>
        <w:t>严格按照审批流程准备符合要求的文件、材料；</w:t>
      </w:r>
      <w:r>
        <w:rPr>
          <w:rFonts w:hint="eastAsia" w:ascii="仿宋_GB2312" w:hAnsi="仿宋_GB2312" w:eastAsia="仿宋_GB2312" w:cs="仿宋_GB2312"/>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2.绩效目标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Hans"/>
        </w:rPr>
        <w:t>年初结合实际工作内容</w:t>
      </w:r>
      <w:r>
        <w:rPr>
          <w:rFonts w:hint="eastAsia" w:ascii="仿宋_GB2312" w:hAnsi="仿宋_GB2312" w:eastAsia="仿宋_GB2312" w:cs="仿宋_GB2312"/>
          <w:color w:val="auto"/>
          <w:sz w:val="32"/>
          <w:szCs w:val="32"/>
          <w:highlight w:val="none"/>
          <w:lang w:val="en-US" w:eastAsia="zh-CN"/>
        </w:rPr>
        <w:t>设定绩效目标</w:t>
      </w:r>
      <w:r>
        <w:rPr>
          <w:rFonts w:hint="eastAsia" w:ascii="仿宋_GB2312" w:hAnsi="仿宋_GB2312" w:eastAsia="仿宋_GB2312" w:cs="仿宋_GB2312"/>
          <w:color w:val="auto"/>
          <w:sz w:val="32"/>
          <w:szCs w:val="32"/>
          <w:highlight w:val="none"/>
          <w:lang w:val="en-US" w:eastAsia="zh-Hans"/>
        </w:rPr>
        <w:t>，绩效目标</w:t>
      </w:r>
      <w:r>
        <w:rPr>
          <w:rFonts w:hint="eastAsia" w:ascii="仿宋_GB2312" w:hAnsi="仿宋_GB2312" w:eastAsia="仿宋_GB2312" w:cs="仿宋_GB2312"/>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bookmarkStart w:id="12" w:name="_Hlk68699917"/>
      <w:r>
        <w:rPr>
          <w:rFonts w:hint="eastAsia" w:ascii="仿宋_GB2312" w:hAnsi="仿宋_GB2312" w:eastAsia="仿宋_GB2312" w:cs="仿宋_GB2312"/>
          <w:color w:val="auto"/>
          <w:sz w:val="32"/>
          <w:szCs w:val="32"/>
          <w:highlight w:val="none"/>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lang w:val="en-US" w:eastAsia="zh-CN"/>
        </w:rPr>
        <w:t>资金投入</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资金分配额度与项目单位实际工作内容相适应，资金分配额度合理，资金分配依据充分。</w:t>
      </w:r>
    </w:p>
    <w:p>
      <w:pPr>
        <w:pStyle w:val="10"/>
        <w:numPr>
          <w:ilvl w:val="0"/>
          <w:numId w:val="0"/>
        </w:numPr>
        <w:spacing w:before="0" w:after="0" w:line="560" w:lineRule="exact"/>
        <w:jc w:val="both"/>
        <w:rPr>
          <w:rFonts w:ascii="楷体" w:hAnsi="楷体" w:eastAsia="楷体" w:cs="楷体"/>
          <w:color w:val="auto"/>
          <w:highlight w:val="none"/>
        </w:rPr>
      </w:pPr>
      <w:r>
        <w:rPr>
          <w:rFonts w:hint="eastAsia" w:ascii="楷体" w:hAnsi="楷体" w:eastAsia="楷体" w:cs="楷体"/>
          <w:color w:val="auto"/>
          <w:highlight w:val="none"/>
          <w:lang w:eastAsia="zh-CN"/>
        </w:rPr>
        <w:t>（二）</w:t>
      </w:r>
      <w:r>
        <w:rPr>
          <w:rFonts w:hint="eastAsia" w:ascii="楷体" w:hAnsi="楷体" w:eastAsia="楷体" w:cs="楷体"/>
          <w:color w:val="auto"/>
          <w:highlight w:val="none"/>
        </w:rPr>
        <w:t>项目过程情况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项目过程类指标包括资金管理和组织实施两方面的内容，由5个三级指标构成，权重分值为20分，实际得分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1.资金管理</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本项目总投资</w:t>
      </w:r>
      <w:r>
        <w:rPr>
          <w:rFonts w:hint="eastAsia" w:ascii="仿宋_GB2312" w:hAnsi="仿宋_GB2312" w:cs="仿宋_GB2312"/>
          <w:color w:val="auto"/>
          <w:sz w:val="32"/>
          <w:szCs w:val="32"/>
          <w:highlight w:val="none"/>
          <w:lang w:val="en-US" w:eastAsia="zh-CN"/>
        </w:rPr>
        <w:t>35</w:t>
      </w:r>
      <w:r>
        <w:rPr>
          <w:rFonts w:hint="eastAsia" w:ascii="仿宋_GB2312" w:hAnsi="仿宋_GB2312" w:eastAsia="仿宋_GB2312" w:cs="仿宋_GB2312"/>
          <w:color w:val="auto"/>
          <w:sz w:val="32"/>
          <w:szCs w:val="32"/>
          <w:highlight w:val="none"/>
          <w:lang w:val="en-US" w:eastAsia="zh-CN"/>
        </w:rPr>
        <w:t>万元，财政资金及时足额到位，到位率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预算编制较为详细，项目资金支出总体能够按照预算执行，预算资金支出</w:t>
      </w:r>
      <w:r>
        <w:rPr>
          <w:rFonts w:hint="eastAsia" w:ascii="仿宋_GB2312" w:hAnsi="仿宋_GB2312" w:cs="仿宋_GB2312"/>
          <w:color w:val="auto"/>
          <w:sz w:val="32"/>
          <w:szCs w:val="32"/>
          <w:highlight w:val="none"/>
          <w:lang w:val="en-US" w:eastAsia="zh-CN"/>
        </w:rPr>
        <w:t>35</w:t>
      </w:r>
      <w:r>
        <w:rPr>
          <w:rFonts w:hint="eastAsia" w:ascii="仿宋_GB2312" w:hAnsi="仿宋_GB2312" w:eastAsia="仿宋_GB2312" w:cs="仿宋_GB2312"/>
          <w:color w:val="auto"/>
          <w:sz w:val="32"/>
          <w:szCs w:val="32"/>
          <w:highlight w:val="none"/>
          <w:lang w:val="en-US" w:eastAsia="zh-CN"/>
        </w:rPr>
        <w:t>万元，预算执行率为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2.组织实施</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5"/>
        <w:numPr>
          <w:ilvl w:val="0"/>
          <w:numId w:val="0"/>
        </w:numPr>
        <w:rPr>
          <w:rFonts w:hint="eastAsia" w:ascii="Times New Roman" w:hAnsi="Times New Roman" w:eastAsia="楷体_GB2312" w:cs="Times New Roman"/>
          <w:b/>
          <w:bCs/>
          <w:color w:val="auto"/>
          <w:kern w:val="2"/>
          <w:sz w:val="32"/>
          <w:szCs w:val="32"/>
          <w:highlight w:val="none"/>
          <w:lang w:val="en-US" w:eastAsia="zh-CN" w:bidi="ar-SA"/>
        </w:rPr>
      </w:pPr>
      <w:bookmarkStart w:id="13" w:name="_Toc68703840"/>
      <w:r>
        <w:rPr>
          <w:rFonts w:hint="eastAsia" w:ascii="Times New Roman" w:hAnsi="Times New Roman" w:eastAsia="楷体_GB2312" w:cs="Times New Roman"/>
          <w:b/>
          <w:bCs/>
          <w:color w:val="auto"/>
          <w:kern w:val="2"/>
          <w:sz w:val="32"/>
          <w:szCs w:val="32"/>
          <w:highlight w:val="none"/>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项目产出类指标包括产出数量、产出质量、产出时效、产出成本四方面的内容，由</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个三级指标构成，权重分为</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0分，实际得分</w:t>
      </w:r>
      <w:r>
        <w:rPr>
          <w:rFonts w:hint="eastAsia" w:ascii="仿宋_GB2312" w:hAnsi="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1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eastAsia="zh-CN"/>
        </w:rPr>
        <w:t>开展各项文艺活动</w:t>
      </w:r>
      <w:r>
        <w:rPr>
          <w:rFonts w:hint="eastAsia"/>
          <w:color w:val="auto"/>
          <w:sz w:val="32"/>
          <w:szCs w:val="32"/>
          <w:highlight w:val="none"/>
        </w:rPr>
        <w:t>，指标值：</w:t>
      </w:r>
      <w:r>
        <w:rPr>
          <w:rFonts w:hint="eastAsia"/>
          <w:color w:val="auto"/>
          <w:sz w:val="32"/>
          <w:szCs w:val="32"/>
          <w:highlight w:val="none"/>
          <w:lang w:eastAsia="zh-CN"/>
        </w:rPr>
        <w:t>&gt;=</w:t>
      </w:r>
      <w:r>
        <w:rPr>
          <w:rFonts w:hint="eastAsia"/>
          <w:color w:val="auto"/>
          <w:sz w:val="32"/>
          <w:szCs w:val="32"/>
          <w:highlight w:val="none"/>
          <w:lang w:val="en-US" w:eastAsia="zh-CN"/>
        </w:rPr>
        <w:t>10</w:t>
      </w:r>
      <w:r>
        <w:rPr>
          <w:rFonts w:hint="eastAsia"/>
          <w:color w:val="auto"/>
          <w:sz w:val="32"/>
          <w:szCs w:val="32"/>
          <w:highlight w:val="none"/>
          <w:lang w:eastAsia="zh-CN"/>
        </w:rPr>
        <w:t>次</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10次</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r>
        <w:rPr>
          <w:rFonts w:hint="eastAsia"/>
          <w:color w:val="auto"/>
          <w:sz w:val="32"/>
          <w:szCs w:val="32"/>
          <w:highlight w:val="none"/>
        </w:rPr>
        <w:t>偏差原因：</w:t>
      </w:r>
      <w:r>
        <w:rPr>
          <w:rFonts w:hint="eastAsia"/>
          <w:color w:val="auto"/>
          <w:sz w:val="32"/>
          <w:szCs w:val="32"/>
          <w:highlight w:val="none"/>
          <w:lang w:eastAsia="zh-CN"/>
        </w:rPr>
        <w:t>无</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eastAsia"/>
          <w:color w:val="auto"/>
          <w:sz w:val="32"/>
          <w:szCs w:val="32"/>
          <w:highlight w:val="none"/>
        </w:rPr>
        <w:t>指标2：</w:t>
      </w:r>
      <w:r>
        <w:rPr>
          <w:rFonts w:hint="eastAsia" w:ascii="Times New Roman" w:hAnsi="Times New Roman" w:cs="Times New Roman"/>
          <w:color w:val="auto"/>
          <w:sz w:val="32"/>
          <w:szCs w:val="32"/>
          <w:highlight w:val="none"/>
          <w:lang w:eastAsia="zh-CN"/>
        </w:rPr>
        <w:t>参与文艺活动人数</w:t>
      </w:r>
      <w:r>
        <w:rPr>
          <w:rFonts w:hint="eastAsia"/>
          <w:color w:val="auto"/>
          <w:sz w:val="32"/>
          <w:szCs w:val="32"/>
          <w:highlight w:val="none"/>
        </w:rPr>
        <w:t>，指标值：</w:t>
      </w:r>
      <w:r>
        <w:rPr>
          <w:rFonts w:hint="eastAsia"/>
          <w:color w:val="auto"/>
          <w:sz w:val="32"/>
          <w:szCs w:val="32"/>
          <w:highlight w:val="none"/>
          <w:lang w:eastAsia="zh-CN"/>
        </w:rPr>
        <w:t>&gt;=</w:t>
      </w:r>
      <w:r>
        <w:rPr>
          <w:rFonts w:hint="eastAsia"/>
          <w:color w:val="auto"/>
          <w:sz w:val="32"/>
          <w:szCs w:val="32"/>
          <w:highlight w:val="none"/>
          <w:lang w:val="en-US" w:eastAsia="zh-CN"/>
        </w:rPr>
        <w:t>20</w:t>
      </w:r>
      <w:r>
        <w:rPr>
          <w:rFonts w:hint="eastAsia"/>
          <w:color w:val="auto"/>
          <w:sz w:val="32"/>
          <w:szCs w:val="32"/>
          <w:highlight w:val="none"/>
          <w:lang w:eastAsia="zh-CN"/>
        </w:rPr>
        <w:t>人</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20人</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%，偏差原因：</w:t>
      </w:r>
      <w:r>
        <w:rPr>
          <w:rFonts w:hint="eastAsia"/>
          <w:color w:val="auto"/>
          <w:sz w:val="32"/>
          <w:szCs w:val="32"/>
          <w:highlight w:val="none"/>
          <w:lang w:eastAsia="zh-CN"/>
        </w:rPr>
        <w:t>无</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w:t>
      </w:r>
      <w:r>
        <w:rPr>
          <w:rFonts w:hint="eastAsia" w:ascii="Times New Roman" w:hAnsi="Times New Roman" w:cs="Times New Roman"/>
          <w:color w:val="auto"/>
          <w:sz w:val="32"/>
          <w:szCs w:val="32"/>
          <w:highlight w:val="none"/>
          <w:lang w:eastAsia="zh-CN"/>
        </w:rPr>
        <w:t>开展技能培训次数</w:t>
      </w:r>
      <w:r>
        <w:rPr>
          <w:rFonts w:hint="eastAsia"/>
          <w:color w:val="auto"/>
          <w:sz w:val="32"/>
          <w:szCs w:val="32"/>
          <w:highlight w:val="none"/>
        </w:rPr>
        <w:t>，指标值：</w:t>
      </w:r>
      <w:r>
        <w:rPr>
          <w:rFonts w:hint="eastAsia"/>
          <w:color w:val="auto"/>
          <w:sz w:val="32"/>
          <w:szCs w:val="32"/>
          <w:highlight w:val="none"/>
          <w:lang w:eastAsia="zh-CN"/>
        </w:rPr>
        <w:t>&gt;=</w:t>
      </w:r>
      <w:r>
        <w:rPr>
          <w:rFonts w:hint="eastAsia"/>
          <w:color w:val="auto"/>
          <w:sz w:val="32"/>
          <w:szCs w:val="32"/>
          <w:highlight w:val="none"/>
          <w:lang w:val="en-US" w:eastAsia="zh-CN"/>
        </w:rPr>
        <w:t>7次</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7次</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%，偏差原因：</w:t>
      </w:r>
      <w:r>
        <w:rPr>
          <w:rFonts w:hint="eastAsia"/>
          <w:color w:val="auto"/>
          <w:sz w:val="32"/>
          <w:szCs w:val="32"/>
          <w:highlight w:val="none"/>
          <w:lang w:eastAsia="zh-CN"/>
        </w:rPr>
        <w:t>无</w:t>
      </w:r>
    </w:p>
    <w:p>
      <w:pPr>
        <w:shd w:val="clear"/>
        <w:spacing w:line="60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r>
        <w:rPr>
          <w:rFonts w:hint="eastAsia" w:ascii="Times New Roman" w:hAnsi="Times New Roman" w:cs="Times New Roman"/>
          <w:color w:val="auto"/>
          <w:sz w:val="32"/>
          <w:szCs w:val="32"/>
          <w:highlight w:val="none"/>
          <w:lang w:eastAsia="zh-CN"/>
        </w:rPr>
        <w:t>参与技能培训人数</w:t>
      </w:r>
      <w:r>
        <w:rPr>
          <w:rFonts w:hint="eastAsia"/>
          <w:color w:val="auto"/>
          <w:sz w:val="32"/>
          <w:szCs w:val="32"/>
          <w:highlight w:val="none"/>
        </w:rPr>
        <w:t>，指标值：</w:t>
      </w:r>
      <w:r>
        <w:rPr>
          <w:rFonts w:hint="eastAsia"/>
          <w:color w:val="auto"/>
          <w:sz w:val="32"/>
          <w:szCs w:val="32"/>
          <w:highlight w:val="none"/>
          <w:lang w:eastAsia="zh-CN"/>
        </w:rPr>
        <w:t>&gt;=</w:t>
      </w:r>
      <w:r>
        <w:rPr>
          <w:rFonts w:hint="eastAsia"/>
          <w:color w:val="auto"/>
          <w:sz w:val="32"/>
          <w:szCs w:val="32"/>
          <w:highlight w:val="none"/>
          <w:lang w:val="en-US" w:eastAsia="zh-CN"/>
        </w:rPr>
        <w:t>15</w:t>
      </w:r>
      <w:r>
        <w:rPr>
          <w:rFonts w:hint="eastAsia"/>
          <w:color w:val="auto"/>
          <w:sz w:val="32"/>
          <w:szCs w:val="32"/>
          <w:highlight w:val="none"/>
          <w:lang w:eastAsia="zh-CN"/>
        </w:rPr>
        <w:t>人</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15人</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%，偏差原因：</w:t>
      </w:r>
      <w:r>
        <w:rPr>
          <w:rFonts w:hint="eastAsia"/>
          <w:color w:val="auto"/>
          <w:sz w:val="32"/>
          <w:szCs w:val="32"/>
          <w:highlight w:val="none"/>
          <w:lang w:eastAsia="zh-CN"/>
        </w:rPr>
        <w:t>无</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2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eastAsia="zh-CN"/>
        </w:rPr>
        <w:t>：</w:t>
      </w:r>
      <w:r>
        <w:rPr>
          <w:rFonts w:hint="eastAsia" w:ascii="Times New Roman" w:hAnsi="Times New Roman" w:cs="Times New Roman"/>
          <w:color w:val="auto"/>
          <w:sz w:val="32"/>
          <w:szCs w:val="32"/>
          <w:highlight w:val="none"/>
          <w:lang w:eastAsia="zh-CN"/>
        </w:rPr>
        <w:t>技能培训出勤率</w:t>
      </w:r>
      <w:r>
        <w:rPr>
          <w:rFonts w:hint="eastAsia"/>
          <w:color w:val="auto"/>
          <w:sz w:val="32"/>
          <w:szCs w:val="32"/>
          <w:highlight w:val="none"/>
        </w:rPr>
        <w:t>，指标值：&gt;=95%，实际完成值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rPr>
        <w:t>%，偏差原因：</w:t>
      </w:r>
      <w:r>
        <w:rPr>
          <w:rFonts w:hint="eastAsia"/>
          <w:color w:val="auto"/>
          <w:sz w:val="32"/>
          <w:szCs w:val="32"/>
          <w:highlight w:val="none"/>
          <w:lang w:eastAsia="zh-CN"/>
        </w:rPr>
        <w:t>活动</w:t>
      </w:r>
      <w:r>
        <w:rPr>
          <w:rFonts w:hint="eastAsia"/>
          <w:color w:val="auto"/>
          <w:sz w:val="32"/>
          <w:szCs w:val="32"/>
          <w:highlight w:val="none"/>
        </w:rPr>
        <w:t>培训全员参加，出勤率为100%</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lang w:eastAsia="zh-CN"/>
        </w:rPr>
      </w:pPr>
      <w:r>
        <w:rPr>
          <w:rFonts w:hint="eastAsia"/>
          <w:color w:val="auto"/>
          <w:sz w:val="32"/>
          <w:szCs w:val="32"/>
          <w:highlight w:val="none"/>
        </w:rPr>
        <w:t>指标2：</w:t>
      </w:r>
      <w:r>
        <w:rPr>
          <w:rFonts w:hint="eastAsia" w:ascii="Times New Roman" w:hAnsi="Times New Roman" w:cs="Times New Roman"/>
          <w:color w:val="auto"/>
          <w:sz w:val="32"/>
          <w:szCs w:val="32"/>
          <w:highlight w:val="none"/>
          <w:lang w:eastAsia="zh-CN"/>
        </w:rPr>
        <w:t>开展活动的</w:t>
      </w:r>
      <w:r>
        <w:rPr>
          <w:rFonts w:hint="eastAsia"/>
          <w:color w:val="auto"/>
          <w:sz w:val="32"/>
          <w:szCs w:val="32"/>
          <w:highlight w:val="none"/>
          <w:lang w:eastAsia="zh-CN"/>
        </w:rPr>
        <w:t>参与率</w:t>
      </w:r>
      <w:r>
        <w:rPr>
          <w:rFonts w:hint="eastAsia"/>
          <w:color w:val="auto"/>
          <w:sz w:val="32"/>
          <w:szCs w:val="32"/>
          <w:highlight w:val="none"/>
        </w:rPr>
        <w:t>，指标值：&gt;=95%，实际完成值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lang w:eastAsia="zh-CN"/>
        </w:rPr>
        <w:t>%，偏差</w:t>
      </w:r>
      <w:r>
        <w:rPr>
          <w:rFonts w:hint="eastAsia"/>
          <w:color w:val="auto"/>
          <w:sz w:val="32"/>
          <w:szCs w:val="32"/>
          <w:highlight w:val="none"/>
        </w:rPr>
        <w:t>原因：</w:t>
      </w:r>
      <w:r>
        <w:rPr>
          <w:rFonts w:hint="eastAsia"/>
          <w:color w:val="auto"/>
          <w:sz w:val="32"/>
          <w:szCs w:val="32"/>
          <w:highlight w:val="none"/>
          <w:lang w:eastAsia="zh-CN"/>
        </w:rPr>
        <w:t>活动</w:t>
      </w:r>
      <w:r>
        <w:rPr>
          <w:rFonts w:hint="eastAsia"/>
          <w:color w:val="auto"/>
          <w:sz w:val="32"/>
          <w:szCs w:val="32"/>
          <w:highlight w:val="none"/>
        </w:rPr>
        <w:t>培训全员参加，出勤率为100%</w:t>
      </w:r>
      <w:r>
        <w:rPr>
          <w:rFonts w:hint="eastAsia"/>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3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bookmarkStart w:id="14" w:name="_Toc68703841"/>
      <w:r>
        <w:rPr>
          <w:rFonts w:hint="eastAsia"/>
          <w:color w:val="auto"/>
          <w:sz w:val="32"/>
          <w:szCs w:val="32"/>
          <w:highlight w:val="none"/>
        </w:rPr>
        <w:t>指标1</w:t>
      </w:r>
      <w:r>
        <w:rPr>
          <w:rFonts w:hint="eastAsia"/>
          <w:color w:val="auto"/>
          <w:sz w:val="32"/>
          <w:szCs w:val="32"/>
          <w:highlight w:val="none"/>
          <w:lang w:eastAsia="zh-CN"/>
        </w:rPr>
        <w:t>：</w:t>
      </w:r>
      <w:r>
        <w:rPr>
          <w:rFonts w:hint="eastAsia"/>
          <w:color w:val="auto"/>
          <w:sz w:val="32"/>
          <w:szCs w:val="32"/>
          <w:highlight w:val="none"/>
        </w:rPr>
        <w:t>活动按时开展率，指标值：&gt;=95%，实际完成值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rPr>
        <w:t>%，偏差原因：</w:t>
      </w:r>
      <w:r>
        <w:rPr>
          <w:rFonts w:hint="eastAsia"/>
          <w:color w:val="auto"/>
          <w:sz w:val="32"/>
          <w:szCs w:val="32"/>
          <w:highlight w:val="none"/>
          <w:lang w:eastAsia="zh-CN"/>
        </w:rPr>
        <w:t>活动</w:t>
      </w:r>
      <w:r>
        <w:rPr>
          <w:rFonts w:hint="eastAsia"/>
          <w:color w:val="auto"/>
          <w:sz w:val="32"/>
          <w:szCs w:val="32"/>
          <w:highlight w:val="none"/>
        </w:rPr>
        <w:t>培训全员参加，出勤率为100%</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lang w:eastAsia="zh-CN"/>
        </w:rPr>
      </w:pPr>
      <w:r>
        <w:rPr>
          <w:rFonts w:hint="eastAsia"/>
          <w:color w:val="auto"/>
          <w:sz w:val="32"/>
          <w:szCs w:val="32"/>
          <w:highlight w:val="none"/>
        </w:rPr>
        <w:t>指标2：培训按期举办率，指标值：&gt;=95%，实际完成值</w:t>
      </w:r>
      <w:r>
        <w:rPr>
          <w:rFonts w:hint="eastAsia"/>
          <w:color w:val="auto"/>
          <w:sz w:val="32"/>
          <w:szCs w:val="32"/>
          <w:highlight w:val="none"/>
          <w:lang w:eastAsia="zh-CN"/>
        </w:rPr>
        <w:t>：</w:t>
      </w:r>
      <w:r>
        <w:rPr>
          <w:rFonts w:hint="eastAsia"/>
          <w:color w:val="auto"/>
          <w:sz w:val="32"/>
          <w:szCs w:val="32"/>
          <w:highlight w:val="none"/>
          <w:lang w:val="en-US" w:eastAsia="zh-CN"/>
        </w:rPr>
        <w:t>100%</w:t>
      </w:r>
      <w:r>
        <w:rPr>
          <w:rFonts w:hint="eastAsia"/>
          <w:color w:val="auto"/>
          <w:sz w:val="32"/>
          <w:szCs w:val="32"/>
          <w:highlight w:val="none"/>
        </w:rPr>
        <w:t>，指标完成率</w:t>
      </w:r>
      <w:r>
        <w:rPr>
          <w:rFonts w:hint="eastAsia"/>
          <w:color w:val="auto"/>
          <w:sz w:val="32"/>
          <w:szCs w:val="32"/>
          <w:highlight w:val="none"/>
          <w:lang w:val="en-US" w:eastAsia="zh-CN"/>
        </w:rPr>
        <w:t>105.26</w:t>
      </w:r>
      <w:r>
        <w:rPr>
          <w:rFonts w:hint="eastAsia"/>
          <w:color w:val="auto"/>
          <w:sz w:val="32"/>
          <w:szCs w:val="32"/>
          <w:highlight w:val="none"/>
        </w:rPr>
        <w:t>%，偏差原因：</w:t>
      </w:r>
      <w:r>
        <w:rPr>
          <w:rFonts w:hint="eastAsia"/>
          <w:color w:val="auto"/>
          <w:sz w:val="32"/>
          <w:szCs w:val="32"/>
          <w:highlight w:val="none"/>
          <w:lang w:eastAsia="zh-CN"/>
        </w:rPr>
        <w:t>活动</w:t>
      </w:r>
      <w:r>
        <w:rPr>
          <w:rFonts w:hint="eastAsia"/>
          <w:color w:val="auto"/>
          <w:sz w:val="32"/>
          <w:szCs w:val="32"/>
          <w:highlight w:val="none"/>
        </w:rPr>
        <w:t>培训全员参加，出勤率为100%</w:t>
      </w:r>
      <w:r>
        <w:rPr>
          <w:rFonts w:hint="eastAsia"/>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fldChar w:fldCharType="begin"/>
      </w:r>
      <w:r>
        <w:rPr>
          <w:rFonts w:hint="eastAsia" w:ascii="仿宋_GB2312" w:hAnsi="仿宋_GB2312" w:eastAsia="仿宋_GB2312" w:cs="仿宋_GB2312"/>
          <w:color w:val="auto"/>
          <w:sz w:val="32"/>
          <w:szCs w:val="32"/>
          <w:highlight w:val="none"/>
          <w:lang w:val="en-US" w:eastAsia="zh-CN"/>
        </w:rPr>
        <w:instrText xml:space="preserve"> = 4 \* GB3 </w:instrText>
      </w:r>
      <w:r>
        <w:rPr>
          <w:rFonts w:hint="eastAsia" w:ascii="仿宋_GB2312" w:hAnsi="仿宋_GB2312" w:eastAsia="仿宋_GB2312" w:cs="仿宋_GB2312"/>
          <w:color w:val="auto"/>
          <w:sz w:val="32"/>
          <w:szCs w:val="32"/>
          <w:highlight w:val="none"/>
          <w:lang w:val="en-US" w:eastAsia="zh-CN"/>
        </w:rPr>
        <w:fldChar w:fldCharType="separate"/>
      </w: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val="en-US" w:eastAsia="zh-CN"/>
        </w:rPr>
        <w:fldChar w:fldCharType="end"/>
      </w:r>
      <w:r>
        <w:rPr>
          <w:rFonts w:hint="eastAsia" w:ascii="仿宋_GB2312" w:hAnsi="仿宋_GB2312" w:eastAsia="仿宋_GB2312" w:cs="仿宋_GB2312"/>
          <w:color w:val="auto"/>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eastAsia="zh-CN"/>
        </w:rPr>
        <w:t>：</w:t>
      </w:r>
      <w:r>
        <w:rPr>
          <w:rFonts w:hint="eastAsia"/>
          <w:color w:val="auto"/>
          <w:sz w:val="32"/>
          <w:szCs w:val="32"/>
          <w:highlight w:val="none"/>
        </w:rPr>
        <w:t>社区运转经费，指标值：&lt;=20万元，实际完成值</w:t>
      </w:r>
      <w:r>
        <w:rPr>
          <w:rFonts w:hint="eastAsia"/>
          <w:color w:val="auto"/>
          <w:sz w:val="32"/>
          <w:szCs w:val="32"/>
          <w:highlight w:val="none"/>
          <w:lang w:eastAsia="zh-CN"/>
        </w:rPr>
        <w:t>：</w:t>
      </w:r>
      <w:r>
        <w:rPr>
          <w:rFonts w:hint="eastAsia"/>
          <w:color w:val="auto"/>
          <w:sz w:val="32"/>
          <w:szCs w:val="32"/>
          <w:highlight w:val="none"/>
          <w:lang w:val="en-US" w:eastAsia="zh-CN"/>
        </w:rPr>
        <w:t>20万元</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，偏差原因：</w:t>
      </w:r>
      <w:r>
        <w:rPr>
          <w:rFonts w:hint="eastAsia"/>
          <w:color w:val="auto"/>
          <w:sz w:val="32"/>
          <w:szCs w:val="32"/>
          <w:highlight w:val="none"/>
          <w:lang w:eastAsia="zh-CN"/>
        </w:rPr>
        <w:t>无。</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eastAsia"/>
          <w:color w:val="auto"/>
          <w:sz w:val="32"/>
          <w:szCs w:val="32"/>
          <w:highlight w:val="none"/>
          <w:lang w:val="en-US" w:eastAsia="zh-CN"/>
        </w:rPr>
        <w:t>指标2：</w:t>
      </w:r>
      <w:r>
        <w:rPr>
          <w:rFonts w:hint="eastAsia"/>
          <w:color w:val="auto"/>
          <w:sz w:val="32"/>
          <w:szCs w:val="32"/>
          <w:highlight w:val="none"/>
        </w:rPr>
        <w:t>服务群众经费</w:t>
      </w:r>
      <w:r>
        <w:rPr>
          <w:rFonts w:hint="eastAsia"/>
          <w:color w:val="auto"/>
          <w:sz w:val="32"/>
          <w:szCs w:val="32"/>
          <w:highlight w:val="none"/>
          <w:lang w:val="en-US" w:eastAsia="zh-CN"/>
        </w:rPr>
        <w:t>，指标值：</w:t>
      </w:r>
      <w:r>
        <w:rPr>
          <w:rFonts w:hint="eastAsia"/>
          <w:color w:val="auto"/>
          <w:sz w:val="32"/>
          <w:szCs w:val="32"/>
          <w:highlight w:val="none"/>
        </w:rPr>
        <w:t>&lt;=</w:t>
      </w:r>
      <w:r>
        <w:rPr>
          <w:rFonts w:hint="eastAsia"/>
          <w:color w:val="auto"/>
          <w:sz w:val="32"/>
          <w:szCs w:val="32"/>
          <w:highlight w:val="none"/>
          <w:lang w:val="en-US" w:eastAsia="zh-CN"/>
        </w:rPr>
        <w:t>15</w:t>
      </w:r>
      <w:r>
        <w:rPr>
          <w:rFonts w:hint="eastAsia"/>
          <w:color w:val="auto"/>
          <w:sz w:val="32"/>
          <w:szCs w:val="32"/>
          <w:highlight w:val="none"/>
        </w:rPr>
        <w:t>万元</w:t>
      </w:r>
      <w:r>
        <w:rPr>
          <w:rFonts w:hint="eastAsia"/>
          <w:color w:val="auto"/>
          <w:sz w:val="32"/>
          <w:szCs w:val="32"/>
          <w:highlight w:val="none"/>
          <w:lang w:val="en-US" w:eastAsia="zh-CN"/>
        </w:rPr>
        <w:t>，实际完成值：15万元，指标完成率100%，偏差原因：无。</w:t>
      </w:r>
    </w:p>
    <w:p>
      <w:pPr>
        <w:pStyle w:val="4"/>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r>
        <w:rPr>
          <w:rFonts w:hint="eastAsia" w:ascii="Times New Roman" w:hAnsi="Times New Roman" w:eastAsia="楷体_GB2312" w:cs="Times New Roman"/>
          <w:b/>
          <w:bCs/>
          <w:color w:val="auto"/>
          <w:kern w:val="2"/>
          <w:sz w:val="32"/>
          <w:szCs w:val="32"/>
          <w:highlight w:val="none"/>
          <w:lang w:val="en-US" w:eastAsia="zh-CN" w:bidi="ar-SA"/>
        </w:rPr>
        <w:t>（四）项目效益情况</w:t>
      </w:r>
      <w:bookmarkEnd w:id="14"/>
    </w:p>
    <w:p>
      <w:pPr>
        <w:shd w:val="clear"/>
        <w:spacing w:line="600" w:lineRule="exact"/>
        <w:ind w:firstLine="640" w:firstLineChars="200"/>
        <w:outlineLvl w:val="0"/>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项目效益类指标包括项目实施效益和满意度两方面的内容，由</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个三级指标构成，权重分为</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0分，实际得分</w:t>
      </w:r>
      <w:r>
        <w:rPr>
          <w:rFonts w:hint="eastAsia" w:ascii="仿宋_GB2312" w:hAnsi="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rPr>
        <w:t>社会效益指标：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color w:val="auto"/>
          <w:sz w:val="32"/>
          <w:szCs w:val="32"/>
          <w:highlight w:val="none"/>
        </w:rPr>
        <w:t>指标1</w:t>
      </w:r>
      <w:r>
        <w:rPr>
          <w:rFonts w:hint="eastAsia"/>
          <w:color w:val="auto"/>
          <w:sz w:val="32"/>
          <w:szCs w:val="32"/>
          <w:highlight w:val="none"/>
          <w:lang w:eastAsia="zh-CN"/>
        </w:rPr>
        <w:t>：</w:t>
      </w:r>
      <w:r>
        <w:rPr>
          <w:rFonts w:hint="eastAsia"/>
          <w:color w:val="auto"/>
          <w:sz w:val="32"/>
          <w:szCs w:val="32"/>
          <w:highlight w:val="none"/>
        </w:rPr>
        <w:t>提高干部服务群众工作效率，指标值：</w:t>
      </w:r>
      <w:r>
        <w:rPr>
          <w:rFonts w:hint="eastAsia"/>
          <w:color w:val="auto"/>
          <w:sz w:val="32"/>
          <w:szCs w:val="32"/>
          <w:highlight w:val="none"/>
          <w:lang w:eastAsia="zh-CN"/>
        </w:rPr>
        <w:t>有效提高</w:t>
      </w:r>
      <w:r>
        <w:rPr>
          <w:rFonts w:hint="eastAsia"/>
          <w:color w:val="auto"/>
          <w:sz w:val="32"/>
          <w:szCs w:val="32"/>
          <w:highlight w:val="none"/>
        </w:rPr>
        <w:t>，实际完成值</w:t>
      </w:r>
      <w:r>
        <w:rPr>
          <w:rFonts w:hint="eastAsia"/>
          <w:color w:val="auto"/>
          <w:sz w:val="32"/>
          <w:szCs w:val="32"/>
          <w:highlight w:val="none"/>
          <w:lang w:eastAsia="zh-CN"/>
        </w:rPr>
        <w:t>：</w:t>
      </w:r>
      <w:r>
        <w:rPr>
          <w:rFonts w:hint="eastAsia"/>
          <w:color w:val="auto"/>
          <w:sz w:val="32"/>
          <w:szCs w:val="32"/>
          <w:highlight w:val="none"/>
          <w:lang w:val="en-US" w:eastAsia="zh-CN"/>
        </w:rPr>
        <w:t>有效提高</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，偏差原因：</w:t>
      </w:r>
      <w:r>
        <w:rPr>
          <w:rFonts w:hint="eastAsia"/>
          <w:color w:val="auto"/>
          <w:sz w:val="32"/>
          <w:szCs w:val="32"/>
          <w:highlight w:val="none"/>
          <w:lang w:eastAsia="zh-CN"/>
        </w:rPr>
        <w:t>无。</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满意度指标1：参加活动人员满意度，指标值：&gt;=95%，实际完成值：100%，指标完成率105.26%，偏差原因：项目按时圆满完成满意度为100%。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满意度指标2：受益干部满意度，指标值：&gt;=95%，实际完成值：100%，指标完成率105.26%，偏差原因：项目按时圆满完成满意度为100%。</w:t>
      </w:r>
    </w:p>
    <w:p>
      <w:pPr>
        <w:spacing w:line="560" w:lineRule="exact"/>
        <w:rPr>
          <w:rFonts w:hint="eastAsia" w:ascii="Times New Roman" w:hAnsi="Times New Roman" w:eastAsia="黑体" w:cs="Times New Roman"/>
          <w:color w:val="auto"/>
          <w:sz w:val="32"/>
          <w:szCs w:val="32"/>
          <w:highlight w:val="none"/>
          <w:lang w:eastAsia="zh-Hans"/>
        </w:rPr>
      </w:pPr>
      <w:r>
        <w:rPr>
          <w:rFonts w:hint="eastAsia" w:ascii="Times New Roman" w:hAnsi="Times New Roman" w:eastAsia="黑体" w:cs="Times New Roman"/>
          <w:color w:val="auto"/>
          <w:sz w:val="32"/>
          <w:szCs w:val="32"/>
          <w:highlight w:val="none"/>
          <w:lang w:eastAsia="zh-Hans"/>
        </w:rPr>
        <w:t>五、预算执行进度与绩效指标总体完成率偏差</w:t>
      </w:r>
    </w:p>
    <w:p>
      <w:pPr>
        <w:pStyle w:val="20"/>
        <w:spacing w:line="56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eastAsia="仿宋_GB2312"/>
          <w:color w:val="auto"/>
          <w:sz w:val="32"/>
          <w:szCs w:val="32"/>
          <w:highlight w:val="none"/>
          <w:lang w:eastAsia="zh-CN"/>
        </w:rPr>
        <w:t>社区运转及服务群众工作经费</w:t>
      </w:r>
      <w:r>
        <w:rPr>
          <w:rFonts w:hint="eastAsia" w:ascii="仿宋_GB2312" w:hAnsi="仿宋_GB2312" w:eastAsia="仿宋_GB2312" w:cs="仿宋_GB2312"/>
          <w:color w:val="auto"/>
          <w:kern w:val="2"/>
          <w:sz w:val="32"/>
          <w:szCs w:val="32"/>
          <w:highlight w:val="none"/>
          <w:lang w:val="en-US" w:eastAsia="zh-CN" w:bidi="ar-SA"/>
        </w:rPr>
        <w:t>项目年初预算</w:t>
      </w:r>
      <w:r>
        <w:rPr>
          <w:rFonts w:hint="eastAsia" w:ascii="仿宋_GB2312" w:hAnsi="仿宋_GB2312" w:cs="仿宋_GB2312"/>
          <w:color w:val="auto"/>
          <w:kern w:val="2"/>
          <w:sz w:val="32"/>
          <w:szCs w:val="32"/>
          <w:highlight w:val="none"/>
          <w:lang w:val="en-US" w:eastAsia="zh-CN" w:bidi="ar-SA"/>
        </w:rPr>
        <w:t>35</w:t>
      </w:r>
      <w:r>
        <w:rPr>
          <w:rFonts w:hint="eastAsia" w:ascii="仿宋_GB2312" w:hAnsi="仿宋_GB2312" w:eastAsia="仿宋_GB2312" w:cs="仿宋_GB2312"/>
          <w:color w:val="auto"/>
          <w:kern w:val="2"/>
          <w:sz w:val="32"/>
          <w:szCs w:val="32"/>
          <w:highlight w:val="none"/>
          <w:lang w:val="en-US" w:eastAsia="zh-CN" w:bidi="ar-SA"/>
        </w:rPr>
        <w:t>万元，全年预算</w:t>
      </w:r>
      <w:r>
        <w:rPr>
          <w:rFonts w:hint="eastAsia" w:ascii="仿宋_GB2312" w:hAnsi="仿宋_GB2312" w:cs="仿宋_GB2312"/>
          <w:color w:val="auto"/>
          <w:kern w:val="2"/>
          <w:sz w:val="32"/>
          <w:szCs w:val="32"/>
          <w:highlight w:val="none"/>
          <w:lang w:val="en-US" w:eastAsia="zh-CN" w:bidi="ar-SA"/>
        </w:rPr>
        <w:t>35</w:t>
      </w:r>
      <w:r>
        <w:rPr>
          <w:rFonts w:hint="eastAsia" w:ascii="仿宋_GB2312" w:hAnsi="仿宋_GB2312" w:eastAsia="仿宋_GB2312" w:cs="仿宋_GB2312"/>
          <w:color w:val="auto"/>
          <w:kern w:val="2"/>
          <w:sz w:val="32"/>
          <w:szCs w:val="32"/>
          <w:highlight w:val="none"/>
          <w:lang w:val="en-US" w:eastAsia="zh-CN" w:bidi="ar-SA"/>
        </w:rPr>
        <w:t>万元，实际支出</w:t>
      </w:r>
      <w:r>
        <w:rPr>
          <w:rFonts w:hint="eastAsia" w:ascii="仿宋_GB2312" w:hAnsi="仿宋_GB2312" w:cs="仿宋_GB2312"/>
          <w:color w:val="auto"/>
          <w:kern w:val="2"/>
          <w:sz w:val="32"/>
          <w:szCs w:val="32"/>
          <w:highlight w:val="none"/>
          <w:lang w:val="en-US" w:eastAsia="zh-CN" w:bidi="ar-SA"/>
        </w:rPr>
        <w:t>35</w:t>
      </w:r>
      <w:r>
        <w:rPr>
          <w:rFonts w:hint="eastAsia" w:ascii="仿宋_GB2312" w:hAnsi="仿宋_GB2312" w:eastAsia="仿宋_GB2312" w:cs="仿宋_GB2312"/>
          <w:color w:val="auto"/>
          <w:kern w:val="2"/>
          <w:sz w:val="32"/>
          <w:szCs w:val="32"/>
          <w:highlight w:val="none"/>
          <w:lang w:val="en-US" w:eastAsia="zh-CN" w:bidi="ar-SA"/>
        </w:rPr>
        <w:t>万元，预算执行率为</w:t>
      </w:r>
      <w:r>
        <w:rPr>
          <w:rFonts w:hint="eastAsia" w:ascii="仿宋_GB2312" w:hAnsi="仿宋_GB2312" w:cs="仿宋_GB2312"/>
          <w:color w:val="auto"/>
          <w:kern w:val="2"/>
          <w:sz w:val="32"/>
          <w:szCs w:val="32"/>
          <w:highlight w:val="none"/>
          <w:lang w:val="en-US" w:eastAsia="zh-CN" w:bidi="ar-SA"/>
        </w:rPr>
        <w:t>100</w:t>
      </w:r>
      <w:r>
        <w:rPr>
          <w:rFonts w:hint="eastAsia" w:ascii="仿宋_GB2312" w:hAnsi="仿宋_GB2312" w:eastAsia="仿宋_GB2312" w:cs="仿宋_GB2312"/>
          <w:color w:val="auto"/>
          <w:kern w:val="2"/>
          <w:sz w:val="32"/>
          <w:szCs w:val="32"/>
          <w:highlight w:val="none"/>
          <w:lang w:val="en-US" w:eastAsia="zh-CN" w:bidi="ar-SA"/>
        </w:rPr>
        <w:t>%，项目绩效指标总体完成率为</w:t>
      </w:r>
      <w:r>
        <w:rPr>
          <w:rFonts w:hint="eastAsia" w:ascii="仿宋_GB2312" w:hAnsi="仿宋_GB2312" w:cs="仿宋_GB2312"/>
          <w:color w:val="auto"/>
          <w:kern w:val="2"/>
          <w:sz w:val="32"/>
          <w:szCs w:val="32"/>
          <w:highlight w:val="none"/>
          <w:lang w:val="en-US" w:eastAsia="zh-CN" w:bidi="ar-SA"/>
        </w:rPr>
        <w:t>102.43</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Hans" w:bidi="ar-SA"/>
        </w:rPr>
        <w:t>总体</w:t>
      </w:r>
      <w:r>
        <w:rPr>
          <w:rFonts w:hint="eastAsia" w:ascii="仿宋_GB2312" w:hAnsi="仿宋_GB2312" w:eastAsia="仿宋_GB2312" w:cs="仿宋_GB2312"/>
          <w:color w:val="auto"/>
          <w:kern w:val="2"/>
          <w:sz w:val="32"/>
          <w:szCs w:val="32"/>
          <w:highlight w:val="none"/>
          <w:lang w:val="en-US" w:eastAsia="zh-CN" w:bidi="ar-SA"/>
        </w:rPr>
        <w:t>偏差率为</w:t>
      </w:r>
      <w:r>
        <w:rPr>
          <w:rFonts w:hint="eastAsia" w:ascii="仿宋_GB2312" w:hAnsi="仿宋_GB2312" w:cs="仿宋_GB2312"/>
          <w:color w:val="auto"/>
          <w:kern w:val="2"/>
          <w:sz w:val="32"/>
          <w:szCs w:val="32"/>
          <w:highlight w:val="none"/>
          <w:lang w:val="en-US" w:eastAsia="zh-CN" w:bidi="ar-SA"/>
        </w:rPr>
        <w:t>2.43</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Hans" w:bidi="ar-SA"/>
        </w:rPr>
        <w:t>改进</w:t>
      </w:r>
      <w:r>
        <w:rPr>
          <w:rFonts w:hint="eastAsia" w:ascii="仿宋_GB2312" w:hAnsi="仿宋_GB2312" w:eastAsia="仿宋_GB2312" w:cs="仿宋_GB2312"/>
          <w:color w:val="auto"/>
          <w:kern w:val="2"/>
          <w:sz w:val="32"/>
          <w:szCs w:val="32"/>
          <w:highlight w:val="none"/>
          <w:lang w:val="en-US" w:eastAsia="zh-CN" w:bidi="ar-SA"/>
        </w:rPr>
        <w:t>措施</w:t>
      </w:r>
      <w:r>
        <w:rPr>
          <w:rFonts w:hint="eastAsia" w:ascii="仿宋_GB2312" w:hAnsi="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CN" w:bidi="ar-SA"/>
        </w:rPr>
        <w:t>加强绩效管理观念，根据评价结果改进工作，进一步加强对项目管理人员技能的培训，多组织举办理论知识培训班。</w:t>
      </w:r>
    </w:p>
    <w:p>
      <w:pPr>
        <w:rPr>
          <w:color w:val="auto"/>
          <w:highlight w:val="none"/>
        </w:rPr>
      </w:pPr>
    </w:p>
    <w:p>
      <w:pPr>
        <w:spacing w:line="560" w:lineRule="exact"/>
        <w:rPr>
          <w:rFonts w:hint="eastAsia" w:ascii="Times New Roman" w:hAnsi="Times New Roman" w:eastAsia="黑体" w:cs="Times New Roman"/>
          <w:bCs/>
          <w:color w:val="auto"/>
          <w:sz w:val="32"/>
          <w:szCs w:val="32"/>
          <w:highlight w:val="none"/>
          <w:lang w:val="en-US" w:eastAsia="zh-CN"/>
        </w:rPr>
      </w:pPr>
      <w:bookmarkStart w:id="15" w:name="_Toc68703842"/>
      <w:r>
        <w:rPr>
          <w:rFonts w:hint="eastAsia" w:eastAsia="黑体" w:cs="Times New Roman"/>
          <w:bCs/>
          <w:color w:val="auto"/>
          <w:sz w:val="32"/>
          <w:szCs w:val="32"/>
          <w:highlight w:val="none"/>
          <w:lang w:val="en-US" w:eastAsia="zh-CN"/>
        </w:rPr>
        <w:t>六</w:t>
      </w:r>
      <w:r>
        <w:rPr>
          <w:rFonts w:hint="eastAsia" w:ascii="Times New Roman" w:hAnsi="Times New Roman" w:eastAsia="黑体" w:cs="Times New Roman"/>
          <w:bCs/>
          <w:color w:val="auto"/>
          <w:sz w:val="32"/>
          <w:szCs w:val="32"/>
          <w:highlight w:val="none"/>
          <w:lang w:val="en-US" w:eastAsia="zh-CN"/>
        </w:rPr>
        <w:t>、主要经验及做法、存在的问题及原因分析</w:t>
      </w:r>
      <w:bookmarkEnd w:id="15"/>
    </w:p>
    <w:p>
      <w:pPr>
        <w:spacing w:line="560" w:lineRule="exact"/>
        <w:rPr>
          <w:rFonts w:hint="eastAsia" w:ascii="Times New Roman" w:hAnsi="Times New Roman" w:eastAsia="楷体_GB2312" w:cs="Times New Roman"/>
          <w:b/>
          <w:bCs/>
          <w:color w:val="auto"/>
          <w:kern w:val="2"/>
          <w:sz w:val="32"/>
          <w:szCs w:val="32"/>
          <w:highlight w:val="none"/>
          <w:lang w:val="en-US" w:eastAsia="zh-CN" w:bidi="ar-SA"/>
        </w:rPr>
      </w:pPr>
      <w:bookmarkStart w:id="16" w:name="_Toc68703843"/>
      <w:r>
        <w:rPr>
          <w:rFonts w:hint="eastAsia" w:ascii="Times New Roman" w:hAnsi="Times New Roman" w:eastAsia="楷体_GB2312" w:cs="Times New Roman"/>
          <w:b/>
          <w:bCs/>
          <w:color w:val="auto"/>
          <w:kern w:val="2"/>
          <w:sz w:val="32"/>
          <w:szCs w:val="32"/>
          <w:highlight w:val="none"/>
          <w:lang w:val="en-US" w:eastAsia="zh-CN" w:bidi="ar-SA"/>
        </w:rPr>
        <w:t>（一）主要经验及做法</w:t>
      </w:r>
      <w:bookmarkEnd w:id="16"/>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spacing w:before="0" w:after="0" w:line="560" w:lineRule="exact"/>
        <w:ind w:firstLine="640" w:firstLineChars="200"/>
        <w:jc w:val="left"/>
        <w:rPr>
          <w:color w:val="auto"/>
          <w:highlight w:val="none"/>
        </w:rPr>
      </w:pPr>
      <w:r>
        <w:rPr>
          <w:rFonts w:ascii="Times New Roman" w:hAnsi="Times New Roman" w:eastAsia="仿宋_GB2312"/>
          <w:b w:val="0"/>
          <w:bCs w:val="0"/>
          <w:color w:val="auto"/>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color w:val="auto"/>
          <w:kern w:val="2"/>
          <w:sz w:val="32"/>
          <w:szCs w:val="32"/>
          <w:highlight w:val="none"/>
          <w:lang w:val="en-US" w:eastAsia="zh-CN" w:bidi="ar-SA"/>
        </w:rPr>
      </w:pPr>
      <w:bookmarkStart w:id="17" w:name="_Toc68703844"/>
      <w:r>
        <w:rPr>
          <w:rFonts w:hint="eastAsia" w:ascii="Times New Roman" w:hAnsi="Times New Roman" w:eastAsia="楷体_GB2312" w:cs="Times New Roman"/>
          <w:b/>
          <w:bCs/>
          <w:color w:val="auto"/>
          <w:kern w:val="2"/>
          <w:sz w:val="32"/>
          <w:szCs w:val="32"/>
          <w:highlight w:val="none"/>
          <w:lang w:val="en-US" w:eastAsia="zh-CN" w:bidi="ar-SA"/>
        </w:rPr>
        <w:t>（二）存在的问题及原因分析</w:t>
      </w:r>
      <w:bookmarkEnd w:id="17"/>
      <w:r>
        <w:rPr>
          <w:rFonts w:hint="eastAsia" w:ascii="Times New Roman" w:hAnsi="Times New Roman" w:eastAsia="楷体_GB2312" w:cs="Times New Roman"/>
          <w:b/>
          <w:bCs/>
          <w:color w:val="auto"/>
          <w:kern w:val="2"/>
          <w:sz w:val="32"/>
          <w:szCs w:val="32"/>
          <w:highlight w:val="none"/>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outlineLvl w:val="9"/>
        <w:rPr>
          <w:rFonts w:hint="eastAsia" w:ascii="Times New Roman" w:hAnsi="Times New Roman" w:eastAsia="仿宋_GB2312" w:cs="Times New Roman"/>
          <w:b w:val="0"/>
          <w:bCs w:val="0"/>
          <w:color w:val="auto"/>
          <w:kern w:val="2"/>
          <w:sz w:val="32"/>
          <w:szCs w:val="32"/>
          <w:highlight w:val="none"/>
          <w:lang w:val="en-US" w:eastAsia="zh-CN" w:bidi="ar-SA"/>
        </w:rPr>
      </w:pPr>
      <w:bookmarkStart w:id="18" w:name="_Toc68703845"/>
      <w:r>
        <w:rPr>
          <w:rFonts w:hint="eastAsia" w:eastAsia="黑体" w:cs="Times New Roman"/>
          <w:b w:val="0"/>
          <w:bCs/>
          <w:color w:val="auto"/>
          <w:kern w:val="2"/>
          <w:sz w:val="32"/>
          <w:szCs w:val="32"/>
          <w:highlight w:val="none"/>
          <w:lang w:val="en-US" w:eastAsia="zh-CN" w:bidi="ar-SA"/>
        </w:rPr>
        <w:t>七</w:t>
      </w:r>
      <w:r>
        <w:rPr>
          <w:rFonts w:hint="eastAsia" w:ascii="Times New Roman" w:hAnsi="Times New Roman" w:eastAsia="黑体" w:cs="Times New Roman"/>
          <w:b w:val="0"/>
          <w:bCs/>
          <w:color w:val="auto"/>
          <w:kern w:val="2"/>
          <w:sz w:val="32"/>
          <w:szCs w:val="32"/>
          <w:highlight w:val="none"/>
          <w:lang w:val="en-US" w:eastAsia="zh-CN" w:bidi="ar-SA"/>
        </w:rPr>
        <w:t>、有关建议</w:t>
      </w:r>
      <w:bookmarkEnd w:id="18"/>
      <w:r>
        <w:rPr>
          <w:rFonts w:hint="eastAsia" w:ascii="Times New Roman" w:hAnsi="Times New Roman" w:eastAsia="黑体" w:cs="Times New Roman"/>
          <w:b w:val="0"/>
          <w:bCs/>
          <w:color w:val="auto"/>
          <w:kern w:val="2"/>
          <w:sz w:val="32"/>
          <w:szCs w:val="32"/>
          <w:highlight w:val="none"/>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2.专门设定对绩效工作人员定职、定岗、定责等相关制度措施，进一步提升我单位绩效管理工作业务水平，扎实做好绩效管理工作。</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outlineLvl w:val="9"/>
        <w:rPr>
          <w:rFonts w:hint="eastAsia" w:eastAsia="黑体" w:cs="Times New Roman"/>
          <w:b w:val="0"/>
          <w:bCs/>
          <w:color w:val="auto"/>
          <w:kern w:val="2"/>
          <w:sz w:val="32"/>
          <w:szCs w:val="32"/>
          <w:highlight w:val="none"/>
          <w:lang w:val="en-US" w:eastAsia="zh-CN" w:bidi="ar-SA"/>
        </w:rPr>
      </w:pPr>
      <w:bookmarkStart w:id="19" w:name="_Toc68703846"/>
      <w:r>
        <w:rPr>
          <w:rFonts w:hint="eastAsia" w:eastAsia="黑体" w:cs="Times New Roman"/>
          <w:b w:val="0"/>
          <w:bCs/>
          <w:color w:val="auto"/>
          <w:kern w:val="2"/>
          <w:sz w:val="32"/>
          <w:szCs w:val="32"/>
          <w:highlight w:val="none"/>
          <w:lang w:val="en-US" w:eastAsia="zh-CN" w:bidi="ar-SA"/>
        </w:rPr>
        <w:t>八、其他需要说明的问题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auto"/>
          <w:sz w:val="32"/>
          <w:szCs w:val="32"/>
          <w:highlight w:val="none"/>
        </w:rPr>
      </w:pPr>
      <w:r>
        <w:rPr>
          <w:rFonts w:hint="eastAsia" w:ascii="仿宋_GB2312" w:hAnsi="仿宋_GB2312" w:cs="仿宋_GB2312"/>
          <w:color w:val="auto"/>
          <w:sz w:val="32"/>
          <w:szCs w:val="32"/>
          <w:highlight w:val="none"/>
          <w:lang w:eastAsia="zh-CN"/>
        </w:rPr>
        <w:t>　</w:t>
      </w:r>
      <w:r>
        <w:rPr>
          <w:rFonts w:hint="eastAsia" w:ascii="仿宋_GB2312" w:hAnsi="仿宋_GB2312" w:eastAsia="仿宋_GB2312" w:cs="仿宋_GB2312"/>
          <w:color w:val="auto"/>
          <w:sz w:val="32"/>
          <w:szCs w:val="32"/>
          <w:highlight w:val="none"/>
          <w:lang w:eastAsia="zh-Hans"/>
        </w:rPr>
        <w:t>本项目无其他需说明的问题</w:t>
      </w:r>
      <w:r>
        <w:rPr>
          <w:rFonts w:hint="eastAsia" w:ascii="仿宋_GB2312" w:hAnsi="仿宋_GB2312" w:cs="仿宋_GB2312"/>
          <w:color w:val="auto"/>
          <w:sz w:val="32"/>
          <w:szCs w:val="32"/>
          <w:highlight w:val="none"/>
          <w:lang w:eastAsia="zh-CN"/>
        </w:rPr>
        <w:t>。</w:t>
      </w:r>
    </w:p>
    <w:p>
      <w:pPr>
        <w:pStyle w:val="10"/>
        <w:jc w:val="both"/>
        <w:rPr>
          <w:color w:val="auto"/>
          <w:highlight w:val="none"/>
        </w:rPr>
      </w:pPr>
      <w:bookmarkStart w:id="22" w:name="_GoBack"/>
      <w:bookmarkEnd w:id="22"/>
    </w:p>
    <w:tbl>
      <w:tblPr>
        <w:tblStyle w:val="11"/>
        <w:tblW w:w="8834" w:type="dxa"/>
        <w:tblInd w:w="0" w:type="dxa"/>
        <w:tblLayout w:type="fixed"/>
        <w:tblCellMar>
          <w:top w:w="0" w:type="dxa"/>
          <w:left w:w="0" w:type="dxa"/>
          <w:bottom w:w="0" w:type="dxa"/>
          <w:right w:w="0" w:type="dxa"/>
        </w:tblCellMar>
      </w:tblPr>
      <w:tblGrid>
        <w:gridCol w:w="695"/>
        <w:gridCol w:w="695"/>
        <w:gridCol w:w="694"/>
        <w:gridCol w:w="695"/>
        <w:gridCol w:w="647"/>
        <w:gridCol w:w="405"/>
        <w:gridCol w:w="967"/>
        <w:gridCol w:w="859"/>
        <w:gridCol w:w="560"/>
        <w:gridCol w:w="502"/>
        <w:gridCol w:w="570"/>
        <w:gridCol w:w="395"/>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color w:val="auto"/>
                <w:sz w:val="32"/>
                <w:szCs w:val="32"/>
                <w:highlight w:val="none"/>
                <w:u w:val="singl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项目名称</w:t>
            </w:r>
          </w:p>
        </w:tc>
        <w:tc>
          <w:tcPr>
            <w:tcW w:w="7444"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社区运转及服务群众支出项目</w:t>
            </w:r>
          </w:p>
        </w:tc>
      </w:tr>
      <w:tr>
        <w:tblPrEx>
          <w:tblLayout w:type="fixed"/>
          <w:tblCellMar>
            <w:top w:w="0" w:type="dxa"/>
            <w:left w:w="0" w:type="dxa"/>
            <w:bottom w:w="0" w:type="dxa"/>
            <w:right w:w="0" w:type="dxa"/>
          </w:tblCellMar>
        </w:tblPrEx>
        <w:trPr>
          <w:trHeight w:val="276" w:hRule="atLeast"/>
        </w:trPr>
        <w:tc>
          <w:tcPr>
            <w:tcW w:w="139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主管部门</w:t>
            </w:r>
          </w:p>
        </w:tc>
        <w:tc>
          <w:tcPr>
            <w:tcW w:w="340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霍尔果斯市亚欧东路街道办事处</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霍尔果斯市亚欧东路街道办事处</w:t>
            </w:r>
          </w:p>
        </w:tc>
      </w:tr>
      <w:tr>
        <w:tblPrEx>
          <w:tblLayout w:type="fixed"/>
          <w:tblCellMar>
            <w:top w:w="0" w:type="dxa"/>
            <w:left w:w="0" w:type="dxa"/>
            <w:bottom w:w="0" w:type="dxa"/>
            <w:right w:w="0" w:type="dxa"/>
          </w:tblCellMar>
        </w:tblPrEx>
        <w:trPr>
          <w:trHeight w:val="276" w:hRule="atLeast"/>
        </w:trPr>
        <w:tc>
          <w:tcPr>
            <w:tcW w:w="13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全年执行数</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分值</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年度资金总额</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bidi="ar"/>
              </w:rPr>
            </w:pPr>
            <w:r>
              <w:rPr>
                <w:rFonts w:hint="eastAsia" w:ascii="宋体" w:hAnsi="宋体" w:eastAsia="宋体" w:cs="宋体"/>
                <w:i w:val="0"/>
                <w:iCs w:val="0"/>
                <w:color w:val="000000"/>
                <w:kern w:val="0"/>
                <w:sz w:val="20"/>
                <w:szCs w:val="20"/>
                <w:u w:val="none"/>
                <w:lang w:val="en-US" w:eastAsia="zh-CN" w:bidi="ar"/>
              </w:rPr>
              <w:t>35.00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bidi="ar"/>
              </w:rPr>
            </w:pPr>
            <w:r>
              <w:rPr>
                <w:rFonts w:hint="eastAsia" w:ascii="宋体" w:hAnsi="宋体" w:eastAsia="宋体" w:cs="宋体"/>
                <w:i w:val="0"/>
                <w:iCs w:val="0"/>
                <w:color w:val="000000"/>
                <w:kern w:val="0"/>
                <w:sz w:val="20"/>
                <w:szCs w:val="20"/>
                <w:u w:val="none"/>
                <w:lang w:val="en-US" w:eastAsia="zh-CN" w:bidi="ar"/>
              </w:rPr>
              <w:t>35.00</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10</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10.00分</w:t>
            </w:r>
          </w:p>
        </w:tc>
      </w:tr>
      <w:tr>
        <w:tblPrEx>
          <w:tblLayout w:type="fixed"/>
          <w:tblCellMar>
            <w:top w:w="0" w:type="dxa"/>
            <w:left w:w="0" w:type="dxa"/>
            <w:bottom w:w="0" w:type="dxa"/>
            <w:right w:w="0" w:type="dxa"/>
          </w:tblCellMar>
        </w:tblPrEx>
        <w:trPr>
          <w:trHeight w:val="638"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其中：当年财政拨款</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bidi="ar"/>
              </w:rPr>
            </w:pPr>
            <w:r>
              <w:rPr>
                <w:rFonts w:hint="eastAsia" w:ascii="宋体" w:hAnsi="宋体" w:eastAsia="宋体" w:cs="宋体"/>
                <w:i w:val="0"/>
                <w:iCs w:val="0"/>
                <w:color w:val="000000"/>
                <w:kern w:val="0"/>
                <w:sz w:val="20"/>
                <w:szCs w:val="20"/>
                <w:u w:val="none"/>
                <w:lang w:val="en-US" w:eastAsia="zh-CN" w:bidi="ar"/>
              </w:rPr>
              <w:t>35</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35</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35</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3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64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w:t>
            </w:r>
          </w:p>
        </w:tc>
        <w:tc>
          <w:tcPr>
            <w:tcW w:w="84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 xml:space="preserve">根据根据《关于聚焦社会稳定和长治久安总目标加强自治州城市基层党建工作的实施意见》文件要求，                                                                     目标1：通过开展亚欧东路街道服务群众工作、做好辖区内常住和流动人口的管理工作。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目标2：保障亚欧东路街道办事处所属社区的正常运转，发挥社区的职能作用。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目标3：开展活动、技能培训班等，提高辖区社区为人民群众服务的工作质量和效率，让群众了解社区、提高群众满意度。</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1.对社区生活环境进行治理，改善居民生活环境、提高居民生活质量，街道精心设计载体，采取群众喜闻乐见的形式深入社区、深入流动人口家庭，并在辖区流动人口居住集中地段适时开展宣传咨询、健康教育讲座等活动，努力使有关流动人口的政策法规和服务信息家喻户晓。2.进一步加强基层干部队伍建设，以及保障社区管理和基层党组织管理工作正常运行发挥了重要作用，以党建引领社区，充分发挥社区职能，促进网格、职责、队伍、平台、工作流程、数据资源融合，构建全域覆盖、全网整合、规范高效、常态运行的网格化管理服务体系。3.街道2023年开展民族团结活动、计划生育生育活动、慰问困难群众活动、就业培训、八一建军节、七一红歌、六一儿童节、端午节活动、春节活动、教师节活动等，进一步增强辖区居民彼此之间的亲情感、归属感，激发他们学习、工作和生活的热情；本辖区基层建设社区管理支出经费项目进行预算申报，我街道基层组织经费项目包括社区运转经费、社区服务群众经费两项工作经费共计35万元</w:t>
            </w:r>
          </w:p>
        </w:tc>
      </w:tr>
      <w:tr>
        <w:tblPrEx>
          <w:tblLayout w:type="fixed"/>
          <w:tblCellMar>
            <w:top w:w="0" w:type="dxa"/>
            <w:left w:w="0" w:type="dxa"/>
            <w:bottom w:w="0" w:type="dxa"/>
            <w:right w:w="0" w:type="dxa"/>
          </w:tblCellMar>
        </w:tblPrEx>
        <w:trPr>
          <w:trHeight w:val="1172"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一级指标</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二级指标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实际完成值</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分值</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iCs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产出指标</w:t>
            </w:r>
          </w:p>
        </w:tc>
        <w:tc>
          <w:tcPr>
            <w:tcW w:w="694"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开展各项文艺活动次数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&gt;=10次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10次</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4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kern w:val="0"/>
                <w:sz w:val="20"/>
                <w:szCs w:val="20"/>
                <w:highlight w:val="none"/>
                <w:u w:val="none"/>
                <w:lang w:val="en-US" w:eastAsia="zh-CN"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kern w:val="0"/>
                <w:sz w:val="20"/>
                <w:szCs w:val="20"/>
                <w:highlight w:val="none"/>
                <w:u w:val="none"/>
                <w:lang w:val="en-US" w:eastAsia="zh-CN" w:bidi="ar"/>
              </w:rPr>
            </w:pPr>
          </w:p>
        </w:tc>
        <w:tc>
          <w:tcPr>
            <w:tcW w:w="694"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参与文艺活动人数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&gt;=20人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20人</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4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kern w:val="0"/>
                <w:sz w:val="20"/>
                <w:szCs w:val="20"/>
                <w:highlight w:val="none"/>
                <w:u w:val="none"/>
                <w:lang w:val="en-US" w:eastAsia="zh-CN"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kern w:val="0"/>
                <w:sz w:val="20"/>
                <w:szCs w:val="20"/>
                <w:highlight w:val="none"/>
                <w:u w:val="none"/>
                <w:lang w:val="en-US" w:eastAsia="zh-CN" w:bidi="ar"/>
              </w:rPr>
            </w:pPr>
          </w:p>
        </w:tc>
        <w:tc>
          <w:tcPr>
            <w:tcW w:w="694"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开展技能培训次数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&gt;=7次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7次</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4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kern w:val="0"/>
                <w:sz w:val="20"/>
                <w:szCs w:val="20"/>
                <w:highlight w:val="none"/>
                <w:u w:val="none"/>
                <w:lang w:val="en-US" w:eastAsia="zh-CN"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kern w:val="0"/>
                <w:sz w:val="20"/>
                <w:szCs w:val="20"/>
                <w:highlight w:val="none"/>
                <w:u w:val="none"/>
                <w:lang w:val="en-US" w:eastAsia="zh-CN" w:bidi="ar"/>
              </w:rPr>
            </w:pPr>
          </w:p>
        </w:tc>
        <w:tc>
          <w:tcPr>
            <w:tcW w:w="694"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参与技能培训人数</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&gt;=15人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15人</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4"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质量指标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技能培训出勤率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培训全员参加，出勤率为100%</w:t>
            </w: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4"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开展活动的参与率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活动全员参加，出勤率为100%</w:t>
            </w: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5"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4"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时效指标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活动按时开展率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活动全员参加，出勤率为100%</w:t>
            </w: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5"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4"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时效指标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培训按期举办率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培训全员参加，出勤率为100%</w:t>
            </w: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5" w:type="dxa"/>
            <w:vMerge w:val="restart"/>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成本指标</w:t>
            </w:r>
          </w:p>
        </w:tc>
        <w:tc>
          <w:tcPr>
            <w:tcW w:w="694" w:type="dxa"/>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经济成本指标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社区运转经费</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&lt;=20万元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20万元</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auto"/>
                <w:kern w:val="0"/>
                <w:sz w:val="20"/>
                <w:szCs w:val="20"/>
                <w:highlight w:val="none"/>
                <w:u w:val="none"/>
                <w:lang w:val="en-US" w:eastAsia="zh-CN" w:bidi="ar"/>
              </w:rPr>
            </w:pPr>
          </w:p>
        </w:tc>
        <w:tc>
          <w:tcPr>
            <w:tcW w:w="694" w:type="dxa"/>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经济成本指标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服务群众经费</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&lt;=15万元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15万元</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5"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效益指标</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提高干部服务群众工作效率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有效提高</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有效提高</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20</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5" w:type="dxa"/>
            <w:vMerge w:val="restart"/>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满意度指标</w:t>
            </w: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满意度指标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参加活动人员满意度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项目按时圆满完成满意度为100%</w:t>
            </w:r>
          </w:p>
        </w:tc>
      </w:tr>
      <w:tr>
        <w:tblPrEx>
          <w:tblLayout w:type="fixed"/>
          <w:tblCellMar>
            <w:top w:w="0" w:type="dxa"/>
            <w:left w:w="0" w:type="dxa"/>
            <w:bottom w:w="0" w:type="dxa"/>
            <w:right w:w="0" w:type="dxa"/>
          </w:tblCellMar>
        </w:tblPrEx>
        <w:trPr>
          <w:trHeight w:val="432"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满意度指标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受益干部满意度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0"/>
                <w:sz w:val="18"/>
                <w:szCs w:val="18"/>
                <w:highlight w:val="none"/>
                <w:lang w:eastAsia="zh-CN"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auto"/>
                <w:kern w:val="0"/>
                <w:sz w:val="18"/>
                <w:szCs w:val="18"/>
                <w:highlight w:val="none"/>
                <w:lang w:eastAsia="zh-CN"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96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eastAsia="宋体" w:cs="Times New Roman"/>
                <w:color w:val="auto"/>
                <w:kern w:val="0"/>
                <w:sz w:val="18"/>
                <w:szCs w:val="18"/>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iCs w:val="0"/>
                <w:color w:val="000000"/>
                <w:kern w:val="0"/>
                <w:sz w:val="20"/>
                <w:szCs w:val="20"/>
                <w:u w:val="none"/>
                <w:lang w:val="en-US" w:eastAsia="zh-CN" w:bidi="ar"/>
              </w:rPr>
              <w:t>项目按时圆满完成满意度为100%</w:t>
            </w:r>
          </w:p>
        </w:tc>
      </w:tr>
    </w:tbl>
    <w:p>
      <w:pPr>
        <w:spacing w:line="600" w:lineRule="exact"/>
        <w:rPr>
          <w:rFonts w:hint="eastAsia" w:ascii="黑体" w:hAnsi="黑体" w:eastAsia="黑体" w:cs="黑体"/>
          <w:bCs/>
          <w:color w:val="auto"/>
          <w:sz w:val="32"/>
          <w:szCs w:val="32"/>
          <w:highlight w:val="none"/>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color w:val="auto"/>
          <w:sz w:val="28"/>
          <w:szCs w:val="40"/>
          <w:highlight w:val="none"/>
        </w:rPr>
      </w:pPr>
      <w:bookmarkStart w:id="20" w:name="_Toc30064_WPSOffice_Level1"/>
      <w:bookmarkStart w:id="21" w:name="_Toc26499_WPSOffice_Level2"/>
      <w:r>
        <w:rPr>
          <w:rFonts w:hint="eastAsia"/>
          <w:b/>
          <w:bCs/>
          <w:color w:val="auto"/>
          <w:sz w:val="28"/>
          <w:szCs w:val="40"/>
          <w:highlight w:val="none"/>
          <w:lang w:val="en-US" w:eastAsia="zh-CN"/>
        </w:rPr>
        <w:t>社区运转经费及服务群众经费</w:t>
      </w:r>
      <w:r>
        <w:rPr>
          <w:rFonts w:hint="eastAsia"/>
          <w:b/>
          <w:bCs/>
          <w:color w:val="auto"/>
          <w:sz w:val="28"/>
          <w:szCs w:val="40"/>
          <w:highlight w:val="none"/>
        </w:rPr>
        <w:t>项目绩效评价指标体系及综合评分表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一级指标</w:t>
            </w:r>
          </w:p>
        </w:tc>
        <w:tc>
          <w:tcPr>
            <w:tcW w:w="764"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87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235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指标解释</w:t>
            </w:r>
          </w:p>
        </w:tc>
        <w:tc>
          <w:tcPr>
            <w:tcW w:w="5198"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指标说明</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136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r>
              <w:rPr>
                <w:color w:val="auto"/>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立项依据</w:t>
            </w:r>
          </w:p>
          <w:p>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①项目立项是否符合国家法律法规、国民经济发展规划和相关政策；</w:t>
            </w:r>
            <w:r>
              <w:rPr>
                <w:color w:val="auto"/>
                <w:kern w:val="0"/>
                <w:sz w:val="22"/>
                <w:szCs w:val="22"/>
                <w:highlight w:val="none"/>
              </w:rPr>
              <w:br w:type="textWrapping"/>
            </w:r>
            <w:r>
              <w:rPr>
                <w:color w:val="auto"/>
                <w:kern w:val="0"/>
                <w:sz w:val="22"/>
                <w:szCs w:val="22"/>
                <w:highlight w:val="none"/>
              </w:rPr>
              <w:t>②项目立项是否符合行业发展规划和政策要求；</w:t>
            </w:r>
            <w:r>
              <w:rPr>
                <w:color w:val="auto"/>
                <w:kern w:val="0"/>
                <w:sz w:val="22"/>
                <w:szCs w:val="22"/>
                <w:highlight w:val="none"/>
              </w:rPr>
              <w:br w:type="textWrapping"/>
            </w:r>
            <w:r>
              <w:rPr>
                <w:color w:val="auto"/>
                <w:kern w:val="0"/>
                <w:sz w:val="22"/>
                <w:szCs w:val="22"/>
                <w:highlight w:val="none"/>
              </w:rPr>
              <w:t>③项目立项是否与部门职责范围相符，属于部门履职所需；</w:t>
            </w:r>
            <w:r>
              <w:rPr>
                <w:color w:val="auto"/>
                <w:kern w:val="0"/>
                <w:sz w:val="22"/>
                <w:szCs w:val="22"/>
                <w:highlight w:val="none"/>
              </w:rPr>
              <w:br w:type="textWrapping"/>
            </w:r>
            <w:r>
              <w:rPr>
                <w:color w:val="auto"/>
                <w:kern w:val="0"/>
                <w:sz w:val="22"/>
                <w:szCs w:val="22"/>
                <w:highlight w:val="none"/>
              </w:rPr>
              <w:t>④项目是否属于公共财政支持范围，是否符合中央、地方事权支出责任划分原则；</w:t>
            </w:r>
            <w:r>
              <w:rPr>
                <w:color w:val="auto"/>
                <w:kern w:val="0"/>
                <w:sz w:val="22"/>
                <w:szCs w:val="22"/>
                <w:highlight w:val="none"/>
              </w:rPr>
              <w:br w:type="textWrapping"/>
            </w:r>
            <w:r>
              <w:rPr>
                <w:color w:val="auto"/>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立项程序</w:t>
            </w:r>
          </w:p>
          <w:p>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①项目是否按照规定的程序申请设立；</w:t>
            </w:r>
            <w:r>
              <w:rPr>
                <w:color w:val="auto"/>
                <w:kern w:val="0"/>
                <w:sz w:val="22"/>
                <w:szCs w:val="22"/>
                <w:highlight w:val="none"/>
              </w:rPr>
              <w:br w:type="textWrapping"/>
            </w:r>
            <w:r>
              <w:rPr>
                <w:color w:val="auto"/>
                <w:kern w:val="0"/>
                <w:sz w:val="22"/>
                <w:szCs w:val="22"/>
                <w:highlight w:val="none"/>
              </w:rPr>
              <w:t>②审批文件、材料是否符合相关要求；</w:t>
            </w:r>
            <w:r>
              <w:rPr>
                <w:color w:val="auto"/>
                <w:kern w:val="0"/>
                <w:sz w:val="22"/>
                <w:szCs w:val="22"/>
                <w:highlight w:val="none"/>
              </w:rPr>
              <w:br w:type="textWrapping"/>
            </w:r>
            <w:r>
              <w:rPr>
                <w:color w:val="auto"/>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（如未设定预算绩效目标，也可考核其他工作任务目标）</w:t>
            </w:r>
            <w:r>
              <w:rPr>
                <w:color w:val="auto"/>
                <w:kern w:val="0"/>
                <w:sz w:val="22"/>
                <w:szCs w:val="22"/>
                <w:highlight w:val="none"/>
              </w:rPr>
              <w:br w:type="textWrapping"/>
            </w:r>
            <w:r>
              <w:rPr>
                <w:color w:val="auto"/>
                <w:kern w:val="0"/>
                <w:sz w:val="22"/>
                <w:szCs w:val="22"/>
                <w:highlight w:val="none"/>
              </w:rPr>
              <w:t>①项目是否有绩效目标；</w:t>
            </w:r>
            <w:r>
              <w:rPr>
                <w:color w:val="auto"/>
                <w:kern w:val="0"/>
                <w:sz w:val="22"/>
                <w:szCs w:val="22"/>
                <w:highlight w:val="none"/>
              </w:rPr>
              <w:br w:type="textWrapping"/>
            </w:r>
            <w:r>
              <w:rPr>
                <w:color w:val="auto"/>
                <w:kern w:val="0"/>
                <w:sz w:val="22"/>
                <w:szCs w:val="22"/>
                <w:highlight w:val="none"/>
              </w:rPr>
              <w:t>②项目绩效目标与实际工作内容是否具有相关性；</w:t>
            </w:r>
            <w:r>
              <w:rPr>
                <w:color w:val="auto"/>
                <w:kern w:val="0"/>
                <w:sz w:val="22"/>
                <w:szCs w:val="22"/>
                <w:highlight w:val="none"/>
              </w:rPr>
              <w:br w:type="textWrapping"/>
            </w:r>
            <w:r>
              <w:rPr>
                <w:color w:val="auto"/>
                <w:kern w:val="0"/>
                <w:sz w:val="22"/>
                <w:szCs w:val="22"/>
                <w:highlight w:val="none"/>
              </w:rPr>
              <w:t>③项目预期产出效益和效果是否符合正常的业绩水平；</w:t>
            </w:r>
          </w:p>
          <w:p>
            <w:pPr>
              <w:widowControl/>
              <w:spacing w:line="0" w:lineRule="atLeast"/>
              <w:jc w:val="left"/>
              <w:rPr>
                <w:color w:val="auto"/>
                <w:kern w:val="0"/>
                <w:sz w:val="22"/>
                <w:szCs w:val="22"/>
                <w:highlight w:val="none"/>
              </w:rPr>
            </w:pPr>
            <w:r>
              <w:rPr>
                <w:color w:val="auto"/>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绩效指标</w:t>
            </w:r>
          </w:p>
          <w:p>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①是否将项目绩效目标细化分解为具体的绩效指标；</w:t>
            </w:r>
            <w:r>
              <w:rPr>
                <w:color w:val="auto"/>
                <w:kern w:val="0"/>
                <w:sz w:val="22"/>
                <w:szCs w:val="22"/>
                <w:highlight w:val="none"/>
              </w:rPr>
              <w:br w:type="textWrapping"/>
            </w:r>
            <w:r>
              <w:rPr>
                <w:color w:val="auto"/>
                <w:kern w:val="0"/>
                <w:sz w:val="22"/>
                <w:szCs w:val="22"/>
                <w:highlight w:val="none"/>
              </w:rPr>
              <w:t>②是否通过清晰、可衡量的指标值予以体现；</w:t>
            </w:r>
            <w:r>
              <w:rPr>
                <w:color w:val="auto"/>
                <w:kern w:val="0"/>
                <w:sz w:val="22"/>
                <w:szCs w:val="22"/>
                <w:highlight w:val="none"/>
              </w:rPr>
              <w:br w:type="textWrapping"/>
            </w:r>
            <w:r>
              <w:rPr>
                <w:color w:val="auto"/>
                <w:kern w:val="0"/>
                <w:sz w:val="22"/>
                <w:szCs w:val="22"/>
                <w:highlight w:val="none"/>
              </w:rPr>
              <w:t>③是否与项目目标任务数或计划数相对应。</w:t>
            </w:r>
            <w:r>
              <w:rPr>
                <w:color w:val="auto"/>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资金投入</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预算编制</w:t>
            </w:r>
          </w:p>
          <w:p>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①预算编制是否经过科学论证；</w:t>
            </w:r>
            <w:r>
              <w:rPr>
                <w:color w:val="auto"/>
                <w:kern w:val="0"/>
                <w:sz w:val="22"/>
                <w:szCs w:val="22"/>
                <w:highlight w:val="none"/>
              </w:rPr>
              <w:br w:type="textWrapping"/>
            </w:r>
            <w:r>
              <w:rPr>
                <w:color w:val="auto"/>
                <w:kern w:val="0"/>
                <w:sz w:val="22"/>
                <w:szCs w:val="22"/>
                <w:highlight w:val="none"/>
              </w:rPr>
              <w:t>②预算内容与项目内容是否匹配；</w:t>
            </w:r>
            <w:r>
              <w:rPr>
                <w:color w:val="auto"/>
                <w:kern w:val="0"/>
                <w:sz w:val="22"/>
                <w:szCs w:val="22"/>
                <w:highlight w:val="none"/>
              </w:rPr>
              <w:br w:type="textWrapping"/>
            </w:r>
            <w:r>
              <w:rPr>
                <w:color w:val="auto"/>
                <w:kern w:val="0"/>
                <w:sz w:val="22"/>
                <w:szCs w:val="22"/>
                <w:highlight w:val="none"/>
              </w:rPr>
              <w:t>③预算额度测算依据是否充分，是否按照标准编制；</w:t>
            </w:r>
            <w:r>
              <w:rPr>
                <w:color w:val="auto"/>
                <w:kern w:val="0"/>
                <w:sz w:val="22"/>
                <w:szCs w:val="22"/>
                <w:highlight w:val="none"/>
              </w:rPr>
              <w:br w:type="textWrapping"/>
            </w:r>
            <w:r>
              <w:rPr>
                <w:color w:val="auto"/>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资金分配</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①预算资金分配依据是否充分；</w:t>
            </w:r>
            <w:r>
              <w:rPr>
                <w:color w:val="auto"/>
                <w:kern w:val="0"/>
                <w:sz w:val="22"/>
                <w:szCs w:val="22"/>
                <w:highlight w:val="none"/>
              </w:rPr>
              <w:br w:type="textWrapping"/>
            </w:r>
            <w:r>
              <w:rPr>
                <w:color w:val="auto"/>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r>
              <w:rPr>
                <w:color w:val="auto"/>
                <w:kern w:val="0"/>
                <w:sz w:val="22"/>
                <w:szCs w:val="22"/>
                <w:highlight w:val="none"/>
              </w:rPr>
              <w:t>过程</w:t>
            </w:r>
          </w:p>
          <w:p>
            <w:pPr>
              <w:widowControl/>
              <w:spacing w:line="0" w:lineRule="atLeast"/>
              <w:jc w:val="center"/>
              <w:rPr>
                <w:color w:val="auto"/>
                <w:kern w:val="0"/>
                <w:sz w:val="22"/>
                <w:szCs w:val="22"/>
                <w:highlight w:val="none"/>
              </w:rPr>
            </w:pPr>
            <w:r>
              <w:rPr>
                <w:color w:val="auto"/>
                <w:kern w:val="0"/>
                <w:sz w:val="22"/>
                <w:szCs w:val="22"/>
                <w:highlight w:val="none"/>
              </w:rPr>
              <w:t>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资金到位率=（实际到位资金/预算资金）×100%。</w:t>
            </w:r>
          </w:p>
          <w:p>
            <w:pPr>
              <w:widowControl/>
              <w:spacing w:line="0" w:lineRule="atLeast"/>
              <w:rPr>
                <w:color w:val="auto"/>
                <w:kern w:val="0"/>
                <w:sz w:val="22"/>
                <w:szCs w:val="22"/>
                <w:highlight w:val="none"/>
              </w:rPr>
            </w:pPr>
            <w:r>
              <w:rPr>
                <w:color w:val="auto"/>
                <w:kern w:val="0"/>
                <w:sz w:val="22"/>
                <w:szCs w:val="22"/>
                <w:highlight w:val="none"/>
              </w:rPr>
              <w:t>实际到位资金：一定时期（本年度或项目期）内落实到具体项目的资金。</w:t>
            </w:r>
          </w:p>
          <w:p>
            <w:pPr>
              <w:widowControl/>
              <w:spacing w:line="0" w:lineRule="atLeast"/>
              <w:rPr>
                <w:color w:val="auto"/>
                <w:kern w:val="0"/>
                <w:sz w:val="22"/>
                <w:szCs w:val="22"/>
                <w:highlight w:val="none"/>
              </w:rPr>
            </w:pPr>
            <w:r>
              <w:rPr>
                <w:color w:val="auto"/>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continue"/>
            <w:shd w:val="clear" w:color="auto" w:fill="FFFFFF"/>
            <w:vAlign w:val="center"/>
          </w:tcPr>
          <w:p>
            <w:pPr>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预算执行率=（实际支出资金/实际到位资金）×100%。</w:t>
            </w:r>
            <w:r>
              <w:rPr>
                <w:color w:val="auto"/>
                <w:kern w:val="0"/>
                <w:sz w:val="22"/>
                <w:szCs w:val="22"/>
                <w:highlight w:val="none"/>
              </w:rPr>
              <w:br w:type="textWrapping"/>
            </w:r>
            <w:r>
              <w:rPr>
                <w:color w:val="auto"/>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资金使用</w:t>
            </w:r>
          </w:p>
          <w:p>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①是否符合国家财经法规和财务管理制度以及有关专项资金管理办法的规定；</w:t>
            </w:r>
            <w:r>
              <w:rPr>
                <w:color w:val="auto"/>
                <w:kern w:val="0"/>
                <w:sz w:val="22"/>
                <w:szCs w:val="22"/>
                <w:highlight w:val="none"/>
              </w:rPr>
              <w:br w:type="textWrapping"/>
            </w:r>
            <w:r>
              <w:rPr>
                <w:color w:val="auto"/>
                <w:kern w:val="0"/>
                <w:sz w:val="22"/>
                <w:szCs w:val="22"/>
                <w:highlight w:val="none"/>
              </w:rPr>
              <w:t>②资金的拨付是否有完整的审批程序和手续；</w:t>
            </w:r>
            <w:r>
              <w:rPr>
                <w:color w:val="auto"/>
                <w:kern w:val="0"/>
                <w:sz w:val="22"/>
                <w:szCs w:val="22"/>
                <w:highlight w:val="none"/>
              </w:rPr>
              <w:br w:type="textWrapping"/>
            </w:r>
            <w:r>
              <w:rPr>
                <w:color w:val="auto"/>
                <w:kern w:val="0"/>
                <w:sz w:val="22"/>
                <w:szCs w:val="22"/>
                <w:highlight w:val="none"/>
              </w:rPr>
              <w:t>③是否符合项目预算批复或合同规定的用途；</w:t>
            </w:r>
            <w:r>
              <w:rPr>
                <w:color w:val="auto"/>
                <w:kern w:val="0"/>
                <w:sz w:val="22"/>
                <w:szCs w:val="22"/>
                <w:highlight w:val="none"/>
              </w:rPr>
              <w:br w:type="textWrapping"/>
            </w:r>
            <w:r>
              <w:rPr>
                <w:color w:val="auto"/>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组织实施</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管理制度</w:t>
            </w:r>
          </w:p>
          <w:p>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①是否已制定或具有相应的财务和业务管理制度；</w:t>
            </w:r>
            <w:r>
              <w:rPr>
                <w:color w:val="auto"/>
                <w:kern w:val="0"/>
                <w:sz w:val="22"/>
                <w:szCs w:val="22"/>
                <w:highlight w:val="none"/>
              </w:rPr>
              <w:br w:type="textWrapping"/>
            </w:r>
            <w:r>
              <w:rPr>
                <w:color w:val="auto"/>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制度执行</w:t>
            </w:r>
          </w:p>
          <w:p>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①是否遵守相关法律法规和相关管理规定；</w:t>
            </w:r>
            <w:r>
              <w:rPr>
                <w:color w:val="auto"/>
                <w:kern w:val="0"/>
                <w:sz w:val="22"/>
                <w:szCs w:val="22"/>
                <w:highlight w:val="none"/>
              </w:rPr>
              <w:br w:type="textWrapping"/>
            </w:r>
            <w:r>
              <w:rPr>
                <w:color w:val="auto"/>
                <w:kern w:val="0"/>
                <w:sz w:val="22"/>
                <w:szCs w:val="22"/>
                <w:highlight w:val="none"/>
              </w:rPr>
              <w:t>②项目调整及支出调整手续是否完备；</w:t>
            </w:r>
            <w:r>
              <w:rPr>
                <w:color w:val="auto"/>
                <w:kern w:val="0"/>
                <w:sz w:val="22"/>
                <w:szCs w:val="22"/>
                <w:highlight w:val="none"/>
              </w:rPr>
              <w:br w:type="textWrapping"/>
            </w:r>
            <w:r>
              <w:rPr>
                <w:color w:val="auto"/>
                <w:kern w:val="0"/>
                <w:sz w:val="22"/>
                <w:szCs w:val="22"/>
                <w:highlight w:val="none"/>
              </w:rPr>
              <w:t>③项目合同书、验收报告、技术鉴定等资料是否齐全并及时归档；</w:t>
            </w:r>
            <w:r>
              <w:rPr>
                <w:color w:val="auto"/>
                <w:kern w:val="0"/>
                <w:sz w:val="22"/>
                <w:szCs w:val="22"/>
                <w:highlight w:val="none"/>
              </w:rPr>
              <w:br w:type="textWrapping"/>
            </w:r>
            <w:r>
              <w:rPr>
                <w:color w:val="auto"/>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w:t>
            </w: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实际完成率=（实际产出数/计划产出数）×100%。</w:t>
            </w:r>
            <w:r>
              <w:rPr>
                <w:color w:val="auto"/>
                <w:kern w:val="0"/>
                <w:sz w:val="22"/>
                <w:szCs w:val="22"/>
                <w:highlight w:val="none"/>
              </w:rPr>
              <w:br w:type="textWrapping"/>
            </w:r>
            <w:r>
              <w:rPr>
                <w:color w:val="auto"/>
                <w:kern w:val="0"/>
                <w:sz w:val="22"/>
                <w:szCs w:val="22"/>
                <w:highlight w:val="none"/>
              </w:rPr>
              <w:t>实际产出数：一定时期（本年度或项目期）内项目实际产出的产品或提供的服务数量。</w:t>
            </w:r>
            <w:r>
              <w:rPr>
                <w:color w:val="auto"/>
                <w:kern w:val="0"/>
                <w:sz w:val="22"/>
                <w:szCs w:val="22"/>
                <w:highlight w:val="none"/>
              </w:rPr>
              <w:br w:type="textWrapping"/>
            </w:r>
            <w:r>
              <w:rPr>
                <w:color w:val="auto"/>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质量达标率=（质量达标产出数/实际产出数）×100%。</w:t>
            </w:r>
          </w:p>
          <w:p>
            <w:pPr>
              <w:widowControl/>
              <w:spacing w:line="0" w:lineRule="atLeast"/>
              <w:rPr>
                <w:color w:val="auto"/>
                <w:kern w:val="0"/>
                <w:sz w:val="22"/>
                <w:szCs w:val="22"/>
                <w:highlight w:val="none"/>
              </w:rPr>
            </w:pPr>
            <w:r>
              <w:rPr>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shd w:val="clear" w:color="auto" w:fill="FFFFFF"/>
            <w:vAlign w:val="center"/>
          </w:tcPr>
          <w:p>
            <w:pPr>
              <w:spacing w:line="0" w:lineRule="atLeast"/>
              <w:jc w:val="center"/>
              <w:rPr>
                <w:color w:val="auto"/>
                <w:kern w:val="0"/>
                <w:sz w:val="22"/>
                <w:szCs w:val="22"/>
                <w:highlight w:val="none"/>
              </w:rPr>
            </w:pPr>
            <w:r>
              <w:rPr>
                <w:color w:val="auto"/>
                <w:kern w:val="0"/>
                <w:sz w:val="22"/>
                <w:szCs w:val="22"/>
                <w:highlight w:val="none"/>
              </w:rPr>
              <w:t>产出时效</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实际完成时间：项目实施单位完成该项目实际所耗用的时间。</w:t>
            </w:r>
            <w:r>
              <w:rPr>
                <w:color w:val="auto"/>
                <w:kern w:val="0"/>
                <w:sz w:val="22"/>
                <w:szCs w:val="22"/>
                <w:highlight w:val="none"/>
              </w:rPr>
              <w:br w:type="textWrapping"/>
            </w:r>
            <w:r>
              <w:rPr>
                <w:color w:val="auto"/>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br w:type="textWrapping"/>
            </w:r>
            <w:r>
              <w:rPr>
                <w:color w:val="auto"/>
                <w:kern w:val="0"/>
                <w:sz w:val="22"/>
                <w:szCs w:val="22"/>
                <w:highlight w:val="none"/>
              </w:rPr>
              <w:t>成本节约率=[（计划成本-实际成本）/计划成本]×100%。</w:t>
            </w:r>
            <w:r>
              <w:rPr>
                <w:color w:val="auto"/>
                <w:kern w:val="0"/>
                <w:sz w:val="22"/>
                <w:szCs w:val="22"/>
                <w:highlight w:val="none"/>
              </w:rPr>
              <w:br w:type="textWrapping"/>
            </w:r>
            <w:r>
              <w:rPr>
                <w:color w:val="auto"/>
                <w:kern w:val="0"/>
                <w:sz w:val="22"/>
                <w:szCs w:val="22"/>
                <w:highlight w:val="none"/>
              </w:rPr>
              <w:t>实际成本：项目实施单位如期、保质、保量完成既定工作目标实际所耗费的支出。</w:t>
            </w:r>
            <w:r>
              <w:rPr>
                <w:color w:val="auto"/>
                <w:kern w:val="0"/>
                <w:sz w:val="22"/>
                <w:szCs w:val="22"/>
                <w:highlight w:val="none"/>
              </w:rPr>
              <w:br w:type="textWrapping"/>
            </w:r>
            <w:r>
              <w:rPr>
                <w:color w:val="auto"/>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实施效益</w:t>
            </w:r>
          </w:p>
        </w:tc>
        <w:tc>
          <w:tcPr>
            <w:tcW w:w="2353"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项目实施所产生的效益。</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auto"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满意度</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bl>
    <w:p>
      <w:pPr>
        <w:rPr>
          <w:color w:val="auto"/>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OWUyZGFiNWY0YjQ3ZTA0OTc1YWNhYTkwNGNiMTIifQ=="/>
  </w:docVars>
  <w:rsids>
    <w:rsidRoot w:val="007D49C5"/>
    <w:rsid w:val="000D63FA"/>
    <w:rsid w:val="005B64E8"/>
    <w:rsid w:val="00614288"/>
    <w:rsid w:val="00670592"/>
    <w:rsid w:val="00792CFE"/>
    <w:rsid w:val="007D49C5"/>
    <w:rsid w:val="008175E0"/>
    <w:rsid w:val="008C631D"/>
    <w:rsid w:val="00A114ED"/>
    <w:rsid w:val="00B24331"/>
    <w:rsid w:val="01583141"/>
    <w:rsid w:val="01CC0983"/>
    <w:rsid w:val="03B11A9D"/>
    <w:rsid w:val="04F546B3"/>
    <w:rsid w:val="05253FFE"/>
    <w:rsid w:val="0A7814BB"/>
    <w:rsid w:val="0F2A6BF7"/>
    <w:rsid w:val="109627EE"/>
    <w:rsid w:val="13674D15"/>
    <w:rsid w:val="15514990"/>
    <w:rsid w:val="16085B76"/>
    <w:rsid w:val="1701749C"/>
    <w:rsid w:val="17136327"/>
    <w:rsid w:val="181871E2"/>
    <w:rsid w:val="19166846"/>
    <w:rsid w:val="1BC11999"/>
    <w:rsid w:val="1E9B4071"/>
    <w:rsid w:val="20E92B23"/>
    <w:rsid w:val="22AC2218"/>
    <w:rsid w:val="26C86E2D"/>
    <w:rsid w:val="2729052F"/>
    <w:rsid w:val="277A0E4F"/>
    <w:rsid w:val="28223BE7"/>
    <w:rsid w:val="289E0FB2"/>
    <w:rsid w:val="28C14634"/>
    <w:rsid w:val="295377DC"/>
    <w:rsid w:val="29D100AA"/>
    <w:rsid w:val="29DC0639"/>
    <w:rsid w:val="29F66FE5"/>
    <w:rsid w:val="2BAA0CE2"/>
    <w:rsid w:val="2CD55AB5"/>
    <w:rsid w:val="2E583D16"/>
    <w:rsid w:val="2EBA484A"/>
    <w:rsid w:val="2EC724D4"/>
    <w:rsid w:val="2EE30257"/>
    <w:rsid w:val="30183CF7"/>
    <w:rsid w:val="32255ACD"/>
    <w:rsid w:val="32B155DA"/>
    <w:rsid w:val="332500F7"/>
    <w:rsid w:val="34DA27CE"/>
    <w:rsid w:val="35335321"/>
    <w:rsid w:val="36411DC5"/>
    <w:rsid w:val="36B72533"/>
    <w:rsid w:val="3D1A7CCD"/>
    <w:rsid w:val="3F8A3E97"/>
    <w:rsid w:val="4057649F"/>
    <w:rsid w:val="44886181"/>
    <w:rsid w:val="450B6AE4"/>
    <w:rsid w:val="4A8D0854"/>
    <w:rsid w:val="4A8E2CDD"/>
    <w:rsid w:val="4BEE5222"/>
    <w:rsid w:val="4D583170"/>
    <w:rsid w:val="503F09B5"/>
    <w:rsid w:val="5250749B"/>
    <w:rsid w:val="53BB08EB"/>
    <w:rsid w:val="53F30C9C"/>
    <w:rsid w:val="54873A1A"/>
    <w:rsid w:val="56796849"/>
    <w:rsid w:val="568F383B"/>
    <w:rsid w:val="5C5D4718"/>
    <w:rsid w:val="5D555EEF"/>
    <w:rsid w:val="5DA95371"/>
    <w:rsid w:val="66E015D3"/>
    <w:rsid w:val="676166A9"/>
    <w:rsid w:val="677B2AD6"/>
    <w:rsid w:val="686F7714"/>
    <w:rsid w:val="699E3A55"/>
    <w:rsid w:val="6A862BA8"/>
    <w:rsid w:val="6BC333DB"/>
    <w:rsid w:val="6D022F52"/>
    <w:rsid w:val="6DFC1C65"/>
    <w:rsid w:val="6EDC207E"/>
    <w:rsid w:val="70427A3C"/>
    <w:rsid w:val="709E2354"/>
    <w:rsid w:val="70B97745"/>
    <w:rsid w:val="71B035B0"/>
    <w:rsid w:val="7246140B"/>
    <w:rsid w:val="72BA5489"/>
    <w:rsid w:val="75FA041F"/>
    <w:rsid w:val="760F49BD"/>
    <w:rsid w:val="76E870A0"/>
    <w:rsid w:val="78AC208A"/>
    <w:rsid w:val="7AE40DD7"/>
    <w:rsid w:val="7B6B7826"/>
    <w:rsid w:val="7F975160"/>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footer"/>
    <w:basedOn w:val="1"/>
    <w:link w:val="19"/>
    <w:semiHidden/>
    <w:unhideWhenUsed/>
    <w:qFormat/>
    <w:uiPriority w:val="99"/>
    <w:pPr>
      <w:tabs>
        <w:tab w:val="center" w:pos="4153"/>
        <w:tab w:val="right" w:pos="8306"/>
      </w:tabs>
      <w:snapToGrid w:val="0"/>
      <w:jc w:val="left"/>
    </w:pPr>
    <w:rPr>
      <w:sz w:val="18"/>
      <w:szCs w:val="18"/>
    </w:rPr>
  </w:style>
  <w:style w:type="paragraph" w:styleId="7">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7"/>
    <w:semiHidden/>
    <w:qFormat/>
    <w:uiPriority w:val="99"/>
    <w:rPr>
      <w:rFonts w:ascii="Times New Roman" w:hAnsi="Times New Roman" w:eastAsia="仿宋_GB2312" w:cs="Times New Roman"/>
      <w:sz w:val="18"/>
      <w:szCs w:val="18"/>
    </w:rPr>
  </w:style>
  <w:style w:type="character" w:customStyle="1" w:styleId="19">
    <w:name w:val="页脚 Char"/>
    <w:basedOn w:val="12"/>
    <w:link w:val="6"/>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5042</Words>
  <Characters>5242</Characters>
  <Lines>37</Lines>
  <Paragraphs>10</Paragraphs>
  <TotalTime>8</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2024-06-12T04:24:33Z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