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60" w:lineRule="exact"/>
        <w:ind w:left="0"/>
        <w:jc w:val="center"/>
        <w:outlineLvl w:val="9"/>
        <w:rPr>
          <w:rFonts w:ascii="宋体" w:hAnsi="宋体" w:eastAsia="宋体" w:cs="Arial"/>
          <w:b/>
          <w:bCs/>
          <w:sz w:val="48"/>
          <w:szCs w:val="48"/>
        </w:rPr>
      </w:pPr>
    </w:p>
    <w:p>
      <w:pPr>
        <w:pageBreakBefore w:val="0"/>
        <w:kinsoku/>
        <w:wordWrap/>
        <w:overflowPunct/>
        <w:topLinePunct w:val="0"/>
        <w:autoSpaceDE/>
        <w:autoSpaceDN/>
        <w:bidi w:val="0"/>
        <w:adjustRightInd/>
        <w:snapToGrid/>
        <w:spacing w:line="560" w:lineRule="exact"/>
        <w:ind w:left="0"/>
        <w:jc w:val="center"/>
        <w:outlineLvl w:val="9"/>
        <w:rPr>
          <w:rFonts w:ascii="宋体" w:hAnsi="宋体" w:eastAsia="宋体" w:cs="Arial"/>
          <w:b/>
          <w:bCs/>
          <w:sz w:val="48"/>
          <w:szCs w:val="48"/>
        </w:rPr>
      </w:pPr>
    </w:p>
    <w:p>
      <w:pPr>
        <w:pageBreakBefore w:val="0"/>
        <w:kinsoku/>
        <w:wordWrap/>
        <w:overflowPunct/>
        <w:topLinePunct w:val="0"/>
        <w:autoSpaceDE/>
        <w:autoSpaceDN/>
        <w:bidi w:val="0"/>
        <w:adjustRightInd/>
        <w:snapToGrid/>
        <w:spacing w:line="560" w:lineRule="exact"/>
        <w:ind w:left="0"/>
        <w:jc w:val="center"/>
        <w:outlineLvl w:val="9"/>
        <w:rPr>
          <w:rFonts w:ascii="宋体" w:hAnsi="宋体" w:eastAsia="宋体" w:cs="Arial"/>
          <w:b/>
          <w:bCs/>
          <w:sz w:val="48"/>
          <w:szCs w:val="48"/>
        </w:rPr>
      </w:pPr>
    </w:p>
    <w:p>
      <w:pPr>
        <w:pageBreakBefore w:val="0"/>
        <w:kinsoku/>
        <w:wordWrap/>
        <w:overflowPunct/>
        <w:topLinePunct w:val="0"/>
        <w:autoSpaceDE/>
        <w:autoSpaceDN/>
        <w:bidi w:val="0"/>
        <w:adjustRightInd/>
        <w:snapToGrid/>
        <w:spacing w:line="560" w:lineRule="exact"/>
        <w:ind w:left="0"/>
        <w:jc w:val="center"/>
        <w:outlineLvl w:val="9"/>
        <w:rPr>
          <w:rFonts w:hint="eastAsia" w:eastAsia="方正小标宋_GBK"/>
          <w:kern w:val="0"/>
          <w:sz w:val="48"/>
          <w:szCs w:val="48"/>
          <w:lang w:val="en-US" w:eastAsia="zh-CN"/>
        </w:rPr>
      </w:pPr>
      <w:r>
        <w:rPr>
          <w:rFonts w:hint="eastAsia" w:eastAsia="方正小标宋_GBK"/>
          <w:kern w:val="0"/>
          <w:sz w:val="48"/>
          <w:szCs w:val="48"/>
          <w:lang w:val="en-US" w:eastAsia="zh-CN"/>
        </w:rPr>
        <w:t>霍尔果斯市群众信访业务楼尾款</w:t>
      </w:r>
    </w:p>
    <w:p>
      <w:pPr>
        <w:pageBreakBefore w:val="0"/>
        <w:kinsoku/>
        <w:wordWrap/>
        <w:overflowPunct/>
        <w:topLinePunct w:val="0"/>
        <w:autoSpaceDE/>
        <w:autoSpaceDN/>
        <w:bidi w:val="0"/>
        <w:adjustRightInd/>
        <w:snapToGrid/>
        <w:spacing w:line="560" w:lineRule="exact"/>
        <w:ind w:left="0"/>
        <w:jc w:val="center"/>
        <w:outlineLvl w:val="9"/>
        <w:rPr>
          <w:rFonts w:eastAsia="方正小标宋_GBK"/>
          <w:kern w:val="0"/>
          <w:sz w:val="48"/>
          <w:szCs w:val="48"/>
        </w:rPr>
      </w:pPr>
      <w:r>
        <w:rPr>
          <w:rFonts w:eastAsia="方正小标宋_GBK"/>
          <w:kern w:val="0"/>
          <w:sz w:val="48"/>
          <w:szCs w:val="48"/>
        </w:rPr>
        <w:t>支出绩效评价报告</w:t>
      </w:r>
    </w:p>
    <w:p>
      <w:pPr>
        <w:pageBreakBefore w:val="0"/>
        <w:kinsoku/>
        <w:wordWrap/>
        <w:overflowPunct/>
        <w:topLinePunct w:val="0"/>
        <w:autoSpaceDE/>
        <w:autoSpaceDN/>
        <w:bidi w:val="0"/>
        <w:adjustRightInd/>
        <w:snapToGrid/>
        <w:spacing w:line="560" w:lineRule="exact"/>
        <w:ind w:left="0"/>
        <w:jc w:val="center"/>
        <w:outlineLvl w:val="9"/>
        <w:rPr>
          <w:rFonts w:ascii="宋体" w:hAnsi="宋体" w:eastAsia="宋体" w:cs="Arial"/>
          <w:b/>
          <w:bCs/>
          <w:sz w:val="48"/>
          <w:szCs w:val="48"/>
        </w:rPr>
      </w:pPr>
    </w:p>
    <w:p>
      <w:pPr>
        <w:pageBreakBefore w:val="0"/>
        <w:widowControl/>
        <w:kinsoku/>
        <w:wordWrap/>
        <w:overflowPunct/>
        <w:topLinePunct w:val="0"/>
        <w:autoSpaceDE/>
        <w:autoSpaceDN/>
        <w:bidi w:val="0"/>
        <w:adjustRightInd/>
        <w:snapToGrid/>
        <w:spacing w:line="560" w:lineRule="exact"/>
        <w:ind w:left="0"/>
        <w:jc w:val="center"/>
        <w:outlineLvl w:val="9"/>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rPr>
        <w:t>3年度）</w:t>
      </w:r>
    </w:p>
    <w:p>
      <w:pPr>
        <w:pageBreakBefore w:val="0"/>
        <w:kinsoku/>
        <w:wordWrap/>
        <w:overflowPunct/>
        <w:topLinePunct w:val="0"/>
        <w:autoSpaceDE/>
        <w:autoSpaceDN/>
        <w:bidi w:val="0"/>
        <w:adjustRightInd/>
        <w:snapToGrid/>
        <w:spacing w:line="560" w:lineRule="exact"/>
        <w:ind w:left="0"/>
        <w:jc w:val="center"/>
        <w:outlineLvl w:val="9"/>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spacing w:line="560" w:lineRule="exact"/>
        <w:ind w:left="0"/>
        <w:jc w:val="center"/>
        <w:outlineLvl w:val="9"/>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spacing w:line="560" w:lineRule="exact"/>
        <w:ind w:left="0"/>
        <w:jc w:val="center"/>
        <w:outlineLvl w:val="9"/>
        <w:rPr>
          <w:rFonts w:ascii="仿宋_GB2312" w:hAnsi="仿宋_GB2312" w:cs="仿宋_GB2312"/>
          <w:b/>
          <w:kern w:val="0"/>
          <w:sz w:val="50"/>
          <w:szCs w:val="50"/>
          <w:lang w:bidi="en-US"/>
        </w:rPr>
      </w:pPr>
    </w:p>
    <w:p>
      <w:pPr>
        <w:pStyle w:val="2"/>
        <w:rPr>
          <w:rFonts w:ascii="仿宋_GB2312" w:hAnsi="仿宋_GB2312" w:cs="仿宋_GB2312"/>
          <w:b/>
          <w:kern w:val="0"/>
          <w:sz w:val="50"/>
          <w:szCs w:val="50"/>
          <w:lang w:bidi="en-US"/>
        </w:rPr>
      </w:pPr>
    </w:p>
    <w:p>
      <w:pPr>
        <w:rPr>
          <w:rFonts w:ascii="仿宋_GB2312" w:hAnsi="仿宋_GB2312" w:cs="仿宋_GB2312"/>
          <w:b/>
          <w:kern w:val="0"/>
          <w:sz w:val="50"/>
          <w:szCs w:val="50"/>
          <w:lang w:bidi="en-US"/>
        </w:rPr>
      </w:pPr>
    </w:p>
    <w:p>
      <w:pPr>
        <w:pStyle w:val="2"/>
      </w:pPr>
    </w:p>
    <w:p>
      <w:pPr>
        <w:pageBreakBefore w:val="0"/>
        <w:kinsoku/>
        <w:wordWrap/>
        <w:overflowPunct/>
        <w:topLinePunct w:val="0"/>
        <w:autoSpaceDE/>
        <w:autoSpaceDN/>
        <w:bidi w:val="0"/>
        <w:adjustRightInd/>
        <w:snapToGrid/>
        <w:spacing w:line="560" w:lineRule="exact"/>
        <w:ind w:left="0"/>
        <w:jc w:val="center"/>
        <w:outlineLvl w:val="9"/>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spacing w:line="560" w:lineRule="exact"/>
        <w:ind w:left="0"/>
        <w:jc w:val="center"/>
        <w:outlineLvl w:val="9"/>
        <w:rPr>
          <w:rFonts w:ascii="仿宋_GB2312" w:hAnsi="仿宋_GB2312" w:cs="仿宋_GB2312"/>
          <w:b/>
          <w:kern w:val="0"/>
          <w:sz w:val="50"/>
          <w:szCs w:val="50"/>
          <w:lang w:bidi="en-US"/>
        </w:rPr>
      </w:pPr>
    </w:p>
    <w:p>
      <w:pPr>
        <w:pageBreakBefore w:val="0"/>
        <w:kinsoku/>
        <w:wordWrap/>
        <w:overflowPunct/>
        <w:topLinePunct w:val="0"/>
        <w:autoSpaceDE/>
        <w:autoSpaceDN/>
        <w:bidi w:val="0"/>
        <w:adjustRightInd/>
        <w:snapToGrid/>
        <w:spacing w:line="560" w:lineRule="exact"/>
        <w:ind w:left="0" w:firstLine="321" w:firstLineChars="100"/>
        <w:outlineLvl w:val="9"/>
        <w:rPr>
          <w:rFonts w:ascii="宋体" w:hAnsi="宋体" w:eastAsia="宋体" w:cs="宋体"/>
          <w:kern w:val="0"/>
          <w:sz w:val="32"/>
          <w:szCs w:val="32"/>
        </w:rPr>
      </w:pPr>
      <w:r>
        <w:rPr>
          <w:rFonts w:hint="eastAsia" w:ascii="宋体" w:hAnsi="宋体" w:eastAsia="宋体" w:cs="仿宋_GB2312"/>
          <w:b/>
          <w:bCs/>
          <w:color w:val="000000"/>
          <w:kern w:val="0"/>
          <w:sz w:val="32"/>
          <w:szCs w:val="32"/>
        </w:rPr>
        <w:t>　　　　项目名称：</w:t>
      </w:r>
      <w:r>
        <w:rPr>
          <w:rFonts w:hint="eastAsia" w:eastAsia="方正小标宋_GBK"/>
          <w:kern w:val="0"/>
          <w:sz w:val="32"/>
          <w:szCs w:val="32"/>
          <w:lang w:val="en-US" w:eastAsia="zh-CN"/>
        </w:rPr>
        <w:t>霍尔果斯市群众信访业务楼尾款</w:t>
      </w:r>
    </w:p>
    <w:p>
      <w:pPr>
        <w:pageBreakBefore w:val="0"/>
        <w:kinsoku/>
        <w:wordWrap/>
        <w:overflowPunct/>
        <w:topLinePunct w:val="0"/>
        <w:autoSpaceDE/>
        <w:autoSpaceDN/>
        <w:bidi w:val="0"/>
        <w:adjustRightInd/>
        <w:snapToGrid/>
        <w:spacing w:line="560" w:lineRule="exact"/>
        <w:ind w:left="0"/>
        <w:outlineLvl w:val="9"/>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　　　　　实施单位（公章）：</w:t>
      </w:r>
      <w:r>
        <w:rPr>
          <w:rFonts w:hint="eastAsia" w:ascii="宋体" w:hAnsi="宋体" w:eastAsia="宋体" w:cs="仿宋_GB2312"/>
          <w:b/>
          <w:bCs/>
          <w:color w:val="000000"/>
          <w:kern w:val="0"/>
          <w:sz w:val="32"/>
          <w:szCs w:val="32"/>
          <w:lang w:val="en-US" w:eastAsia="zh-CN"/>
        </w:rPr>
        <w:t>霍尔果斯市人民政府办公室</w:t>
      </w:r>
    </w:p>
    <w:p>
      <w:pPr>
        <w:pageBreakBefore w:val="0"/>
        <w:kinsoku/>
        <w:wordWrap/>
        <w:overflowPunct/>
        <w:topLinePunct w:val="0"/>
        <w:autoSpaceDE/>
        <w:autoSpaceDN/>
        <w:bidi w:val="0"/>
        <w:adjustRightInd/>
        <w:snapToGrid/>
        <w:spacing w:line="560" w:lineRule="exact"/>
        <w:ind w:left="0"/>
        <w:outlineLvl w:val="9"/>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　　　　　主管部门（公章）：</w:t>
      </w:r>
      <w:r>
        <w:rPr>
          <w:rFonts w:hint="eastAsia" w:ascii="宋体" w:hAnsi="宋体" w:eastAsia="宋体" w:cs="仿宋_GB2312"/>
          <w:b/>
          <w:bCs/>
          <w:color w:val="000000"/>
          <w:kern w:val="0"/>
          <w:sz w:val="32"/>
          <w:szCs w:val="32"/>
          <w:lang w:val="en-US" w:eastAsia="zh-CN"/>
        </w:rPr>
        <w:t>霍尔果斯市人民政府</w:t>
      </w:r>
    </w:p>
    <w:p>
      <w:pPr>
        <w:pageBreakBefore w:val="0"/>
        <w:kinsoku/>
        <w:wordWrap/>
        <w:overflowPunct/>
        <w:topLinePunct w:val="0"/>
        <w:autoSpaceDE/>
        <w:autoSpaceDN/>
        <w:bidi w:val="0"/>
        <w:adjustRightInd/>
        <w:snapToGrid/>
        <w:spacing w:line="560" w:lineRule="exact"/>
        <w:ind w:left="0" w:firstLine="321" w:firstLineChars="100"/>
        <w:outlineLvl w:val="9"/>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　　　　项目负责人（签章）：</w:t>
      </w:r>
      <w:r>
        <w:rPr>
          <w:rFonts w:hint="eastAsia" w:ascii="宋体" w:hAnsi="宋体" w:eastAsia="宋体" w:cs="仿宋_GB2312"/>
          <w:b/>
          <w:bCs/>
          <w:color w:val="000000"/>
          <w:kern w:val="0"/>
          <w:sz w:val="32"/>
          <w:szCs w:val="32"/>
          <w:lang w:val="en-US" w:eastAsia="zh-CN"/>
        </w:rPr>
        <w:t>付军</w:t>
      </w:r>
    </w:p>
    <w:p>
      <w:pPr>
        <w:pageBreakBefore w:val="0"/>
        <w:kinsoku/>
        <w:wordWrap/>
        <w:overflowPunct/>
        <w:topLinePunct w:val="0"/>
        <w:autoSpaceDE/>
        <w:autoSpaceDN/>
        <w:bidi w:val="0"/>
        <w:adjustRightInd/>
        <w:snapToGrid/>
        <w:spacing w:line="560" w:lineRule="exact"/>
        <w:ind w:left="0" w:firstLine="321" w:firstLineChars="100"/>
        <w:outlineLvl w:val="9"/>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　　　　填报时间：</w:t>
      </w:r>
      <w:r>
        <w:rPr>
          <w:rFonts w:hint="eastAsia" w:ascii="宋体" w:hAnsi="宋体" w:eastAsia="宋体" w:cs="仿宋_GB2312"/>
          <w:color w:val="000000"/>
          <w:kern w:val="0"/>
          <w:sz w:val="32"/>
          <w:szCs w:val="32"/>
        </w:rPr>
        <w:t xml:space="preserve">2024年  </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 月 </w:t>
      </w:r>
      <w:r>
        <w:rPr>
          <w:rFonts w:hint="eastAsia" w:ascii="宋体" w:hAnsi="宋体" w:eastAsia="宋体" w:cs="仿宋_GB2312"/>
          <w:color w:val="000000"/>
          <w:kern w:val="0"/>
          <w:sz w:val="32"/>
          <w:szCs w:val="32"/>
          <w:lang w:val="en-US" w:eastAsia="zh-CN"/>
        </w:rPr>
        <w:t>17</w:t>
      </w:r>
      <w:r>
        <w:rPr>
          <w:rFonts w:hint="eastAsia" w:ascii="宋体" w:hAnsi="宋体" w:eastAsia="宋体" w:cs="仿宋_GB2312"/>
          <w:color w:val="000000"/>
          <w:kern w:val="0"/>
          <w:sz w:val="32"/>
          <w:szCs w:val="32"/>
        </w:rPr>
        <w:t xml:space="preserve">  日</w:t>
      </w:r>
    </w:p>
    <w:p>
      <w:pPr>
        <w:pageBreakBefore w:val="0"/>
        <w:widowControl/>
        <w:kinsoku/>
        <w:wordWrap/>
        <w:overflowPunct/>
        <w:topLinePunct w:val="0"/>
        <w:autoSpaceDE/>
        <w:autoSpaceDN/>
        <w:bidi w:val="0"/>
        <w:adjustRightInd/>
        <w:snapToGrid/>
        <w:spacing w:line="560" w:lineRule="exact"/>
        <w:ind w:left="0"/>
        <w:jc w:val="left"/>
        <w:outlineLvl w:val="9"/>
        <w:rPr>
          <w:rFonts w:ascii="宋体" w:hAnsi="宋体" w:eastAsia="宋体" w:cs="Arial"/>
          <w:b/>
          <w:bCs/>
          <w:sz w:val="36"/>
          <w:szCs w:val="36"/>
        </w:rPr>
      </w:pPr>
      <w:r>
        <w:rPr>
          <w:rFonts w:ascii="宋体" w:hAnsi="宋体" w:eastAsia="宋体" w:cs="Arial"/>
          <w:b/>
          <w:bCs/>
          <w:sz w:val="36"/>
          <w:szCs w:val="36"/>
        </w:rPr>
        <w:br w:type="page"/>
      </w:r>
    </w:p>
    <w:p>
      <w:pPr>
        <w:pageBreakBefore w:val="0"/>
        <w:numPr>
          <w:ilvl w:val="0"/>
          <w:numId w:val="0"/>
        </w:numPr>
        <w:kinsoku/>
        <w:wordWrap/>
        <w:overflowPunct/>
        <w:topLinePunct w:val="0"/>
        <w:autoSpaceDE/>
        <w:autoSpaceDN/>
        <w:bidi w:val="0"/>
        <w:adjustRightInd/>
        <w:snapToGrid/>
        <w:spacing w:line="560" w:lineRule="exact"/>
        <w:ind w:left="0" w:firstLine="640" w:firstLineChars="200"/>
        <w:outlineLvl w:val="9"/>
        <w:rPr>
          <w:rFonts w:eastAsia="黑体"/>
          <w:bCs/>
          <w:sz w:val="32"/>
          <w:szCs w:val="32"/>
        </w:rPr>
      </w:pPr>
      <w:bookmarkStart w:id="0" w:name="_Toc68703827"/>
      <w:r>
        <w:rPr>
          <w:rFonts w:hint="eastAsia" w:eastAsia="黑体"/>
          <w:bCs/>
          <w:sz w:val="32"/>
          <w:szCs w:val="32"/>
          <w:lang w:val="en-US" w:eastAsia="zh-CN"/>
        </w:rPr>
        <w:t>一、</w:t>
      </w:r>
      <w:r>
        <w:rPr>
          <w:rFonts w:hint="eastAsia" w:eastAsia="黑体"/>
          <w:bCs/>
          <w:sz w:val="32"/>
          <w:szCs w:val="32"/>
        </w:rPr>
        <w:t>基本情况</w:t>
      </w:r>
      <w:bookmarkEnd w:id="0"/>
      <w:bookmarkStart w:id="1" w:name="_Toc68703828"/>
    </w:p>
    <w:p>
      <w:pPr>
        <w:pageBreakBefore w:val="0"/>
        <w:kinsoku/>
        <w:wordWrap/>
        <w:overflowPunct/>
        <w:topLinePunct w:val="0"/>
        <w:autoSpaceDE/>
        <w:autoSpaceDN/>
        <w:bidi w:val="0"/>
        <w:adjustRightInd/>
        <w:snapToGrid/>
        <w:spacing w:line="560" w:lineRule="exact"/>
        <w:ind w:left="0" w:firstLine="643" w:firstLineChars="200"/>
        <w:outlineLvl w:val="9"/>
        <w:rPr>
          <w:rFonts w:eastAsia="楷体_GB2312"/>
          <w:b/>
          <w:bCs/>
          <w:sz w:val="32"/>
          <w:szCs w:val="32"/>
        </w:rPr>
      </w:pPr>
      <w:r>
        <w:rPr>
          <w:rFonts w:hint="eastAsia" w:eastAsia="楷体_GB2312"/>
          <w:b/>
          <w:bCs/>
          <w:sz w:val="32"/>
          <w:szCs w:val="32"/>
        </w:rPr>
        <w:t>（一）项目概况</w:t>
      </w:r>
      <w:bookmarkEnd w:id="1"/>
    </w:p>
    <w:p>
      <w:pPr>
        <w:pageBreakBefore w:val="0"/>
        <w:kinsoku/>
        <w:wordWrap/>
        <w:overflowPunct/>
        <w:topLinePunct w:val="0"/>
        <w:autoSpaceDE/>
        <w:autoSpaceDN/>
        <w:bidi w:val="0"/>
        <w:adjustRightInd/>
        <w:snapToGrid/>
        <w:spacing w:line="560" w:lineRule="exact"/>
        <w:ind w:left="0"/>
        <w:outlineLvl w:val="9"/>
      </w:pPr>
      <w:r>
        <w:rPr>
          <w:rFonts w:hint="eastAsia"/>
          <w:sz w:val="32"/>
          <w:szCs w:val="32"/>
        </w:rPr>
        <w:t>　</w:t>
      </w:r>
      <w:r>
        <w:rPr>
          <w:rFonts w:hint="eastAsia"/>
          <w:sz w:val="32"/>
          <w:szCs w:val="32"/>
          <w:lang w:val="en-US" w:eastAsia="zh-CN"/>
        </w:rPr>
        <w:t xml:space="preserve">  </w:t>
      </w:r>
      <w:r>
        <w:rPr>
          <w:rFonts w:hint="eastAsia"/>
          <w:sz w:val="32"/>
          <w:szCs w:val="32"/>
        </w:rPr>
        <w:t>1.项目背景：</w:t>
      </w:r>
    </w:p>
    <w:p>
      <w:pPr>
        <w:pageBreakBefore w:val="0"/>
        <w:kinsoku/>
        <w:wordWrap/>
        <w:overflowPunct/>
        <w:topLinePunct w:val="0"/>
        <w:autoSpaceDE/>
        <w:autoSpaceDN/>
        <w:bidi w:val="0"/>
        <w:adjustRightInd/>
        <w:snapToGrid/>
        <w:spacing w:line="560" w:lineRule="exact"/>
        <w:ind w:left="0" w:firstLine="640" w:firstLineChars="200"/>
        <w:outlineLvl w:val="9"/>
        <w:rPr>
          <w:color w:val="FF0000"/>
          <w:sz w:val="32"/>
          <w:szCs w:val="32"/>
        </w:rPr>
      </w:pPr>
      <w:r>
        <w:rPr>
          <w:rFonts w:hint="eastAsia"/>
          <w:color w:val="auto"/>
          <w:sz w:val="32"/>
          <w:szCs w:val="32"/>
        </w:rPr>
        <w:t>霍尔果斯市群众信访业务大楼由伊宁市城市建设有限责任公司承建，项目共有2个标段，2017年9月16日至2017年10月15日建设标段1 ，中标价1153.19万元，结算价1087.5万元，剩余未支付款项133.96万元。2016年至2017年建设二标段，中标价235.98万元，结算价194.16万元，剩余未支付5.38万元该项目于2018年5月验收，于2020年6月经新疆银桥工程咨询公司最终审核定价。剩余139.34万元未拨付，根据上级领导批示，予以拨付30万元，剩余尾款将于未来三年内拨付完毕，现申请30万用于解决部分尾款。</w:t>
      </w:r>
    </w:p>
    <w:p>
      <w:pPr>
        <w:pageBreakBefore w:val="0"/>
        <w:kinsoku/>
        <w:wordWrap/>
        <w:overflowPunct/>
        <w:topLinePunct w:val="0"/>
        <w:autoSpaceDE/>
        <w:autoSpaceDN/>
        <w:bidi w:val="0"/>
        <w:adjustRightInd/>
        <w:snapToGrid/>
        <w:spacing w:line="560" w:lineRule="exact"/>
        <w:ind w:left="0"/>
        <w:outlineLvl w:val="9"/>
        <w:rPr>
          <w:sz w:val="32"/>
          <w:szCs w:val="32"/>
        </w:rPr>
      </w:pPr>
      <w:r>
        <w:rPr>
          <w:rFonts w:hint="eastAsia"/>
          <w:sz w:val="32"/>
          <w:szCs w:val="32"/>
        </w:rPr>
        <w:t>　</w:t>
      </w:r>
      <w:r>
        <w:rPr>
          <w:rFonts w:hint="eastAsia"/>
          <w:sz w:val="32"/>
          <w:szCs w:val="32"/>
          <w:lang w:val="en-US" w:eastAsia="zh-CN"/>
        </w:rPr>
        <w:t xml:space="preserve">  </w:t>
      </w:r>
      <w:r>
        <w:rPr>
          <w:rFonts w:hint="eastAsia"/>
          <w:sz w:val="32"/>
          <w:szCs w:val="32"/>
        </w:rPr>
        <w:t>2.主要内容及实施情况</w:t>
      </w:r>
    </w:p>
    <w:p>
      <w:pPr>
        <w:pageBreakBefore w:val="0"/>
        <w:kinsoku/>
        <w:wordWrap/>
        <w:overflowPunct/>
        <w:topLinePunct w:val="0"/>
        <w:autoSpaceDE/>
        <w:autoSpaceDN/>
        <w:bidi w:val="0"/>
        <w:adjustRightInd/>
        <w:snapToGrid/>
        <w:spacing w:line="560" w:lineRule="exact"/>
        <w:ind w:left="0" w:firstLine="640" w:firstLineChars="200"/>
        <w:outlineLvl w:val="9"/>
        <w:rPr>
          <w:rFonts w:hint="default" w:ascii="仿宋_GB2312"/>
          <w:color w:val="000000" w:themeColor="text1"/>
          <w:sz w:val="32"/>
          <w:szCs w:val="32"/>
          <w:highlight w:val="none"/>
          <w:lang w:val="en-US"/>
          <w14:textFill>
            <w14:solidFill>
              <w14:schemeClr w14:val="tx1"/>
            </w14:solidFill>
          </w14:textFill>
        </w:rPr>
      </w:pPr>
      <w:r>
        <w:rPr>
          <w:rFonts w:hint="eastAsia" w:ascii="仿宋_GB2312"/>
          <w:sz w:val="32"/>
          <w:szCs w:val="32"/>
          <w:highlight w:val="none"/>
        </w:rPr>
        <w:t>主要内容：</w:t>
      </w:r>
      <w:r>
        <w:rPr>
          <w:rFonts w:hint="eastAsia" w:ascii="仿宋_GB2312"/>
          <w:color w:val="000000" w:themeColor="text1"/>
          <w:sz w:val="32"/>
          <w:szCs w:val="32"/>
          <w:highlight w:val="none"/>
          <w14:textFill>
            <w14:solidFill>
              <w14:schemeClr w14:val="tx1"/>
            </w14:solidFill>
          </w14:textFill>
        </w:rPr>
        <w:t>霍尔果斯信访接待业务用房项目</w:t>
      </w:r>
      <w:r>
        <w:rPr>
          <w:rFonts w:hint="eastAsia" w:ascii="仿宋_GB2312"/>
          <w:color w:val="000000" w:themeColor="text1"/>
          <w:sz w:val="32"/>
          <w:szCs w:val="32"/>
          <w:highlight w:val="none"/>
          <w:lang w:val="en-US" w:eastAsia="zh-CN"/>
          <w14:textFill>
            <w14:solidFill>
              <w14:schemeClr w14:val="tx1"/>
            </w14:solidFill>
          </w14:textFill>
        </w:rPr>
        <w:t>于2017年建设完毕，目前按照市委的决策部署，按照3年完成剩余尾款拨付工作。</w:t>
      </w:r>
    </w:p>
    <w:p>
      <w:pPr>
        <w:pageBreakBefore w:val="0"/>
        <w:kinsoku/>
        <w:wordWrap/>
        <w:overflowPunct/>
        <w:topLinePunct w:val="0"/>
        <w:autoSpaceDE/>
        <w:autoSpaceDN/>
        <w:bidi w:val="0"/>
        <w:adjustRightInd/>
        <w:snapToGrid/>
        <w:spacing w:line="560" w:lineRule="exact"/>
        <w:ind w:left="0" w:firstLine="640" w:firstLineChars="200"/>
        <w:outlineLvl w:val="9"/>
        <w:rPr>
          <w:color w:val="auto"/>
        </w:rPr>
      </w:pPr>
      <w:r>
        <w:rPr>
          <w:rFonts w:hint="eastAsia" w:ascii="仿宋_GB2312"/>
          <w:sz w:val="32"/>
          <w:szCs w:val="32"/>
        </w:rPr>
        <w:t>实施情况：</w:t>
      </w:r>
      <w:r>
        <w:rPr>
          <w:sz w:val="32"/>
          <w:szCs w:val="32"/>
        </w:rPr>
        <w:t>项目目前已经完成实际设立的目标，项目在实施过程中严格按照目标设立的各阶段任务进行开展工作，在前期立项过程中严格把质量关，建立安全防护机制，保证项目实施各阶段安全顺利进行。</w:t>
      </w:r>
      <w:r>
        <w:rPr>
          <w:rFonts w:hint="eastAsia" w:ascii="仿宋_GB2312" w:hAnsi="仿宋_GB2312" w:cs="仿宋_GB2312"/>
          <w:color w:val="auto"/>
          <w:szCs w:val="30"/>
        </w:rPr>
        <w:t>申请支付信访接待业务楼尾款，已全额支付建设方。</w:t>
      </w:r>
    </w:p>
    <w:p>
      <w:pPr>
        <w:pageBreakBefore w:val="0"/>
        <w:kinsoku/>
        <w:wordWrap/>
        <w:overflowPunct/>
        <w:topLinePunct w:val="0"/>
        <w:autoSpaceDE/>
        <w:autoSpaceDN/>
        <w:bidi w:val="0"/>
        <w:adjustRightInd/>
        <w:snapToGrid/>
        <w:spacing w:line="560" w:lineRule="exact"/>
        <w:ind w:left="0"/>
        <w:outlineLvl w:val="9"/>
        <w:rPr>
          <w:sz w:val="32"/>
          <w:szCs w:val="32"/>
        </w:rPr>
      </w:pPr>
      <w:r>
        <w:rPr>
          <w:rFonts w:hint="eastAsia"/>
          <w:sz w:val="32"/>
          <w:szCs w:val="32"/>
        </w:rPr>
        <w:t>　</w:t>
      </w:r>
      <w:r>
        <w:rPr>
          <w:rFonts w:hint="eastAsia"/>
          <w:sz w:val="32"/>
          <w:szCs w:val="32"/>
          <w:lang w:val="en-US" w:eastAsia="zh-CN"/>
        </w:rPr>
        <w:t xml:space="preserve">  </w:t>
      </w:r>
      <w:r>
        <w:rPr>
          <w:rFonts w:hint="eastAsia"/>
          <w:sz w:val="32"/>
          <w:szCs w:val="32"/>
        </w:rPr>
        <w:t>3.资金投入和使用情况</w:t>
      </w:r>
    </w:p>
    <w:p>
      <w:pPr>
        <w:pageBreakBefore w:val="0"/>
        <w:kinsoku/>
        <w:wordWrap/>
        <w:overflowPunct/>
        <w:topLinePunct w:val="0"/>
        <w:autoSpaceDE/>
        <w:autoSpaceDN/>
        <w:bidi w:val="0"/>
        <w:adjustRightInd/>
        <w:snapToGrid/>
        <w:spacing w:line="560" w:lineRule="exact"/>
        <w:ind w:left="0" w:firstLine="640" w:firstLineChars="200"/>
        <w:outlineLvl w:val="9"/>
        <w:rPr>
          <w:color w:val="auto"/>
          <w:sz w:val="32"/>
          <w:szCs w:val="32"/>
        </w:rPr>
      </w:pPr>
      <w:r>
        <w:rPr>
          <w:rFonts w:hint="eastAsia"/>
          <w:sz w:val="32"/>
          <w:szCs w:val="32"/>
        </w:rPr>
        <w:t>资金投入情况：该项目</w:t>
      </w:r>
      <w:r>
        <w:rPr>
          <w:rFonts w:hint="eastAsia"/>
          <w:color w:val="auto"/>
          <w:sz w:val="32"/>
          <w:szCs w:val="32"/>
        </w:rPr>
        <w:t>年初预算数30万元，全年预算数30万元，实际总投入30万元，该项目资金已全部落实到位，资金来源为本级财政。</w:t>
      </w:r>
    </w:p>
    <w:p>
      <w:pPr>
        <w:pageBreakBefore w:val="0"/>
        <w:kinsoku/>
        <w:wordWrap/>
        <w:overflowPunct/>
        <w:topLinePunct w:val="0"/>
        <w:autoSpaceDE/>
        <w:autoSpaceDN/>
        <w:bidi w:val="0"/>
        <w:adjustRightInd/>
        <w:snapToGrid/>
        <w:spacing w:line="560" w:lineRule="exact"/>
        <w:ind w:left="0" w:firstLine="640" w:firstLineChars="200"/>
        <w:outlineLvl w:val="9"/>
        <w:rPr>
          <w:color w:val="auto"/>
          <w:sz w:val="32"/>
          <w:szCs w:val="32"/>
        </w:rPr>
      </w:pPr>
      <w:r>
        <w:rPr>
          <w:rFonts w:hint="eastAsia"/>
          <w:sz w:val="32"/>
          <w:szCs w:val="32"/>
        </w:rPr>
        <w:t>资金使用情况：该项目年初预算</w:t>
      </w:r>
      <w:r>
        <w:rPr>
          <w:rFonts w:hint="eastAsia"/>
          <w:color w:val="auto"/>
          <w:sz w:val="32"/>
          <w:szCs w:val="32"/>
        </w:rPr>
        <w:t>数30万元，全年预算数30万元，全年执行数30万元，预算执行率为100%，主要用于：项目尾款支付30万元。</w:t>
      </w:r>
      <w:bookmarkStart w:id="2" w:name="_Toc68703829"/>
    </w:p>
    <w:p>
      <w:pPr>
        <w:pageBreakBefore w:val="0"/>
        <w:kinsoku/>
        <w:wordWrap/>
        <w:overflowPunct/>
        <w:topLinePunct w:val="0"/>
        <w:autoSpaceDE/>
        <w:autoSpaceDN/>
        <w:bidi w:val="0"/>
        <w:adjustRightInd/>
        <w:snapToGrid/>
        <w:spacing w:line="560" w:lineRule="exact"/>
        <w:ind w:left="0" w:firstLine="643" w:firstLineChars="200"/>
        <w:outlineLvl w:val="9"/>
        <w:rPr>
          <w:rFonts w:eastAsia="楷体_GB2312"/>
          <w:b/>
          <w:bCs/>
          <w:sz w:val="32"/>
          <w:szCs w:val="32"/>
        </w:rPr>
      </w:pPr>
      <w:r>
        <w:rPr>
          <w:rFonts w:hint="eastAsia" w:eastAsia="楷体_GB2312"/>
          <w:b/>
          <w:bCs/>
          <w:sz w:val="32"/>
          <w:szCs w:val="32"/>
        </w:rPr>
        <w:t>（二）项目绩效目标</w:t>
      </w:r>
      <w:bookmarkEnd w:id="2"/>
    </w:p>
    <w:p>
      <w:pPr>
        <w:pageBreakBefore w:val="0"/>
        <w:kinsoku/>
        <w:wordWrap/>
        <w:overflowPunct/>
        <w:topLinePunct w:val="0"/>
        <w:autoSpaceDE/>
        <w:autoSpaceDN/>
        <w:bidi w:val="0"/>
        <w:adjustRightInd/>
        <w:snapToGrid/>
        <w:spacing w:line="560" w:lineRule="exact"/>
        <w:ind w:left="0"/>
        <w:outlineLvl w:val="9"/>
        <w:rPr>
          <w:sz w:val="32"/>
          <w:szCs w:val="32"/>
        </w:rPr>
      </w:pPr>
      <w:r>
        <w:rPr>
          <w:rFonts w:hint="eastAsia"/>
          <w:sz w:val="32"/>
          <w:szCs w:val="32"/>
        </w:rPr>
        <w:t>　</w:t>
      </w:r>
      <w:r>
        <w:rPr>
          <w:rFonts w:hint="eastAsia"/>
          <w:sz w:val="32"/>
          <w:szCs w:val="32"/>
          <w:lang w:val="en-US" w:eastAsia="zh-CN"/>
        </w:rPr>
        <w:t xml:space="preserve">  </w:t>
      </w:r>
      <w:r>
        <w:rPr>
          <w:rFonts w:hint="eastAsia"/>
          <w:sz w:val="32"/>
          <w:szCs w:val="32"/>
        </w:rPr>
        <w:t>1.总体目标：</w:t>
      </w:r>
      <w:r>
        <w:rPr>
          <w:rFonts w:hint="eastAsia"/>
          <w:color w:val="auto"/>
          <w:sz w:val="32"/>
          <w:szCs w:val="32"/>
        </w:rPr>
        <w:t>霍尔果斯市群众信访业务大楼由伊宁市城市建设有限责任公司承建，项目共有2个标段，2017年9月16日至2017年10月15日建设标段1，中标价1153.19万元，结算价1087.5万元，剩余未支付款项133.96万元。2016年至2017年建设二标段，中标价235.98万元，结算价194.16万元，剩余未支付5.38万元该项目于2018年5月验收，于2020年6月经新疆银桥工程咨询公司最终审核定价。剩余139.34万元未拨付，根据上级领导批示，予以拨付30万元，剩余尾款将于未来三年内拨付完毕，现申请30万用于解决部分尾款。</w:t>
      </w:r>
    </w:p>
    <w:p>
      <w:pPr>
        <w:pageBreakBefore w:val="0"/>
        <w:kinsoku/>
        <w:wordWrap/>
        <w:overflowPunct/>
        <w:topLinePunct w:val="0"/>
        <w:autoSpaceDE/>
        <w:autoSpaceDN/>
        <w:bidi w:val="0"/>
        <w:adjustRightInd/>
        <w:snapToGrid/>
        <w:spacing w:line="560" w:lineRule="exact"/>
        <w:ind w:left="0"/>
        <w:outlineLvl w:val="9"/>
        <w:rPr>
          <w:color w:val="FF0000"/>
          <w:sz w:val="32"/>
          <w:szCs w:val="32"/>
        </w:rPr>
      </w:pPr>
      <w:r>
        <w:rPr>
          <w:rFonts w:hint="eastAsia"/>
          <w:sz w:val="32"/>
          <w:szCs w:val="32"/>
        </w:rPr>
        <w:t>　</w:t>
      </w:r>
      <w:r>
        <w:rPr>
          <w:rFonts w:hint="eastAsia"/>
          <w:sz w:val="32"/>
          <w:szCs w:val="32"/>
          <w:lang w:val="en-US" w:eastAsia="zh-CN"/>
        </w:rPr>
        <w:t xml:space="preserve">  </w:t>
      </w:r>
      <w:r>
        <w:rPr>
          <w:rFonts w:hint="eastAsia"/>
          <w:sz w:val="32"/>
          <w:szCs w:val="32"/>
        </w:rPr>
        <w:t>2.阶段性目标</w:t>
      </w:r>
      <w:r>
        <w:rPr>
          <w:rFonts w:hint="eastAsia"/>
          <w:color w:val="auto"/>
          <w:sz w:val="32"/>
          <w:szCs w:val="32"/>
        </w:rPr>
        <w:t>：</w:t>
      </w:r>
      <w:bookmarkStart w:id="3" w:name="_Toc68703830"/>
      <w:r>
        <w:rPr>
          <w:rFonts w:hint="eastAsia"/>
          <w:color w:val="auto"/>
          <w:sz w:val="32"/>
          <w:szCs w:val="32"/>
        </w:rPr>
        <w:t>申请30万元一次性支付到位。</w:t>
      </w:r>
    </w:p>
    <w:p>
      <w:pPr>
        <w:pageBreakBefore w:val="0"/>
        <w:kinsoku/>
        <w:wordWrap/>
        <w:overflowPunct/>
        <w:topLinePunct w:val="0"/>
        <w:autoSpaceDE/>
        <w:autoSpaceDN/>
        <w:bidi w:val="0"/>
        <w:adjustRightInd/>
        <w:snapToGrid/>
        <w:spacing w:line="560" w:lineRule="exact"/>
        <w:ind w:left="0" w:firstLine="640" w:firstLineChars="200"/>
        <w:outlineLvl w:val="9"/>
        <w:rPr>
          <w:rFonts w:eastAsia="黑体"/>
          <w:bCs/>
          <w:sz w:val="32"/>
          <w:szCs w:val="32"/>
        </w:rPr>
      </w:pPr>
      <w:r>
        <w:rPr>
          <w:rFonts w:hint="eastAsia" w:eastAsia="黑体"/>
          <w:bCs/>
          <w:sz w:val="32"/>
          <w:szCs w:val="32"/>
        </w:rPr>
        <w:t>二、绩效评价工作开展情况</w:t>
      </w:r>
      <w:bookmarkEnd w:id="3"/>
    </w:p>
    <w:p>
      <w:pPr>
        <w:pageBreakBefore w:val="0"/>
        <w:kinsoku/>
        <w:wordWrap/>
        <w:overflowPunct/>
        <w:topLinePunct w:val="0"/>
        <w:autoSpaceDE/>
        <w:autoSpaceDN/>
        <w:bidi w:val="0"/>
        <w:adjustRightInd/>
        <w:snapToGrid/>
        <w:spacing w:line="560" w:lineRule="exact"/>
        <w:ind w:left="0" w:firstLine="643" w:firstLineChars="200"/>
        <w:outlineLvl w:val="9"/>
        <w:rPr>
          <w:rFonts w:eastAsia="楷体_GB2312"/>
          <w:b/>
          <w:bCs/>
          <w:sz w:val="32"/>
          <w:szCs w:val="32"/>
        </w:rPr>
      </w:pPr>
      <w:bookmarkStart w:id="4" w:name="_Toc68703831"/>
      <w:r>
        <w:rPr>
          <w:rFonts w:hint="eastAsia" w:eastAsia="楷体_GB2312"/>
          <w:b/>
          <w:bCs/>
          <w:sz w:val="32"/>
          <w:szCs w:val="32"/>
        </w:rPr>
        <w:t>（一）绩效评价目的、对象和范围</w:t>
      </w:r>
      <w:bookmarkEnd w:id="4"/>
    </w:p>
    <w:p>
      <w:pPr>
        <w:pageBreakBefore w:val="0"/>
        <w:kinsoku/>
        <w:wordWrap/>
        <w:overflowPunct/>
        <w:topLinePunct w:val="0"/>
        <w:autoSpaceDE/>
        <w:autoSpaceDN/>
        <w:bidi w:val="0"/>
        <w:adjustRightInd/>
        <w:snapToGrid/>
        <w:spacing w:line="560" w:lineRule="exact"/>
        <w:ind w:left="0"/>
        <w:outlineLvl w:val="9"/>
        <w:rPr>
          <w:sz w:val="32"/>
          <w:szCs w:val="32"/>
        </w:rPr>
      </w:pPr>
      <w:r>
        <w:rPr>
          <w:rFonts w:hint="eastAsia"/>
          <w:sz w:val="32"/>
          <w:szCs w:val="32"/>
        </w:rPr>
        <w:t>　</w:t>
      </w:r>
      <w:r>
        <w:rPr>
          <w:rFonts w:hint="eastAsia"/>
          <w:sz w:val="32"/>
          <w:szCs w:val="32"/>
          <w:lang w:val="en-US" w:eastAsia="zh-CN"/>
        </w:rPr>
        <w:t xml:space="preserve">  </w:t>
      </w:r>
      <w:r>
        <w:rPr>
          <w:rFonts w:hint="eastAsia"/>
          <w:sz w:val="32"/>
          <w:szCs w:val="32"/>
        </w:rPr>
        <w:t>1.绩效评价目的</w:t>
      </w:r>
    </w:p>
    <w:p>
      <w:pPr>
        <w:pageBreakBefore w:val="0"/>
        <w:kinsoku/>
        <w:wordWrap/>
        <w:overflowPunct/>
        <w:topLinePunct w:val="0"/>
        <w:autoSpaceDE/>
        <w:autoSpaceDN/>
        <w:bidi w:val="0"/>
        <w:adjustRightInd/>
        <w:snapToGrid/>
        <w:spacing w:line="560" w:lineRule="exact"/>
        <w:ind w:left="0" w:firstLine="640" w:firstLineChars="200"/>
        <w:outlineLvl w:val="9"/>
        <w:rPr>
          <w:sz w:val="32"/>
          <w:szCs w:val="32"/>
        </w:rPr>
      </w:pPr>
      <w:r>
        <w:rPr>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1"/>
        </w:numPr>
        <w:kinsoku/>
        <w:wordWrap/>
        <w:overflowPunct/>
        <w:topLinePunct w:val="0"/>
        <w:autoSpaceDE/>
        <w:autoSpaceDN/>
        <w:bidi w:val="0"/>
        <w:adjustRightInd/>
        <w:snapToGrid/>
        <w:spacing w:line="560" w:lineRule="exact"/>
        <w:ind w:left="0" w:firstLine="640" w:firstLineChars="200"/>
        <w:outlineLvl w:val="9"/>
        <w:rPr>
          <w:sz w:val="32"/>
          <w:szCs w:val="32"/>
        </w:rPr>
      </w:pPr>
      <w:r>
        <w:rPr>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0" w:firstLine="640" w:firstLineChars="200"/>
        <w:outlineLvl w:val="9"/>
        <w:rPr>
          <w:sz w:val="32"/>
          <w:szCs w:val="32"/>
        </w:rPr>
      </w:pPr>
      <w:r>
        <w:rPr>
          <w:sz w:val="32"/>
          <w:szCs w:val="32"/>
        </w:rPr>
        <w:t>（2）项目绩效管理财政支出运行提供及时、有效的信息。</w:t>
      </w:r>
    </w:p>
    <w:p>
      <w:pPr>
        <w:pStyle w:val="22"/>
        <w:pageBreakBefore w:val="0"/>
        <w:kinsoku/>
        <w:wordWrap/>
        <w:overflowPunct/>
        <w:topLinePunct w:val="0"/>
        <w:autoSpaceDE/>
        <w:autoSpaceDN/>
        <w:bidi w:val="0"/>
        <w:adjustRightInd/>
        <w:snapToGrid/>
        <w:spacing w:line="560" w:lineRule="exact"/>
        <w:ind w:left="0" w:firstLine="640" w:firstLineChars="200"/>
        <w:outlineLvl w:val="9"/>
        <w:rPr>
          <w:rFonts w:eastAsia="方正仿宋_GBK" w:cs="方正仿宋_GBK"/>
          <w:sz w:val="32"/>
          <w:szCs w:val="32"/>
        </w:rPr>
      </w:pPr>
      <w:r>
        <w:rPr>
          <w:sz w:val="32"/>
          <w:szCs w:val="32"/>
        </w:rPr>
        <w:t>综合来看，通过开展有效的财政支出绩效评价管理，</w:t>
      </w:r>
      <w:r>
        <w:rPr>
          <w:rFonts w:hint="eastAsia"/>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ageBreakBefore w:val="0"/>
        <w:kinsoku/>
        <w:wordWrap/>
        <w:overflowPunct/>
        <w:topLinePunct w:val="0"/>
        <w:autoSpaceDE/>
        <w:autoSpaceDN/>
        <w:bidi w:val="0"/>
        <w:adjustRightInd/>
        <w:snapToGrid/>
        <w:spacing w:line="560" w:lineRule="exact"/>
        <w:ind w:left="0"/>
        <w:outlineLvl w:val="9"/>
        <w:rPr>
          <w:sz w:val="32"/>
          <w:szCs w:val="32"/>
        </w:rPr>
      </w:pPr>
      <w:r>
        <w:rPr>
          <w:rFonts w:hint="eastAsia"/>
          <w:b/>
          <w:bCs/>
          <w:szCs w:val="30"/>
        </w:rPr>
        <w:t>　</w:t>
      </w:r>
      <w:r>
        <w:rPr>
          <w:rFonts w:hint="eastAsia"/>
          <w:b/>
          <w:bCs/>
          <w:szCs w:val="30"/>
          <w:lang w:val="en-US" w:eastAsia="zh-CN"/>
        </w:rPr>
        <w:t xml:space="preserve">  </w:t>
      </w:r>
      <w:r>
        <w:rPr>
          <w:rFonts w:hint="eastAsia"/>
          <w:sz w:val="32"/>
          <w:szCs w:val="32"/>
        </w:rPr>
        <w:t>2.绩效评价对象：</w:t>
      </w:r>
    </w:p>
    <w:p>
      <w:pPr>
        <w:pageBreakBefore w:val="0"/>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cs="仿宋_GB2312"/>
          <w:sz w:val="32"/>
          <w:szCs w:val="32"/>
        </w:rPr>
      </w:pPr>
      <w:r>
        <w:rPr>
          <w:rFonts w:hint="eastAsia" w:ascii="仿宋_GB2312" w:hAnsi="仿宋_GB2312" w:cs="仿宋_GB2312"/>
          <w:sz w:val="32"/>
          <w:szCs w:val="32"/>
        </w:rPr>
        <w:t>霍尔果斯市群众信访业务大楼尾款项目所包含的全部项目内容。</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sz w:val="32"/>
          <w:szCs w:val="32"/>
        </w:rPr>
        <w:t>3.绩效评价范围：</w:t>
      </w:r>
    </w:p>
    <w:p>
      <w:pPr>
        <w:pageBreakBefore w:val="0"/>
        <w:kinsoku/>
        <w:wordWrap/>
        <w:overflowPunct/>
        <w:topLinePunct w:val="0"/>
        <w:autoSpaceDE/>
        <w:autoSpaceDN/>
        <w:bidi w:val="0"/>
        <w:adjustRightInd/>
        <w:snapToGrid/>
        <w:spacing w:line="560" w:lineRule="exact"/>
        <w:ind w:left="0" w:firstLine="640" w:firstLineChars="200"/>
        <w:outlineLvl w:val="9"/>
        <w:rPr>
          <w:sz w:val="32"/>
          <w:szCs w:val="32"/>
        </w:rPr>
      </w:pPr>
      <w:r>
        <w:rPr>
          <w:rFonts w:hint="eastAsia"/>
          <w:sz w:val="32"/>
          <w:szCs w:val="32"/>
        </w:rPr>
        <w:t>本次评价从项目决策（包括绩效目标、决策过程）、项目管理（包括项目资金、项目实施）、项目产出（包括项目产出数量、产出质量、产出时效和产出成本）项目效益四个维</w:t>
      </w:r>
      <w:r>
        <w:rPr>
          <w:rFonts w:hint="eastAsia"/>
          <w:color w:val="auto"/>
          <w:sz w:val="32"/>
          <w:szCs w:val="32"/>
        </w:rPr>
        <w:t>度进行霍尔果斯市群众信访业务大楼尾款评价，评价核心为资金的</w:t>
      </w:r>
      <w:r>
        <w:rPr>
          <w:rFonts w:hint="eastAsia"/>
          <w:sz w:val="32"/>
          <w:szCs w:val="32"/>
        </w:rPr>
        <w:t>支出完成情况和效果。</w:t>
      </w:r>
    </w:p>
    <w:p>
      <w:pPr>
        <w:pageBreakBefore w:val="0"/>
        <w:kinsoku/>
        <w:wordWrap/>
        <w:overflowPunct/>
        <w:topLinePunct w:val="0"/>
        <w:autoSpaceDE/>
        <w:autoSpaceDN/>
        <w:bidi w:val="0"/>
        <w:adjustRightInd/>
        <w:snapToGrid/>
        <w:spacing w:line="560" w:lineRule="exact"/>
        <w:ind w:left="0" w:firstLine="643" w:firstLineChars="200"/>
        <w:outlineLvl w:val="9"/>
        <w:rPr>
          <w:rFonts w:hint="eastAsia" w:eastAsia="楷体_GB2312"/>
          <w:b/>
          <w:bCs/>
          <w:sz w:val="32"/>
          <w:szCs w:val="32"/>
        </w:rPr>
      </w:pPr>
      <w:bookmarkStart w:id="5" w:name="_Toc68703832"/>
      <w:r>
        <w:rPr>
          <w:rFonts w:hint="eastAsia" w:eastAsia="楷体_GB2312"/>
          <w:b/>
          <w:bCs/>
          <w:sz w:val="32"/>
          <w:szCs w:val="32"/>
        </w:rPr>
        <w:t>（二）绩效评价原则、评价指标体系（详情见表1）、评价方法、评价标准</w:t>
      </w:r>
      <w:bookmarkEnd w:id="5"/>
    </w:p>
    <w:p>
      <w:pPr>
        <w:pageBreakBefore w:val="0"/>
        <w:kinsoku/>
        <w:wordWrap/>
        <w:overflowPunct/>
        <w:topLinePunct w:val="0"/>
        <w:autoSpaceDE/>
        <w:autoSpaceDN/>
        <w:bidi w:val="0"/>
        <w:adjustRightInd/>
        <w:snapToGrid/>
        <w:spacing w:line="560" w:lineRule="exact"/>
        <w:ind w:left="0" w:firstLine="640" w:firstLineChars="200"/>
        <w:jc w:val="left"/>
        <w:outlineLvl w:val="9"/>
        <w:rPr>
          <w:sz w:val="32"/>
          <w:szCs w:val="32"/>
        </w:rPr>
      </w:pPr>
      <w:r>
        <w:rPr>
          <w:rFonts w:hint="eastAsia"/>
          <w:sz w:val="32"/>
          <w:szCs w:val="32"/>
        </w:rPr>
        <w:t>1.绩效评价原则</w:t>
      </w:r>
    </w:p>
    <w:p>
      <w:pPr>
        <w:pageBreakBefore w:val="0"/>
        <w:kinsoku/>
        <w:wordWrap/>
        <w:overflowPunct/>
        <w:topLinePunct w:val="0"/>
        <w:autoSpaceDE/>
        <w:autoSpaceDN/>
        <w:bidi w:val="0"/>
        <w:adjustRightInd/>
        <w:snapToGrid/>
        <w:spacing w:line="560" w:lineRule="exact"/>
        <w:ind w:left="0" w:firstLine="640" w:firstLineChars="200"/>
        <w:outlineLvl w:val="9"/>
        <w:rPr>
          <w:color w:val="000000"/>
          <w:sz w:val="32"/>
          <w:szCs w:val="32"/>
        </w:rPr>
      </w:pPr>
      <w:r>
        <w:rPr>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outlineLvl w:val="9"/>
      </w:pPr>
      <w:r>
        <w:rPr>
          <w:rFonts w:ascii="Times New Roman" w:hAnsi="Times New Roman" w:eastAsia="仿宋_GB2312"/>
          <w:b w:val="0"/>
          <w:bCs w:val="0"/>
        </w:rPr>
        <w:t>（4）公开透明。绩效评价结果应依法依规公开，并自觉接受社会监督。</w:t>
      </w:r>
    </w:p>
    <w:p>
      <w:pPr>
        <w:pageBreakBefore w:val="0"/>
        <w:kinsoku/>
        <w:wordWrap/>
        <w:overflowPunct/>
        <w:topLinePunct w:val="0"/>
        <w:autoSpaceDE/>
        <w:autoSpaceDN/>
        <w:bidi w:val="0"/>
        <w:adjustRightInd/>
        <w:snapToGrid/>
        <w:spacing w:line="560" w:lineRule="exact"/>
        <w:ind w:left="0" w:firstLine="600" w:firstLineChars="200"/>
        <w:jc w:val="left"/>
        <w:outlineLvl w:val="9"/>
        <w:rPr>
          <w:sz w:val="32"/>
          <w:szCs w:val="32"/>
        </w:rPr>
      </w:pPr>
      <w:r>
        <w:rPr>
          <w:rFonts w:hint="eastAsia"/>
        </w:rPr>
        <w:t>2、</w:t>
      </w:r>
      <w:r>
        <w:rPr>
          <w:rFonts w:hint="eastAsia"/>
          <w:sz w:val="32"/>
          <w:szCs w:val="32"/>
        </w:rPr>
        <w:t>评价指标体系</w:t>
      </w:r>
    </w:p>
    <w:p>
      <w:pPr>
        <w:pageBreakBefore w:val="0"/>
        <w:kinsoku/>
        <w:wordWrap/>
        <w:overflowPunct/>
        <w:topLinePunct w:val="0"/>
        <w:autoSpaceDE/>
        <w:autoSpaceDN/>
        <w:bidi w:val="0"/>
        <w:adjustRightInd/>
        <w:snapToGrid/>
        <w:spacing w:line="560" w:lineRule="exact"/>
        <w:ind w:left="0" w:firstLine="708" w:firstLineChars="200"/>
        <w:outlineLvl w:val="9"/>
        <w:rPr>
          <w:color w:val="000000"/>
          <w:spacing w:val="17"/>
          <w:sz w:val="32"/>
          <w:szCs w:val="32"/>
        </w:rPr>
      </w:pPr>
      <w:r>
        <w:rPr>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left="0" w:firstLine="708" w:firstLineChars="200"/>
        <w:outlineLvl w:val="9"/>
        <w:rPr>
          <w:color w:val="000000"/>
          <w:spacing w:val="17"/>
          <w:sz w:val="32"/>
          <w:szCs w:val="32"/>
        </w:rPr>
      </w:pPr>
      <w:r>
        <w:rPr>
          <w:color w:val="000000"/>
          <w:spacing w:val="17"/>
          <w:sz w:val="32"/>
          <w:szCs w:val="32"/>
        </w:rPr>
        <w:t>（1）确定评价指标</w:t>
      </w:r>
    </w:p>
    <w:p>
      <w:pPr>
        <w:pageBreakBefore w:val="0"/>
        <w:kinsoku/>
        <w:wordWrap/>
        <w:overflowPunct/>
        <w:topLinePunct w:val="0"/>
        <w:autoSpaceDE/>
        <w:autoSpaceDN/>
        <w:bidi w:val="0"/>
        <w:adjustRightInd/>
        <w:snapToGrid/>
        <w:spacing w:line="560" w:lineRule="exact"/>
        <w:ind w:left="0" w:firstLine="708" w:firstLineChars="200"/>
        <w:outlineLvl w:val="9"/>
        <w:rPr>
          <w:color w:val="000000"/>
          <w:spacing w:val="17"/>
          <w:sz w:val="32"/>
          <w:szCs w:val="32"/>
        </w:rPr>
      </w:pPr>
      <w:r>
        <w:rPr>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left="0" w:firstLine="708" w:firstLineChars="200"/>
        <w:outlineLvl w:val="9"/>
        <w:rPr>
          <w:color w:val="000000"/>
          <w:spacing w:val="17"/>
          <w:sz w:val="32"/>
          <w:szCs w:val="32"/>
        </w:rPr>
      </w:pPr>
      <w:r>
        <w:rPr>
          <w:color w:val="000000"/>
          <w:spacing w:val="17"/>
          <w:sz w:val="32"/>
          <w:szCs w:val="32"/>
        </w:rPr>
        <w:t>（2）确定权重</w:t>
      </w:r>
    </w:p>
    <w:p>
      <w:pPr>
        <w:pageBreakBefore w:val="0"/>
        <w:kinsoku/>
        <w:wordWrap/>
        <w:overflowPunct/>
        <w:topLinePunct w:val="0"/>
        <w:autoSpaceDE/>
        <w:autoSpaceDN/>
        <w:bidi w:val="0"/>
        <w:adjustRightInd/>
        <w:snapToGrid/>
        <w:spacing w:line="560" w:lineRule="exact"/>
        <w:ind w:left="0" w:firstLine="708" w:firstLineChars="200"/>
        <w:outlineLvl w:val="9"/>
        <w:rPr>
          <w:color w:val="000000"/>
          <w:spacing w:val="17"/>
          <w:sz w:val="32"/>
          <w:szCs w:val="32"/>
        </w:rPr>
      </w:pPr>
      <w:bookmarkStart w:id="22" w:name="_GoBack"/>
      <w:r>
        <w:rPr>
          <w:color w:val="000000"/>
          <w:spacing w:val="17"/>
          <w:sz w:val="32"/>
          <w:szCs w:val="32"/>
        </w:rPr>
        <w:t>确定各个指标相对于项目总体绩效的权重分值。在绩效评价指标体系中，项目决策权重为</w:t>
      </w:r>
      <w:r>
        <w:rPr>
          <w:rFonts w:hint="eastAsia"/>
          <w:color w:val="000000"/>
          <w:spacing w:val="17"/>
          <w:sz w:val="32"/>
          <w:szCs w:val="32"/>
        </w:rPr>
        <w:t>1</w:t>
      </w:r>
      <w:r>
        <w:rPr>
          <w:color w:val="000000"/>
          <w:spacing w:val="17"/>
          <w:sz w:val="32"/>
          <w:szCs w:val="32"/>
        </w:rPr>
        <w:t>0分，项目过程权重为</w:t>
      </w:r>
      <w:r>
        <w:rPr>
          <w:rFonts w:hint="eastAsia"/>
          <w:color w:val="000000"/>
          <w:spacing w:val="17"/>
          <w:sz w:val="32"/>
          <w:szCs w:val="32"/>
        </w:rPr>
        <w:t>15</w:t>
      </w:r>
      <w:r>
        <w:rPr>
          <w:color w:val="000000"/>
          <w:spacing w:val="17"/>
          <w:sz w:val="32"/>
          <w:szCs w:val="32"/>
        </w:rPr>
        <w:t>分，项目产出权重为40分，项目效益权重为</w:t>
      </w:r>
      <w:r>
        <w:rPr>
          <w:rFonts w:hint="eastAsia"/>
          <w:color w:val="000000"/>
          <w:spacing w:val="17"/>
          <w:sz w:val="32"/>
          <w:szCs w:val="32"/>
        </w:rPr>
        <w:t>25</w:t>
      </w:r>
      <w:r>
        <w:rPr>
          <w:rFonts w:hint="eastAsia"/>
          <w:color w:val="000000"/>
          <w:spacing w:val="17"/>
          <w:sz w:val="32"/>
          <w:szCs w:val="32"/>
          <w:lang w:val="en-US" w:eastAsia="zh-CN"/>
        </w:rPr>
        <w:t>0</w:t>
      </w:r>
      <w:r>
        <w:rPr>
          <w:color w:val="000000"/>
          <w:spacing w:val="17"/>
          <w:sz w:val="32"/>
          <w:szCs w:val="32"/>
        </w:rPr>
        <w:t>分。</w:t>
      </w:r>
    </w:p>
    <w:bookmarkEnd w:id="22"/>
    <w:p>
      <w:pPr>
        <w:pageBreakBefore w:val="0"/>
        <w:kinsoku/>
        <w:wordWrap/>
        <w:overflowPunct/>
        <w:topLinePunct w:val="0"/>
        <w:autoSpaceDE/>
        <w:autoSpaceDN/>
        <w:bidi w:val="0"/>
        <w:adjustRightInd/>
        <w:snapToGrid/>
        <w:spacing w:line="560" w:lineRule="exact"/>
        <w:ind w:left="0" w:firstLine="708" w:firstLineChars="200"/>
        <w:outlineLvl w:val="9"/>
        <w:rPr>
          <w:color w:val="000000"/>
          <w:spacing w:val="17"/>
          <w:sz w:val="32"/>
          <w:szCs w:val="32"/>
        </w:rPr>
      </w:pPr>
      <w:r>
        <w:rPr>
          <w:color w:val="000000"/>
          <w:spacing w:val="17"/>
          <w:sz w:val="32"/>
          <w:szCs w:val="32"/>
        </w:rPr>
        <w:t>（3）确定指标标准值</w:t>
      </w:r>
    </w:p>
    <w:p>
      <w:pPr>
        <w:pageBreakBefore w:val="0"/>
        <w:kinsoku/>
        <w:wordWrap/>
        <w:overflowPunct/>
        <w:topLinePunct w:val="0"/>
        <w:autoSpaceDE/>
        <w:autoSpaceDN/>
        <w:bidi w:val="0"/>
        <w:adjustRightInd/>
        <w:snapToGrid/>
        <w:spacing w:line="560" w:lineRule="exact"/>
        <w:ind w:left="0" w:firstLine="708" w:firstLineChars="200"/>
        <w:outlineLvl w:val="9"/>
        <w:rPr>
          <w:color w:val="000000"/>
          <w:spacing w:val="17"/>
          <w:sz w:val="32"/>
          <w:szCs w:val="32"/>
        </w:rPr>
      </w:pPr>
      <w:r>
        <w:rPr>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left="0" w:firstLine="708" w:firstLineChars="200"/>
        <w:jc w:val="both"/>
        <w:outlineLvl w:val="9"/>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exact"/>
        <w:ind w:left="0" w:firstLine="708" w:firstLineChars="200"/>
        <w:jc w:val="both"/>
        <w:outlineLvl w:val="9"/>
      </w:pPr>
      <w:r>
        <w:rPr>
          <w:rFonts w:ascii="Times New Roman" w:hAnsi="Times New Roman" w:eastAsia="仿宋_GB2312"/>
          <w:b w:val="0"/>
          <w:bCs w:val="0"/>
          <w:color w:val="000000"/>
          <w:spacing w:val="17"/>
        </w:rPr>
        <w:t>具体评价指标体系详情见附件1</w:t>
      </w:r>
    </w:p>
    <w:p>
      <w:pPr>
        <w:pStyle w:val="6"/>
        <w:pageBreakBefore w:val="0"/>
        <w:kinsoku/>
        <w:wordWrap/>
        <w:overflowPunct/>
        <w:topLinePunct w:val="0"/>
        <w:autoSpaceDE/>
        <w:autoSpaceDN/>
        <w:bidi w:val="0"/>
        <w:adjustRightInd/>
        <w:snapToGrid/>
        <w:spacing w:line="560" w:lineRule="exact"/>
        <w:ind w:left="0"/>
        <w:outlineLvl w:val="9"/>
        <w:rPr>
          <w:sz w:val="32"/>
          <w:szCs w:val="32"/>
        </w:rPr>
      </w:pPr>
      <w:r>
        <w:rPr>
          <w:rFonts w:hint="eastAsia"/>
          <w:sz w:val="32"/>
          <w:szCs w:val="32"/>
        </w:rPr>
        <w:t>3、评价方法</w:t>
      </w:r>
    </w:p>
    <w:p>
      <w:pPr>
        <w:pageBreakBefore w:val="0"/>
        <w:kinsoku/>
        <w:wordWrap/>
        <w:overflowPunct/>
        <w:topLinePunct w:val="0"/>
        <w:autoSpaceDE/>
        <w:autoSpaceDN/>
        <w:bidi w:val="0"/>
        <w:adjustRightInd/>
        <w:snapToGrid/>
        <w:spacing w:line="560" w:lineRule="exact"/>
        <w:ind w:left="0" w:firstLine="708" w:firstLineChars="200"/>
        <w:outlineLvl w:val="9"/>
        <w:rPr>
          <w:color w:val="000000"/>
          <w:spacing w:val="17"/>
          <w:sz w:val="32"/>
          <w:szCs w:val="32"/>
        </w:rPr>
      </w:pPr>
      <w:r>
        <w:rPr>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left="0" w:firstLine="708" w:firstLineChars="200"/>
        <w:outlineLvl w:val="9"/>
        <w:rPr>
          <w:bCs/>
          <w:color w:val="FF0000"/>
          <w:sz w:val="32"/>
          <w:szCs w:val="32"/>
        </w:rPr>
      </w:pPr>
      <w:r>
        <w:rPr>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left="0" w:firstLine="708" w:firstLineChars="200"/>
        <w:outlineLvl w:val="9"/>
        <w:rPr>
          <w:color w:val="000000" w:themeColor="text1"/>
          <w:spacing w:val="17"/>
          <w:sz w:val="32"/>
          <w:szCs w:val="32"/>
          <w14:textFill>
            <w14:solidFill>
              <w14:schemeClr w14:val="tx1"/>
            </w14:solidFill>
          </w14:textFill>
        </w:rPr>
      </w:pPr>
      <w:r>
        <w:rPr>
          <w:color w:val="000000" w:themeColor="text1"/>
          <w:spacing w:val="17"/>
          <w:sz w:val="32"/>
          <w:szCs w:val="32"/>
          <w14:textFill>
            <w14:solidFill>
              <w14:schemeClr w14:val="tx1"/>
            </w14:solidFill>
          </w14:textFill>
        </w:rPr>
        <w:t>（1）比较法</w:t>
      </w:r>
    </w:p>
    <w:p>
      <w:pPr>
        <w:pageBreakBefore w:val="0"/>
        <w:kinsoku/>
        <w:wordWrap/>
        <w:overflowPunct/>
        <w:topLinePunct w:val="0"/>
        <w:autoSpaceDE/>
        <w:autoSpaceDN/>
        <w:bidi w:val="0"/>
        <w:adjustRightInd/>
        <w:snapToGrid/>
        <w:spacing w:line="560" w:lineRule="exact"/>
        <w:ind w:left="0" w:firstLine="708" w:firstLineChars="200"/>
        <w:outlineLvl w:val="9"/>
        <w:rPr>
          <w:color w:val="000000" w:themeColor="text1"/>
          <w:spacing w:val="17"/>
          <w:sz w:val="32"/>
          <w:szCs w:val="32"/>
          <w14:textFill>
            <w14:solidFill>
              <w14:schemeClr w14:val="tx1"/>
            </w14:solidFill>
          </w14:textFill>
        </w:rPr>
      </w:pPr>
      <w:r>
        <w:rPr>
          <w:color w:val="000000" w:themeColor="text1"/>
          <w:spacing w:val="17"/>
          <w:sz w:val="32"/>
          <w:szCs w:val="32"/>
          <w14:textFill>
            <w14:solidFill>
              <w14:schemeClr w14:val="tx1"/>
            </w14:solidFill>
          </w14:textFill>
        </w:rPr>
        <w:t>通过对绩效目标与实施效果、历史与当期情况，综合分析绩效目标实现程度。对</w:t>
      </w:r>
      <w:r>
        <w:rPr>
          <w:color w:val="000000" w:themeColor="text1"/>
          <w:sz w:val="32"/>
          <w:szCs w:val="32"/>
          <w14:textFill>
            <w14:solidFill>
              <w14:schemeClr w14:val="tx1"/>
            </w14:solidFill>
          </w14:textFill>
        </w:rPr>
        <w:t>项目</w:t>
      </w:r>
      <w:r>
        <w:rPr>
          <w:color w:val="000000" w:themeColor="text1"/>
          <w:spacing w:val="17"/>
          <w:sz w:val="32"/>
          <w:szCs w:val="32"/>
          <w14:textFill>
            <w14:solidFill>
              <w14:schemeClr w14:val="tx1"/>
            </w14:solidFill>
          </w14:textFill>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left="0" w:firstLine="708" w:firstLineChars="200"/>
        <w:outlineLvl w:val="9"/>
        <w:rPr>
          <w:color w:val="000000" w:themeColor="text1"/>
          <w:spacing w:val="17"/>
          <w:sz w:val="32"/>
          <w:szCs w:val="32"/>
          <w14:textFill>
            <w14:solidFill>
              <w14:schemeClr w14:val="tx1"/>
            </w14:solidFill>
          </w14:textFill>
        </w:rPr>
      </w:pPr>
      <w:r>
        <w:rPr>
          <w:color w:val="000000" w:themeColor="text1"/>
          <w:spacing w:val="17"/>
          <w:sz w:val="32"/>
          <w:szCs w:val="32"/>
          <w14:textFill>
            <w14:solidFill>
              <w14:schemeClr w14:val="tx1"/>
            </w14:solidFill>
          </w14:textFill>
        </w:rPr>
        <w:t>（2）因素分析法</w:t>
      </w:r>
    </w:p>
    <w:p>
      <w:pPr>
        <w:pageBreakBefore w:val="0"/>
        <w:kinsoku/>
        <w:wordWrap/>
        <w:overflowPunct/>
        <w:topLinePunct w:val="0"/>
        <w:autoSpaceDE/>
        <w:autoSpaceDN/>
        <w:bidi w:val="0"/>
        <w:adjustRightInd/>
        <w:snapToGrid/>
        <w:spacing w:line="560" w:lineRule="exact"/>
        <w:ind w:left="0" w:firstLine="708" w:firstLineChars="200"/>
        <w:outlineLvl w:val="9"/>
        <w:rPr>
          <w:bCs/>
          <w:color w:val="000000" w:themeColor="text1"/>
          <w:sz w:val="32"/>
          <w:szCs w:val="32"/>
          <w14:textFill>
            <w14:solidFill>
              <w14:schemeClr w14:val="tx1"/>
            </w14:solidFill>
          </w14:textFill>
        </w:rPr>
      </w:pPr>
      <w:r>
        <w:rPr>
          <w:color w:val="000000" w:themeColor="text1"/>
          <w:spacing w:val="17"/>
          <w:sz w:val="32"/>
          <w:szCs w:val="32"/>
          <w14:textFill>
            <w14:solidFill>
              <w14:schemeClr w14:val="tx1"/>
            </w14:solidFill>
          </w14:textFill>
        </w:rPr>
        <w:t>通过综合分析影响绩效目标实现、实施效果的内外因素，评价绩效目标实现程度。通过对</w:t>
      </w:r>
      <w:r>
        <w:rPr>
          <w:color w:val="000000" w:themeColor="text1"/>
          <w:sz w:val="32"/>
          <w:szCs w:val="32"/>
          <w14:textFill>
            <w14:solidFill>
              <w14:schemeClr w14:val="tx1"/>
            </w14:solidFill>
          </w14:textFill>
        </w:rPr>
        <w:t>项目</w:t>
      </w:r>
      <w:r>
        <w:rPr>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kinsoku/>
        <w:wordWrap/>
        <w:overflowPunct/>
        <w:topLinePunct w:val="0"/>
        <w:autoSpaceDE/>
        <w:autoSpaceDN/>
        <w:bidi w:val="0"/>
        <w:adjustRightInd/>
        <w:snapToGrid/>
        <w:spacing w:line="560" w:lineRule="exact"/>
        <w:ind w:left="0"/>
        <w:jc w:val="left"/>
        <w:outlineLvl w:val="9"/>
      </w:pPr>
      <w:r>
        <w:rPr>
          <w:rFonts w:hint="eastAsia"/>
        </w:rPr>
        <w:t>　　</w:t>
      </w:r>
      <w:r>
        <w:rPr>
          <w:rFonts w:hint="eastAsia"/>
          <w:sz w:val="32"/>
          <w:szCs w:val="32"/>
        </w:rPr>
        <w:t>4.评价标准</w:t>
      </w:r>
    </w:p>
    <w:p>
      <w:pPr>
        <w:pageBreakBefore w:val="0"/>
        <w:kinsoku/>
        <w:wordWrap/>
        <w:overflowPunct/>
        <w:topLinePunct w:val="0"/>
        <w:autoSpaceDE/>
        <w:autoSpaceDN/>
        <w:bidi w:val="0"/>
        <w:adjustRightInd/>
        <w:snapToGrid/>
        <w:spacing w:line="560" w:lineRule="exact"/>
        <w:ind w:left="0" w:firstLine="640"/>
        <w:outlineLvl w:val="9"/>
        <w:rPr>
          <w:bCs/>
          <w:color w:val="auto"/>
          <w:sz w:val="32"/>
          <w:szCs w:val="32"/>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绩效评价标准通常包括计划标准、行业标准、历史标准等，用于对绩效指标完成情况进行比较、分析、评价。本次评价主要采用了计划标准。</w:t>
      </w:r>
      <w:r>
        <w:rPr>
          <w:rFonts w:hint="eastAsia"/>
          <w:bCs/>
          <w:color w:val="auto"/>
          <w:sz w:val="32"/>
          <w:szCs w:val="32"/>
        </w:rPr>
        <w:t>以预先制定的目标、计划、预算、定额等作为评价标准。</w:t>
      </w:r>
    </w:p>
    <w:p>
      <w:pPr>
        <w:pageBreakBefore w:val="0"/>
        <w:kinsoku/>
        <w:wordWrap/>
        <w:overflowPunct/>
        <w:topLinePunct w:val="0"/>
        <w:autoSpaceDE/>
        <w:autoSpaceDN/>
        <w:bidi w:val="0"/>
        <w:adjustRightInd/>
        <w:snapToGrid/>
        <w:spacing w:line="560" w:lineRule="exact"/>
        <w:ind w:left="0" w:firstLine="643" w:firstLineChars="200"/>
        <w:outlineLvl w:val="9"/>
        <w:rPr>
          <w:rFonts w:eastAsia="楷体_GB2312"/>
          <w:b/>
          <w:bCs/>
          <w:sz w:val="32"/>
          <w:szCs w:val="32"/>
        </w:rPr>
      </w:pPr>
      <w:bookmarkStart w:id="6" w:name="_Toc68703833"/>
      <w:r>
        <w:rPr>
          <w:rFonts w:hint="eastAsia" w:eastAsia="楷体_GB2312"/>
          <w:b/>
          <w:bCs/>
          <w:sz w:val="32"/>
          <w:szCs w:val="32"/>
        </w:rPr>
        <w:t>（三）绩效评价工作过程</w:t>
      </w:r>
      <w:bookmarkEnd w:id="6"/>
    </w:p>
    <w:p>
      <w:pPr>
        <w:pageBreakBefore w:val="0"/>
        <w:kinsoku/>
        <w:wordWrap/>
        <w:overflowPunct/>
        <w:topLinePunct w:val="0"/>
        <w:autoSpaceDE/>
        <w:autoSpaceDN/>
        <w:bidi w:val="0"/>
        <w:adjustRightInd/>
        <w:snapToGrid/>
        <w:spacing w:line="560" w:lineRule="exact"/>
        <w:ind w:left="0" w:firstLine="640" w:firstLineChars="200"/>
        <w:jc w:val="left"/>
        <w:outlineLvl w:val="9"/>
        <w:rPr>
          <w:sz w:val="32"/>
          <w:szCs w:val="32"/>
        </w:rPr>
      </w:pPr>
      <w:r>
        <w:rPr>
          <w:rFonts w:hint="eastAsia"/>
          <w:sz w:val="32"/>
          <w:szCs w:val="32"/>
        </w:rPr>
        <w:t>1.前期准备：</w:t>
      </w:r>
    </w:p>
    <w:p>
      <w:pPr>
        <w:pageBreakBefore w:val="0"/>
        <w:kinsoku/>
        <w:wordWrap/>
        <w:overflowPunct/>
        <w:topLinePunct w:val="0"/>
        <w:autoSpaceDE/>
        <w:autoSpaceDN/>
        <w:bidi w:val="0"/>
        <w:adjustRightInd/>
        <w:snapToGrid/>
        <w:spacing w:line="560" w:lineRule="exact"/>
        <w:ind w:left="0" w:firstLine="640" w:firstLineChars="200"/>
        <w:outlineLvl w:val="9"/>
        <w:rPr>
          <w:bCs/>
          <w:sz w:val="32"/>
          <w:szCs w:val="32"/>
        </w:rPr>
      </w:pPr>
      <w:r>
        <w:rPr>
          <w:rFonts w:hint="eastAsia"/>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exact"/>
        <w:ind w:left="0" w:firstLine="640" w:firstLineChars="200"/>
        <w:jc w:val="left"/>
        <w:outlineLvl w:val="9"/>
        <w:rPr>
          <w:sz w:val="32"/>
          <w:szCs w:val="32"/>
        </w:rPr>
      </w:pPr>
      <w:r>
        <w:rPr>
          <w:rFonts w:hint="eastAsia"/>
          <w:sz w:val="32"/>
          <w:szCs w:val="32"/>
        </w:rPr>
        <w:t>2.组织实施：</w:t>
      </w:r>
    </w:p>
    <w:p>
      <w:pPr>
        <w:pageBreakBefore w:val="0"/>
        <w:kinsoku/>
        <w:wordWrap/>
        <w:overflowPunct/>
        <w:topLinePunct w:val="0"/>
        <w:autoSpaceDE/>
        <w:autoSpaceDN/>
        <w:bidi w:val="0"/>
        <w:adjustRightInd/>
        <w:snapToGrid/>
        <w:spacing w:line="560" w:lineRule="exact"/>
        <w:ind w:left="0" w:firstLine="640" w:firstLineChars="200"/>
        <w:outlineLvl w:val="9"/>
        <w:rPr>
          <w:bCs/>
          <w:sz w:val="32"/>
          <w:szCs w:val="32"/>
        </w:rPr>
      </w:pPr>
      <w:r>
        <w:rPr>
          <w:rFonts w:hint="eastAsia"/>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exact"/>
        <w:ind w:left="0" w:firstLine="640" w:firstLineChars="200"/>
        <w:jc w:val="left"/>
        <w:outlineLvl w:val="9"/>
        <w:rPr>
          <w:sz w:val="32"/>
          <w:szCs w:val="32"/>
        </w:rPr>
      </w:pPr>
      <w:r>
        <w:rPr>
          <w:rFonts w:hint="eastAsia"/>
          <w:sz w:val="32"/>
          <w:szCs w:val="32"/>
        </w:rPr>
        <w:t>3.分析评价：</w:t>
      </w:r>
    </w:p>
    <w:p>
      <w:pPr>
        <w:pageBreakBefore w:val="0"/>
        <w:kinsoku/>
        <w:wordWrap/>
        <w:overflowPunct/>
        <w:topLinePunct w:val="0"/>
        <w:autoSpaceDE/>
        <w:autoSpaceDN/>
        <w:bidi w:val="0"/>
        <w:adjustRightInd/>
        <w:snapToGrid/>
        <w:spacing w:line="560" w:lineRule="exact"/>
        <w:ind w:left="0" w:firstLine="640" w:firstLineChars="200"/>
        <w:outlineLvl w:val="9"/>
        <w:rPr>
          <w:sz w:val="32"/>
          <w:szCs w:val="32"/>
        </w:rPr>
      </w:pPr>
      <w:bookmarkStart w:id="7" w:name="_Toc68703834"/>
      <w:r>
        <w:rPr>
          <w:rFonts w:hint="eastAsia"/>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pageBreakBefore w:val="0"/>
        <w:kinsoku/>
        <w:wordWrap/>
        <w:overflowPunct/>
        <w:topLinePunct w:val="0"/>
        <w:autoSpaceDE/>
        <w:autoSpaceDN/>
        <w:bidi w:val="0"/>
        <w:adjustRightInd/>
        <w:snapToGrid/>
        <w:spacing w:line="560" w:lineRule="exact"/>
        <w:ind w:left="0" w:firstLine="640" w:firstLineChars="200"/>
        <w:outlineLvl w:val="9"/>
        <w:rPr>
          <w:rFonts w:eastAsia="黑体"/>
          <w:bCs/>
          <w:sz w:val="32"/>
          <w:szCs w:val="32"/>
        </w:rPr>
      </w:pPr>
      <w:r>
        <w:rPr>
          <w:rFonts w:hint="eastAsia" w:eastAsia="黑体"/>
          <w:bCs/>
          <w:sz w:val="32"/>
          <w:szCs w:val="32"/>
        </w:rPr>
        <w:t>三、综合评价情况及评价结论</w:t>
      </w:r>
      <w:bookmarkEnd w:id="7"/>
      <w:r>
        <w:rPr>
          <w:rFonts w:eastAsia="黑体"/>
          <w:sz w:val="32"/>
          <w:szCs w:val="32"/>
        </w:rPr>
        <w:t>（附相关评分表）</w:t>
      </w:r>
    </w:p>
    <w:p>
      <w:pPr>
        <w:pageBreakBefore w:val="0"/>
        <w:kinsoku/>
        <w:wordWrap/>
        <w:overflowPunct/>
        <w:topLinePunct w:val="0"/>
        <w:autoSpaceDE/>
        <w:autoSpaceDN/>
        <w:bidi w:val="0"/>
        <w:adjustRightInd/>
        <w:snapToGrid/>
        <w:spacing w:line="560" w:lineRule="exact"/>
        <w:ind w:left="0" w:firstLine="643" w:firstLineChars="200"/>
        <w:outlineLvl w:val="9"/>
        <w:rPr>
          <w:rFonts w:eastAsia="楷体_GB2312"/>
          <w:b/>
          <w:bCs/>
          <w:sz w:val="32"/>
          <w:szCs w:val="32"/>
        </w:rPr>
      </w:pPr>
      <w:bookmarkStart w:id="8" w:name="_Toc68703835"/>
      <w:r>
        <w:rPr>
          <w:rFonts w:hint="eastAsia" w:eastAsia="楷体_GB2312"/>
          <w:b/>
          <w:bCs/>
          <w:sz w:val="32"/>
          <w:szCs w:val="32"/>
        </w:rPr>
        <w:t>（一）综合评价情况</w:t>
      </w:r>
      <w:bookmarkEnd w:id="8"/>
    </w:p>
    <w:p>
      <w:pPr>
        <w:pageBreakBefore w:val="0"/>
        <w:kinsoku/>
        <w:wordWrap/>
        <w:overflowPunct/>
        <w:topLinePunct w:val="0"/>
        <w:autoSpaceDE/>
        <w:autoSpaceDN/>
        <w:bidi w:val="0"/>
        <w:adjustRightInd/>
        <w:snapToGrid/>
        <w:spacing w:line="560" w:lineRule="exact"/>
        <w:ind w:left="0" w:firstLine="640" w:firstLineChars="200"/>
        <w:outlineLvl w:val="9"/>
        <w:rPr>
          <w:color w:val="FF0000"/>
          <w:sz w:val="32"/>
          <w:szCs w:val="32"/>
        </w:rPr>
      </w:pPr>
      <w:r>
        <w:rPr>
          <w:rFonts w:hint="eastAsia"/>
          <w:kern w:val="28"/>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kinsoku/>
        <w:wordWrap/>
        <w:overflowPunct/>
        <w:topLinePunct w:val="0"/>
        <w:autoSpaceDE/>
        <w:autoSpaceDN/>
        <w:bidi w:val="0"/>
        <w:adjustRightInd/>
        <w:snapToGrid/>
        <w:spacing w:before="0" w:after="0" w:line="560" w:lineRule="exact"/>
        <w:ind w:left="0" w:firstLine="600" w:firstLineChars="200"/>
        <w:outlineLvl w:val="9"/>
        <w:rPr>
          <w:rFonts w:ascii="Times New Roman" w:hAnsi="Times New Roman" w:eastAsia="楷体_GB2312" w:cs="Times New Roman"/>
        </w:rPr>
      </w:pPr>
      <w:bookmarkStart w:id="9" w:name="_Toc68703836"/>
      <w:r>
        <w:rPr>
          <w:rFonts w:hint="eastAsia" w:ascii="Times New Roman" w:hAnsi="Times New Roman" w:eastAsia="楷体_GB2312" w:cs="Times New Roman"/>
        </w:rPr>
        <w:t>（二）评价结论</w:t>
      </w:r>
      <w:bookmarkEnd w:id="9"/>
    </w:p>
    <w:p>
      <w:pPr>
        <w:pStyle w:val="2"/>
        <w:pageBreakBefore w:val="0"/>
        <w:kinsoku/>
        <w:wordWrap/>
        <w:overflowPunct/>
        <w:topLinePunct w:val="0"/>
        <w:autoSpaceDE/>
        <w:autoSpaceDN/>
        <w:bidi w:val="0"/>
        <w:adjustRightInd/>
        <w:snapToGrid/>
        <w:spacing w:before="0" w:after="0" w:line="560" w:lineRule="exact"/>
        <w:ind w:left="0"/>
        <w:jc w:val="both"/>
        <w:outlineLvl w:val="9"/>
      </w:pPr>
      <w:r>
        <w:rPr>
          <w:rFonts w:hint="eastAsia" w:ascii="Times New Roman" w:hAnsi="Times New Roman" w:eastAsia="仿宋_GB2312"/>
          <w:b w:val="0"/>
          <w:bCs w:val="0"/>
        </w:rPr>
        <w:t>　　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总得分为100分，属于“优”。其中，项目决策类指标权重为20分，得分为 20分，得分率为 100%。项目过程类指标权重为20分，得分为20分，得分率为 100%。项目产出类指标权重为40分，得分为40分，得分率为100%。项目效益类指标权重为20分，得分为20分，得分率为100%。</w:t>
      </w:r>
      <w:r>
        <w:rPr>
          <w:rFonts w:hint="eastAsia" w:ascii="Times New Roman" w:hAnsi="Times New Roman" w:eastAsia="仿宋_GB2312"/>
          <w:b w:val="0"/>
          <w:bCs w:val="0"/>
        </w:rPr>
        <w:t>具体打分情况详见：附件1综合评分表。</w:t>
      </w:r>
    </w:p>
    <w:p>
      <w:pPr>
        <w:pageBreakBefore w:val="0"/>
        <w:kinsoku/>
        <w:wordWrap/>
        <w:overflowPunct/>
        <w:topLinePunct w:val="0"/>
        <w:autoSpaceDE/>
        <w:autoSpaceDN/>
        <w:bidi w:val="0"/>
        <w:adjustRightInd/>
        <w:snapToGrid/>
        <w:spacing w:line="560" w:lineRule="exact"/>
        <w:ind w:left="0" w:firstLine="600" w:firstLineChars="200"/>
        <w:outlineLvl w:val="9"/>
        <w:rPr>
          <w:kern w:val="28"/>
          <w:sz w:val="32"/>
          <w:szCs w:val="32"/>
        </w:rPr>
      </w:pPr>
      <w:r>
        <w:rPr>
          <w:rFonts w:hint="eastAsia"/>
          <w:szCs w:val="30"/>
        </w:rPr>
        <w:t>　　　　　　　　</w:t>
      </w:r>
      <w:r>
        <w:rPr>
          <w:rFonts w:hint="eastAsia"/>
          <w:kern w:val="28"/>
          <w:sz w:val="32"/>
          <w:szCs w:val="32"/>
        </w:rPr>
        <w:t>表1综合评分表</w:t>
      </w:r>
    </w:p>
    <w:tbl>
      <w:tblPr>
        <w:tblStyle w:val="12"/>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ind w:left="0"/>
              <w:jc w:val="center"/>
              <w:outlineLvl w:val="9"/>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ind w:left="0"/>
              <w:jc w:val="center"/>
              <w:outlineLvl w:val="9"/>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ind w:left="0"/>
              <w:jc w:val="center"/>
              <w:outlineLvl w:val="9"/>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outlineLvl w:val="9"/>
              <w:rPr>
                <w:rFonts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outlineLvl w:val="9"/>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outlineLvl w:val="9"/>
              <w:rPr>
                <w:color w:val="000000"/>
                <w:sz w:val="22"/>
              </w:rPr>
            </w:pPr>
            <w:r>
              <w:rPr>
                <w:rFonts w:hint="eastAsia"/>
                <w:color w:val="000000"/>
                <w:sz w:val="22"/>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outlineLvl w:val="9"/>
              <w:rPr>
                <w:rFonts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outlineLvl w:val="9"/>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outlineLvl w:val="9"/>
              <w:rPr>
                <w:color w:val="000000"/>
                <w:sz w:val="22"/>
              </w:rPr>
            </w:pPr>
            <w:r>
              <w:rPr>
                <w:rFonts w:hint="eastAsia"/>
                <w:color w:val="000000"/>
                <w:sz w:val="22"/>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outlineLvl w:val="9"/>
              <w:rPr>
                <w:rFonts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outlineLvl w:val="9"/>
              <w:rPr>
                <w:color w:val="000000"/>
                <w:sz w:val="22"/>
              </w:rPr>
            </w:pPr>
            <w:r>
              <w:rPr>
                <w:rFonts w:hint="eastAsia"/>
                <w:color w:val="000000"/>
                <w:sz w:val="22"/>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outlineLvl w:val="9"/>
              <w:rPr>
                <w:color w:val="000000"/>
                <w:sz w:val="22"/>
              </w:rPr>
            </w:pPr>
            <w:r>
              <w:rPr>
                <w:rFonts w:hint="eastAsia"/>
                <w:color w:val="000000"/>
                <w:sz w:val="22"/>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outlineLvl w:val="9"/>
              <w:rPr>
                <w:rFonts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outlineLvl w:val="9"/>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outlineLvl w:val="9"/>
              <w:rPr>
                <w:color w:val="000000"/>
                <w:sz w:val="22"/>
              </w:rPr>
            </w:pPr>
            <w:r>
              <w:rPr>
                <w:rFonts w:hint="eastAsia"/>
                <w:color w:val="000000"/>
                <w:sz w:val="22"/>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outlineLvl w:val="9"/>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outlineLvl w:val="9"/>
              <w:rPr>
                <w:b/>
                <w:bCs/>
                <w:color w:val="000000"/>
                <w:sz w:val="22"/>
              </w:rPr>
            </w:pPr>
            <w:r>
              <w:rPr>
                <w:rFonts w:hint="eastAsia"/>
                <w:b/>
                <w:bCs/>
                <w:color w:val="000000"/>
                <w:sz w:val="22"/>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jc w:val="center"/>
              <w:outlineLvl w:val="9"/>
              <w:rPr>
                <w:b/>
                <w:bCs/>
                <w:color w:val="000000"/>
                <w:sz w:val="22"/>
              </w:rPr>
            </w:pPr>
            <w:r>
              <w:rPr>
                <w:rFonts w:hint="eastAsia"/>
                <w:b/>
                <w:bCs/>
                <w:color w:val="000000"/>
                <w:sz w:val="22"/>
              </w:rPr>
              <w:t>100</w:t>
            </w:r>
          </w:p>
        </w:tc>
      </w:tr>
    </w:tbl>
    <w:p>
      <w:pPr>
        <w:pageBreakBefore w:val="0"/>
        <w:kinsoku/>
        <w:wordWrap/>
        <w:overflowPunct/>
        <w:topLinePunct w:val="0"/>
        <w:autoSpaceDE/>
        <w:autoSpaceDN/>
        <w:bidi w:val="0"/>
        <w:adjustRightInd/>
        <w:snapToGrid/>
        <w:spacing w:line="560" w:lineRule="exact"/>
        <w:ind w:left="0"/>
        <w:outlineLvl w:val="9"/>
        <w:rPr>
          <w:rFonts w:eastAsia="黑体"/>
          <w:bCs/>
          <w:sz w:val="32"/>
          <w:szCs w:val="32"/>
        </w:rPr>
      </w:pPr>
      <w:bookmarkStart w:id="10" w:name="_Toc68703837"/>
      <w:r>
        <w:rPr>
          <w:rFonts w:hint="eastAsia" w:eastAsia="黑体"/>
          <w:bCs/>
          <w:sz w:val="32"/>
          <w:szCs w:val="32"/>
        </w:rPr>
        <w:t>四、绩效评价指标分析</w:t>
      </w:r>
      <w:bookmarkEnd w:id="10"/>
    </w:p>
    <w:p>
      <w:pPr>
        <w:pageBreakBefore w:val="0"/>
        <w:kinsoku/>
        <w:wordWrap/>
        <w:overflowPunct/>
        <w:topLinePunct w:val="0"/>
        <w:autoSpaceDE/>
        <w:autoSpaceDN/>
        <w:bidi w:val="0"/>
        <w:adjustRightInd/>
        <w:snapToGrid/>
        <w:spacing w:line="560" w:lineRule="exact"/>
        <w:ind w:left="0"/>
        <w:outlineLvl w:val="9"/>
        <w:rPr>
          <w:rFonts w:eastAsia="楷体_GB2312"/>
          <w:b/>
          <w:bCs/>
          <w:sz w:val="32"/>
          <w:szCs w:val="32"/>
        </w:rPr>
      </w:pPr>
      <w:bookmarkStart w:id="11" w:name="_Toc68703838"/>
      <w:r>
        <w:rPr>
          <w:rFonts w:hint="eastAsia" w:eastAsia="楷体_GB2312"/>
          <w:b/>
          <w:bCs/>
          <w:sz w:val="32"/>
          <w:szCs w:val="32"/>
        </w:rPr>
        <w:t>（一）项目决策情况</w:t>
      </w:r>
      <w:bookmarkEnd w:id="11"/>
    </w:p>
    <w:p>
      <w:pPr>
        <w:pageBreakBefore w:val="0"/>
        <w:kinsoku/>
        <w:wordWrap/>
        <w:overflowPunct/>
        <w:topLinePunct w:val="0"/>
        <w:autoSpaceDE/>
        <w:autoSpaceDN/>
        <w:bidi w:val="0"/>
        <w:adjustRightInd/>
        <w:snapToGrid/>
        <w:spacing w:line="560" w:lineRule="exact"/>
        <w:ind w:left="0"/>
        <w:jc w:val="left"/>
        <w:outlineLvl w:val="9"/>
        <w:rPr>
          <w:color w:val="auto"/>
        </w:rPr>
      </w:pPr>
      <w:r>
        <w:rPr>
          <w:rFonts w:hint="eastAsia"/>
          <w:sz w:val="32"/>
          <w:szCs w:val="32"/>
        </w:rPr>
        <w:t>　　项目决策类指标包括项目立项、绩效</w:t>
      </w:r>
      <w:r>
        <w:rPr>
          <w:rFonts w:hint="eastAsia"/>
          <w:color w:val="auto"/>
          <w:sz w:val="32"/>
          <w:szCs w:val="32"/>
        </w:rPr>
        <w:t>目标和资金投入三方面的内容，由6个三级指标构成，权重分值为20分，实际得分20分，得分率为100%。</w:t>
      </w:r>
    </w:p>
    <w:p>
      <w:pPr>
        <w:pStyle w:val="22"/>
        <w:pageBreakBefore w:val="0"/>
        <w:kinsoku/>
        <w:wordWrap/>
        <w:overflowPunct/>
        <w:topLinePunct w:val="0"/>
        <w:autoSpaceDE/>
        <w:autoSpaceDN/>
        <w:bidi w:val="0"/>
        <w:adjustRightInd/>
        <w:snapToGrid/>
        <w:spacing w:line="560" w:lineRule="exact"/>
        <w:ind w:left="0" w:firstLine="0"/>
        <w:outlineLvl w:val="9"/>
        <w:rPr>
          <w:rFonts w:ascii="仿宋_GB2312" w:hAnsi="仿宋_GB2312" w:cs="仿宋_GB2312"/>
          <w:b/>
          <w:bCs/>
          <w:sz w:val="32"/>
          <w:szCs w:val="32"/>
        </w:rPr>
      </w:pPr>
      <w:r>
        <w:rPr>
          <w:rFonts w:hint="eastAsia" w:ascii="仿宋_GB2312" w:hAnsi="仿宋_GB2312" w:cs="仿宋_GB2312"/>
          <w:b/>
          <w:bCs/>
          <w:sz w:val="32"/>
          <w:szCs w:val="32"/>
        </w:rPr>
        <w:t>1.项目立项</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（1）立项依据充分性</w:t>
      </w:r>
    </w:p>
    <w:p>
      <w:pPr>
        <w:pageBreakBefore w:val="0"/>
        <w:kinsoku/>
        <w:wordWrap/>
        <w:overflowPunct/>
        <w:topLinePunct w:val="0"/>
        <w:autoSpaceDE/>
        <w:autoSpaceDN/>
        <w:bidi w:val="0"/>
        <w:adjustRightInd/>
        <w:snapToGrid/>
        <w:spacing w:line="560" w:lineRule="exact"/>
        <w:ind w:left="0" w:firstLine="640" w:firstLineChars="200"/>
        <w:outlineLvl w:val="9"/>
        <w:rPr>
          <w:color w:val="FF0000"/>
          <w:sz w:val="32"/>
          <w:szCs w:val="32"/>
        </w:rPr>
      </w:pPr>
      <w:r>
        <w:rPr>
          <w:rFonts w:hint="eastAsia" w:ascii="仿宋_GB2312" w:hAnsi="仿宋_GB2312" w:cs="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kinsoku/>
        <w:wordWrap/>
        <w:overflowPunct/>
        <w:topLinePunct w:val="0"/>
        <w:autoSpaceDE/>
        <w:autoSpaceDN/>
        <w:bidi w:val="0"/>
        <w:adjustRightInd/>
        <w:snapToGrid/>
        <w:spacing w:line="560" w:lineRule="exact"/>
        <w:ind w:left="0" w:firstLine="640" w:firstLineChars="200"/>
        <w:jc w:val="left"/>
        <w:outlineLvl w:val="9"/>
        <w:rPr>
          <w:sz w:val="32"/>
          <w:szCs w:val="32"/>
        </w:rPr>
      </w:pPr>
      <w:r>
        <w:rPr>
          <w:rFonts w:hint="eastAsia"/>
          <w:sz w:val="32"/>
          <w:szCs w:val="32"/>
        </w:rPr>
        <w:t>2.立项程序规范性</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pPr>
        <w:pStyle w:val="22"/>
        <w:pageBreakBefore w:val="0"/>
        <w:kinsoku/>
        <w:wordWrap/>
        <w:overflowPunct/>
        <w:topLinePunct w:val="0"/>
        <w:autoSpaceDE/>
        <w:autoSpaceDN/>
        <w:bidi w:val="0"/>
        <w:adjustRightInd/>
        <w:snapToGrid/>
        <w:spacing w:line="560" w:lineRule="exact"/>
        <w:ind w:left="0" w:firstLine="640"/>
        <w:outlineLvl w:val="9"/>
        <w:rPr>
          <w:sz w:val="32"/>
          <w:szCs w:val="32"/>
        </w:rPr>
      </w:pPr>
      <w:r>
        <w:rPr>
          <w:rFonts w:hint="eastAsia" w:ascii="仿宋_GB2312" w:hAnsi="仿宋_GB2312" w:cs="仿宋_GB2312"/>
          <w:b/>
          <w:bCs/>
          <w:sz w:val="32"/>
          <w:szCs w:val="32"/>
        </w:rPr>
        <w:t>2.绩效目标</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（1）绩效目标合理性</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bookmarkStart w:id="12" w:name="_Hlk68699917"/>
      <w:r>
        <w:rPr>
          <w:rFonts w:hint="eastAsia" w:ascii="仿宋_GB2312" w:hAnsi="仿宋_GB2312" w:cs="仿宋_GB2312"/>
          <w:sz w:val="32"/>
          <w:szCs w:val="32"/>
        </w:rPr>
        <w:t>（2）绩效指标明确性</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项目设置了明确的预期产出效益和效果，将绩效目标细化分解为具体的绩效指标，绩效目标与项目目标任务数相对应，绩效目标设定的绩效指标清晰、细化、可衡量。</w:t>
      </w:r>
    </w:p>
    <w:bookmarkEnd w:id="12"/>
    <w:p>
      <w:pPr>
        <w:pStyle w:val="22"/>
        <w:pageBreakBefore w:val="0"/>
        <w:kinsoku/>
        <w:wordWrap/>
        <w:overflowPunct/>
        <w:topLinePunct w:val="0"/>
        <w:autoSpaceDE/>
        <w:autoSpaceDN/>
        <w:bidi w:val="0"/>
        <w:adjustRightInd/>
        <w:snapToGrid/>
        <w:spacing w:line="560" w:lineRule="exact"/>
        <w:ind w:left="0" w:firstLine="0"/>
        <w:outlineLvl w:val="9"/>
        <w:rPr>
          <w:rFonts w:ascii="仿宋_GB2312" w:hAnsi="仿宋_GB2312" w:cs="仿宋_GB2312"/>
          <w:b/>
          <w:bCs/>
          <w:sz w:val="32"/>
          <w:szCs w:val="32"/>
        </w:rPr>
      </w:pPr>
      <w:r>
        <w:rPr>
          <w:rFonts w:hint="eastAsia" w:ascii="仿宋_GB2312" w:hAnsi="仿宋_GB2312" w:cs="仿宋_GB2312"/>
          <w:b/>
          <w:bCs/>
          <w:sz w:val="32"/>
          <w:szCs w:val="32"/>
        </w:rPr>
        <w:t>3.资金投入</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（1）预算编制科学性</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预算编制经过科学论证，提供充分的测算依据佐证资料，预算内容与项目内容相匹配。项目投资额与工作任务相匹配。</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（2）资金分配合理性</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资金分配额度与项目单位实际工作内容相适应，资金分配额度合理，资金分配依据充分。</w:t>
      </w:r>
    </w:p>
    <w:p>
      <w:pPr>
        <w:pStyle w:val="2"/>
        <w:pageBreakBefore w:val="0"/>
        <w:kinsoku/>
        <w:wordWrap/>
        <w:overflowPunct/>
        <w:topLinePunct w:val="0"/>
        <w:autoSpaceDE/>
        <w:autoSpaceDN/>
        <w:bidi w:val="0"/>
        <w:adjustRightInd/>
        <w:snapToGrid/>
        <w:spacing w:before="0" w:after="0" w:line="560" w:lineRule="exact"/>
        <w:ind w:left="0" w:firstLine="643" w:firstLineChars="200"/>
        <w:jc w:val="both"/>
        <w:outlineLvl w:val="9"/>
        <w:rPr>
          <w:rFonts w:ascii="楷体" w:hAnsi="楷体" w:eastAsia="楷体" w:cs="楷体"/>
        </w:rPr>
      </w:pPr>
      <w:r>
        <w:rPr>
          <w:rFonts w:hint="eastAsia" w:ascii="楷体" w:hAnsi="楷体" w:eastAsia="楷体" w:cs="楷体"/>
        </w:rPr>
        <w:t>（二）项目过程情况</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highlight w:val="none"/>
        </w:rPr>
      </w:pPr>
      <w:r>
        <w:rPr>
          <w:rFonts w:hint="eastAsia" w:ascii="仿宋_GB2312" w:hAnsi="仿宋_GB2312" w:cs="仿宋_GB2312"/>
          <w:sz w:val="32"/>
          <w:szCs w:val="32"/>
        </w:rPr>
        <w:t>项目过程类指标包括资金管理和组织实施两方面的内容，由5个三级指标构成，权重分值为20分</w:t>
      </w:r>
      <w:r>
        <w:rPr>
          <w:rFonts w:hint="eastAsia" w:ascii="仿宋_GB2312" w:hAnsi="仿宋_GB2312" w:cs="仿宋_GB2312"/>
          <w:sz w:val="32"/>
          <w:szCs w:val="32"/>
          <w:highlight w:val="none"/>
        </w:rPr>
        <w:t>，实际得分20分，得分率为100%。</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2"/>
        <w:pageBreakBefore w:val="0"/>
        <w:kinsoku/>
        <w:wordWrap/>
        <w:overflowPunct/>
        <w:topLinePunct w:val="0"/>
        <w:autoSpaceDE/>
        <w:autoSpaceDN/>
        <w:bidi w:val="0"/>
        <w:adjustRightInd/>
        <w:snapToGrid/>
        <w:spacing w:line="560" w:lineRule="exact"/>
        <w:ind w:left="0" w:firstLine="640"/>
        <w:outlineLvl w:val="9"/>
        <w:rPr>
          <w:rFonts w:ascii="仿宋_GB2312" w:hAnsi="仿宋_GB2312" w:cs="仿宋_GB2312"/>
          <w:b/>
          <w:bCs/>
          <w:sz w:val="32"/>
          <w:szCs w:val="32"/>
        </w:rPr>
      </w:pPr>
      <w:r>
        <w:rPr>
          <w:rFonts w:hint="eastAsia" w:ascii="仿宋_GB2312" w:hAnsi="仿宋_GB2312" w:cs="仿宋_GB2312"/>
          <w:b/>
          <w:bCs/>
          <w:sz w:val="32"/>
          <w:szCs w:val="32"/>
        </w:rPr>
        <w:t>1.资金管理</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（1）资金到位率</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highlight w:val="none"/>
        </w:rPr>
      </w:pPr>
      <w:r>
        <w:rPr>
          <w:rFonts w:hint="eastAsia" w:ascii="仿宋_GB2312" w:hAnsi="仿宋_GB2312" w:cs="仿宋_GB2312"/>
          <w:sz w:val="32"/>
          <w:szCs w:val="32"/>
        </w:rPr>
        <w:t>本项</w:t>
      </w:r>
      <w:r>
        <w:rPr>
          <w:rFonts w:hint="eastAsia" w:ascii="仿宋_GB2312" w:hAnsi="仿宋_GB2312" w:cs="仿宋_GB2312"/>
          <w:sz w:val="32"/>
          <w:szCs w:val="32"/>
          <w:highlight w:val="none"/>
        </w:rPr>
        <w:t>目总投资30万元，财政资金及时足额到位，到位率100%，预算资金按计划进度执行。</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highlight w:val="none"/>
        </w:rPr>
      </w:pPr>
      <w:r>
        <w:rPr>
          <w:rFonts w:hint="eastAsia" w:ascii="仿宋_GB2312" w:hAnsi="仿宋_GB2312" w:cs="仿宋_GB2312"/>
          <w:sz w:val="32"/>
          <w:szCs w:val="32"/>
          <w:highlight w:val="none"/>
        </w:rPr>
        <w:t>（2）预算执行率</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highlight w:val="none"/>
        </w:rPr>
        <w:t>预算编制较为详细，项目资金支出总体能够按照预算执行，预算资金支出30万元，预算执行率为100%</w:t>
      </w:r>
      <w:r>
        <w:rPr>
          <w:rFonts w:hint="eastAsia" w:ascii="仿宋_GB2312" w:hAnsi="仿宋_GB2312" w:cs="仿宋_GB2312"/>
          <w:sz w:val="32"/>
          <w:szCs w:val="32"/>
        </w:rPr>
        <w:t>。</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（3）资金使用合规性</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2"/>
        <w:pageBreakBefore w:val="0"/>
        <w:kinsoku/>
        <w:wordWrap/>
        <w:overflowPunct/>
        <w:topLinePunct w:val="0"/>
        <w:autoSpaceDE/>
        <w:autoSpaceDN/>
        <w:bidi w:val="0"/>
        <w:adjustRightInd/>
        <w:snapToGrid/>
        <w:spacing w:line="560" w:lineRule="exact"/>
        <w:ind w:left="0" w:firstLine="640"/>
        <w:outlineLvl w:val="9"/>
        <w:rPr>
          <w:rFonts w:ascii="仿宋_GB2312" w:hAnsi="仿宋_GB2312" w:cs="仿宋_GB2312"/>
          <w:b/>
          <w:bCs/>
          <w:sz w:val="32"/>
          <w:szCs w:val="32"/>
        </w:rPr>
      </w:pPr>
      <w:r>
        <w:rPr>
          <w:rFonts w:hint="eastAsia" w:ascii="仿宋_GB2312" w:hAnsi="仿宋_GB2312" w:cs="仿宋_GB2312"/>
          <w:b/>
          <w:bCs/>
          <w:sz w:val="32"/>
          <w:szCs w:val="32"/>
        </w:rPr>
        <w:t>2.组织实施</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（1）管理制度健全性</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（2）制度执行有效性</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对资金使用的合法合规性进行监督，年末对资金使用效果进行评价。项目管理、实施人员落实到位，有效按照计划执行。项目执行情况等资料齐全，项目相关手续完备，及时进行归档。</w:t>
      </w:r>
    </w:p>
    <w:p>
      <w:pPr>
        <w:pStyle w:val="6"/>
        <w:pageBreakBefore w:val="0"/>
        <w:numPr>
          <w:ilvl w:val="0"/>
          <w:numId w:val="2"/>
        </w:numPr>
        <w:kinsoku/>
        <w:wordWrap/>
        <w:overflowPunct/>
        <w:topLinePunct w:val="0"/>
        <w:autoSpaceDE/>
        <w:autoSpaceDN/>
        <w:bidi w:val="0"/>
        <w:adjustRightInd/>
        <w:snapToGrid/>
        <w:spacing w:line="560" w:lineRule="exact"/>
        <w:ind w:left="0"/>
        <w:outlineLvl w:val="9"/>
        <w:rPr>
          <w:rFonts w:eastAsia="楷体_GB2312"/>
          <w:b/>
          <w:bCs/>
          <w:sz w:val="32"/>
          <w:szCs w:val="32"/>
        </w:rPr>
      </w:pPr>
      <w:bookmarkStart w:id="13" w:name="_Toc68703840"/>
      <w:r>
        <w:rPr>
          <w:rFonts w:hint="eastAsia" w:eastAsia="楷体_GB2312"/>
          <w:b/>
          <w:bCs/>
          <w:sz w:val="32"/>
          <w:szCs w:val="32"/>
        </w:rPr>
        <w:t>（三）项目产出情况</w:t>
      </w:r>
      <w:bookmarkEnd w:id="13"/>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highlight w:val="none"/>
        </w:rPr>
      </w:pPr>
      <w:r>
        <w:rPr>
          <w:rFonts w:hint="eastAsia" w:ascii="仿宋_GB2312" w:hAnsi="仿宋_GB2312" w:cs="仿宋_GB2312"/>
          <w:sz w:val="32"/>
          <w:szCs w:val="32"/>
        </w:rPr>
        <w:t>项目产出类指标包括产出数量、产出质量、产出时效、产出成本四方面的内容，由4个三级指标构成，权重分为40分</w:t>
      </w:r>
      <w:r>
        <w:rPr>
          <w:rFonts w:hint="eastAsia" w:ascii="仿宋_GB2312" w:hAnsi="仿宋_GB2312" w:cs="仿宋_GB2312"/>
          <w:sz w:val="32"/>
          <w:szCs w:val="32"/>
          <w:highlight w:val="none"/>
        </w:rPr>
        <w:t>，实际得分40分，得分率为100%。具体产出指标完成情况如下：</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fldChar w:fldCharType="begin"/>
      </w:r>
      <w:r>
        <w:rPr>
          <w:rFonts w:hint="eastAsia" w:ascii="仿宋_GB2312" w:hAnsi="仿宋_GB2312" w:cs="仿宋_GB2312"/>
          <w:sz w:val="32"/>
          <w:szCs w:val="32"/>
        </w:rPr>
        <w:instrText xml:space="preserve"> = 1 \* GB3 </w:instrText>
      </w:r>
      <w:r>
        <w:rPr>
          <w:rFonts w:hint="eastAsia" w:ascii="仿宋_GB2312" w:hAnsi="仿宋_GB2312" w:cs="仿宋_GB2312"/>
          <w:sz w:val="32"/>
          <w:szCs w:val="32"/>
        </w:rPr>
        <w:fldChar w:fldCharType="separate"/>
      </w:r>
      <w:r>
        <w:rPr>
          <w:rFonts w:hint="eastAsia" w:ascii="仿宋_GB2312" w:hAnsi="仿宋_GB2312" w:cs="仿宋_GB2312"/>
          <w:sz w:val="32"/>
          <w:szCs w:val="32"/>
        </w:rPr>
        <w:t>①</w:t>
      </w:r>
      <w:r>
        <w:rPr>
          <w:rFonts w:hint="eastAsia" w:ascii="仿宋_GB2312" w:hAnsi="仿宋_GB2312" w:cs="仿宋_GB2312"/>
          <w:sz w:val="32"/>
          <w:szCs w:val="32"/>
        </w:rPr>
        <w:fldChar w:fldCharType="end"/>
      </w:r>
      <w:r>
        <w:rPr>
          <w:rFonts w:hint="eastAsia" w:ascii="仿宋_GB2312" w:hAnsi="仿宋_GB2312" w:cs="仿宋_GB2312"/>
          <w:sz w:val="32"/>
          <w:szCs w:val="32"/>
        </w:rPr>
        <w:t>数量指标：</w:t>
      </w:r>
    </w:p>
    <w:p>
      <w:pPr>
        <w:pageBreakBefore w:val="0"/>
        <w:kinsoku/>
        <w:wordWrap/>
        <w:overflowPunct/>
        <w:topLinePunct w:val="0"/>
        <w:autoSpaceDE/>
        <w:autoSpaceDN/>
        <w:bidi w:val="0"/>
        <w:adjustRightInd/>
        <w:snapToGrid/>
        <w:spacing w:line="560" w:lineRule="exact"/>
        <w:ind w:left="0" w:firstLine="640" w:firstLineChars="200"/>
        <w:outlineLvl w:val="9"/>
        <w:rPr>
          <w:rFonts w:hint="eastAsia"/>
          <w:sz w:val="32"/>
          <w:szCs w:val="32"/>
        </w:rPr>
      </w:pPr>
      <w:r>
        <w:rPr>
          <w:rFonts w:hint="eastAsia"/>
          <w:sz w:val="32"/>
          <w:szCs w:val="32"/>
        </w:rPr>
        <w:t>指标1：业务大楼建设数量，指标值：=1幢，实际完成值：1幢，指标完成率100%，</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fldChar w:fldCharType="begin"/>
      </w:r>
      <w:r>
        <w:rPr>
          <w:rFonts w:hint="eastAsia" w:ascii="仿宋_GB2312" w:hAnsi="仿宋_GB2312" w:cs="仿宋_GB2312"/>
          <w:sz w:val="32"/>
          <w:szCs w:val="32"/>
        </w:rPr>
        <w:instrText xml:space="preserve"> = 2 \* GB3 </w:instrText>
      </w:r>
      <w:r>
        <w:rPr>
          <w:rFonts w:hint="eastAsia" w:ascii="仿宋_GB2312" w:hAnsi="仿宋_GB2312" w:cs="仿宋_GB2312"/>
          <w:sz w:val="32"/>
          <w:szCs w:val="32"/>
        </w:rPr>
        <w:fldChar w:fldCharType="separate"/>
      </w:r>
      <w:r>
        <w:rPr>
          <w:rFonts w:hint="eastAsia" w:ascii="仿宋_GB2312" w:hAnsi="仿宋_GB2312" w:cs="仿宋_GB2312"/>
          <w:sz w:val="32"/>
          <w:szCs w:val="32"/>
        </w:rPr>
        <w:t>②</w:t>
      </w:r>
      <w:r>
        <w:rPr>
          <w:rFonts w:hint="eastAsia" w:ascii="仿宋_GB2312" w:hAnsi="仿宋_GB2312" w:cs="仿宋_GB2312"/>
          <w:sz w:val="32"/>
          <w:szCs w:val="32"/>
        </w:rPr>
        <w:fldChar w:fldCharType="end"/>
      </w:r>
      <w:r>
        <w:rPr>
          <w:rFonts w:hint="eastAsia" w:ascii="仿宋_GB2312" w:hAnsi="仿宋_GB2312" w:cs="仿宋_GB2312"/>
          <w:sz w:val="32"/>
          <w:szCs w:val="32"/>
        </w:rPr>
        <w:t>质量指标：</w:t>
      </w:r>
    </w:p>
    <w:p>
      <w:pPr>
        <w:pageBreakBefore w:val="0"/>
        <w:kinsoku/>
        <w:wordWrap/>
        <w:overflowPunct/>
        <w:topLinePunct w:val="0"/>
        <w:autoSpaceDE/>
        <w:autoSpaceDN/>
        <w:bidi w:val="0"/>
        <w:adjustRightInd/>
        <w:snapToGrid/>
        <w:spacing w:line="560" w:lineRule="exact"/>
        <w:ind w:left="0" w:firstLine="640" w:firstLineChars="200"/>
        <w:outlineLvl w:val="9"/>
        <w:rPr>
          <w:rFonts w:hint="eastAsia"/>
          <w:sz w:val="32"/>
          <w:szCs w:val="32"/>
        </w:rPr>
      </w:pPr>
      <w:r>
        <w:rPr>
          <w:rFonts w:hint="eastAsia"/>
          <w:sz w:val="32"/>
          <w:szCs w:val="32"/>
        </w:rPr>
        <w:t>指标</w:t>
      </w:r>
      <w:r>
        <w:rPr>
          <w:rFonts w:hint="eastAsia"/>
          <w:sz w:val="32"/>
          <w:szCs w:val="32"/>
          <w:lang w:val="en-US" w:eastAsia="zh-CN"/>
        </w:rPr>
        <w:t>1</w:t>
      </w:r>
      <w:r>
        <w:rPr>
          <w:rFonts w:hint="eastAsia"/>
          <w:sz w:val="32"/>
          <w:szCs w:val="32"/>
        </w:rPr>
        <w:t>：大楼验收合格率，指标值：=100%，实际完成值：100%，指标完成率100%</w:t>
      </w:r>
    </w:p>
    <w:p>
      <w:pPr>
        <w:pageBreakBefore w:val="0"/>
        <w:kinsoku/>
        <w:wordWrap/>
        <w:overflowPunct/>
        <w:topLinePunct w:val="0"/>
        <w:autoSpaceDE/>
        <w:autoSpaceDN/>
        <w:bidi w:val="0"/>
        <w:adjustRightInd/>
        <w:snapToGrid/>
        <w:spacing w:line="560" w:lineRule="exact"/>
        <w:ind w:left="0" w:firstLine="640" w:firstLineChars="200"/>
        <w:outlineLvl w:val="9"/>
        <w:rPr>
          <w:rFonts w:hint="eastAsia"/>
          <w:sz w:val="32"/>
          <w:szCs w:val="32"/>
          <w:lang w:eastAsia="zh-CN"/>
        </w:rPr>
      </w:pPr>
      <w:r>
        <w:rPr>
          <w:rFonts w:hint="eastAsia" w:ascii="仿宋_GB2312" w:hAnsi="仿宋_GB2312" w:cs="仿宋_GB2312"/>
          <w:sz w:val="32"/>
          <w:szCs w:val="32"/>
        </w:rPr>
        <w:t>指标</w:t>
      </w:r>
      <w:r>
        <w:rPr>
          <w:rFonts w:hint="eastAsia" w:ascii="仿宋_GB2312" w:hAnsi="仿宋_GB2312" w:cs="仿宋_GB2312"/>
          <w:sz w:val="32"/>
          <w:szCs w:val="32"/>
          <w:lang w:val="en-US" w:eastAsia="zh-CN"/>
        </w:rPr>
        <w:t>2</w:t>
      </w:r>
      <w:r>
        <w:rPr>
          <w:rFonts w:hint="eastAsia" w:ascii="仿宋_GB2312" w:hAnsi="仿宋_GB2312" w:cs="仿宋_GB2312"/>
          <w:sz w:val="32"/>
          <w:szCs w:val="32"/>
        </w:rPr>
        <w:t>：资金支付准确率，指标值：=100%</w:t>
      </w:r>
      <w:r>
        <w:rPr>
          <w:rFonts w:hint="eastAsia" w:ascii="仿宋_GB2312" w:hAnsi="仿宋_GB2312" w:cs="仿宋_GB2312"/>
          <w:sz w:val="32"/>
          <w:szCs w:val="32"/>
        </w:rPr>
        <w:tab/>
      </w:r>
      <w:r>
        <w:rPr>
          <w:rFonts w:hint="eastAsia" w:ascii="仿宋_GB2312" w:hAnsi="仿宋_GB2312" w:cs="仿宋_GB2312"/>
          <w:sz w:val="32"/>
          <w:szCs w:val="32"/>
        </w:rPr>
        <w:t>实际完成值：100%，</w:t>
      </w:r>
      <w:r>
        <w:rPr>
          <w:rFonts w:hint="eastAsia"/>
          <w:sz w:val="32"/>
          <w:szCs w:val="32"/>
        </w:rPr>
        <w:t>指标完成率100%</w:t>
      </w:r>
      <w:r>
        <w:rPr>
          <w:rFonts w:hint="eastAsia"/>
          <w:sz w:val="32"/>
          <w:szCs w:val="32"/>
          <w:lang w:eastAsia="zh-CN"/>
        </w:rPr>
        <w:t>。</w:t>
      </w:r>
    </w:p>
    <w:p>
      <w:pPr>
        <w:pageBreakBefore w:val="0"/>
        <w:kinsoku/>
        <w:wordWrap/>
        <w:overflowPunct/>
        <w:topLinePunct w:val="0"/>
        <w:autoSpaceDE/>
        <w:autoSpaceDN/>
        <w:bidi w:val="0"/>
        <w:adjustRightInd/>
        <w:snapToGrid/>
        <w:spacing w:line="560" w:lineRule="exact"/>
        <w:ind w:left="0" w:firstLine="640" w:firstLineChars="200"/>
        <w:outlineLvl w:val="9"/>
        <w:rPr>
          <w:rFonts w:hint="eastAsia" w:eastAsia="仿宋_GB2312"/>
          <w:color w:val="FF0000"/>
          <w:sz w:val="32"/>
          <w:szCs w:val="32"/>
          <w:lang w:eastAsia="zh-CN"/>
        </w:rPr>
      </w:pPr>
      <w:r>
        <w:rPr>
          <w:rFonts w:hint="eastAsia" w:ascii="仿宋_GB2312" w:hAnsi="仿宋_GB2312" w:cs="仿宋_GB2312"/>
          <w:sz w:val="32"/>
          <w:szCs w:val="32"/>
        </w:rPr>
        <w:fldChar w:fldCharType="begin"/>
      </w:r>
      <w:r>
        <w:rPr>
          <w:rFonts w:hint="eastAsia" w:ascii="仿宋_GB2312" w:hAnsi="仿宋_GB2312" w:cs="仿宋_GB2312"/>
          <w:sz w:val="32"/>
          <w:szCs w:val="32"/>
        </w:rPr>
        <w:instrText xml:space="preserve"> = 3 \* GB3 </w:instrText>
      </w:r>
      <w:r>
        <w:rPr>
          <w:rFonts w:hint="eastAsia" w:ascii="仿宋_GB2312" w:hAnsi="仿宋_GB2312" w:cs="仿宋_GB2312"/>
          <w:sz w:val="32"/>
          <w:szCs w:val="32"/>
        </w:rPr>
        <w:fldChar w:fldCharType="separate"/>
      </w:r>
      <w:r>
        <w:rPr>
          <w:rFonts w:hint="eastAsia" w:ascii="仿宋_GB2312" w:hAnsi="仿宋_GB2312" w:cs="仿宋_GB2312"/>
          <w:sz w:val="32"/>
          <w:szCs w:val="32"/>
        </w:rPr>
        <w:t>③</w:t>
      </w:r>
      <w:r>
        <w:rPr>
          <w:rFonts w:hint="eastAsia" w:ascii="仿宋_GB2312" w:hAnsi="仿宋_GB2312" w:cs="仿宋_GB2312"/>
          <w:sz w:val="32"/>
          <w:szCs w:val="32"/>
        </w:rPr>
        <w:fldChar w:fldCharType="end"/>
      </w:r>
      <w:r>
        <w:rPr>
          <w:rFonts w:hint="eastAsia" w:ascii="仿宋_GB2312" w:hAnsi="仿宋_GB2312" w:cs="仿宋_GB2312"/>
          <w:sz w:val="32"/>
          <w:szCs w:val="32"/>
        </w:rPr>
        <w:t>时效指标：</w:t>
      </w:r>
    </w:p>
    <w:p>
      <w:pPr>
        <w:pageBreakBefore w:val="0"/>
        <w:kinsoku/>
        <w:wordWrap/>
        <w:overflowPunct/>
        <w:topLinePunct w:val="0"/>
        <w:autoSpaceDE/>
        <w:autoSpaceDN/>
        <w:bidi w:val="0"/>
        <w:adjustRightInd/>
        <w:snapToGrid/>
        <w:spacing w:line="560" w:lineRule="exact"/>
        <w:ind w:left="0" w:firstLine="640" w:firstLineChars="200"/>
        <w:outlineLvl w:val="9"/>
        <w:rPr>
          <w:color w:val="FF0000"/>
          <w:sz w:val="32"/>
          <w:szCs w:val="32"/>
        </w:rPr>
      </w:pPr>
      <w:r>
        <w:rPr>
          <w:rFonts w:hint="eastAsia"/>
          <w:sz w:val="32"/>
          <w:szCs w:val="32"/>
        </w:rPr>
        <w:t>指标1：资金拨付及时率，指标值：</w:t>
      </w:r>
      <w:r>
        <w:rPr>
          <w:rFonts w:hint="eastAsia"/>
          <w:sz w:val="32"/>
          <w:szCs w:val="32"/>
        </w:rPr>
        <w:tab/>
      </w:r>
      <w:r>
        <w:rPr>
          <w:rFonts w:hint="eastAsia"/>
          <w:sz w:val="32"/>
          <w:szCs w:val="32"/>
        </w:rPr>
        <w:t>=100%，实际完成值：</w:t>
      </w:r>
      <w:r>
        <w:rPr>
          <w:rFonts w:hint="eastAsia"/>
          <w:sz w:val="32"/>
          <w:szCs w:val="32"/>
        </w:rPr>
        <w:tab/>
      </w:r>
      <w:r>
        <w:rPr>
          <w:rFonts w:hint="eastAsia"/>
          <w:sz w:val="32"/>
          <w:szCs w:val="32"/>
        </w:rPr>
        <w:t>100%，指标完成率100%</w:t>
      </w:r>
      <w:r>
        <w:rPr>
          <w:rFonts w:hint="eastAsia"/>
          <w:color w:val="FF0000"/>
          <w:sz w:val="32"/>
          <w:szCs w:val="32"/>
        </w:rPr>
        <w:t>。</w:t>
      </w:r>
    </w:p>
    <w:p>
      <w:pPr>
        <w:pageBreakBefore w:val="0"/>
        <w:kinsoku/>
        <w:wordWrap/>
        <w:overflowPunct/>
        <w:topLinePunct w:val="0"/>
        <w:autoSpaceDE/>
        <w:autoSpaceDN/>
        <w:bidi w:val="0"/>
        <w:adjustRightInd/>
        <w:snapToGrid/>
        <w:spacing w:before="0" w:after="0" w:line="560" w:lineRule="exact"/>
        <w:ind w:left="0"/>
        <w:outlineLvl w:val="9"/>
        <w:rPr>
          <w:rFonts w:ascii="Times New Roman" w:hAnsi="Times New Roman" w:eastAsia="楷体_GB2312" w:cs="Times New Roman"/>
        </w:rPr>
      </w:pPr>
      <w:bookmarkStart w:id="14" w:name="_Toc68703841"/>
      <w:r>
        <w:rPr>
          <w:rFonts w:hint="eastAsia" w:ascii="Times New Roman" w:hAnsi="Times New Roman" w:eastAsia="楷体_GB2312" w:cs="Times New Roman"/>
        </w:rPr>
        <w:t>（四）项目效益情况</w:t>
      </w:r>
      <w:bookmarkEnd w:id="14"/>
    </w:p>
    <w:p>
      <w:pPr>
        <w:pageBreakBefore w:val="0"/>
        <w:kinsoku/>
        <w:wordWrap/>
        <w:overflowPunct/>
        <w:topLinePunct w:val="0"/>
        <w:autoSpaceDE/>
        <w:autoSpaceDN/>
        <w:bidi w:val="0"/>
        <w:adjustRightInd/>
        <w:snapToGrid/>
        <w:spacing w:line="560" w:lineRule="exact"/>
        <w:ind w:left="0" w:firstLine="640" w:firstLineChars="200"/>
        <w:outlineLvl w:val="9"/>
      </w:pPr>
      <w:r>
        <w:rPr>
          <w:rFonts w:hint="eastAsia" w:ascii="仿宋_GB2312" w:hAnsi="仿宋_GB2312" w:cs="仿宋_GB2312"/>
          <w:sz w:val="32"/>
          <w:szCs w:val="32"/>
        </w:rPr>
        <w:t>项目效益类指标包括项目实施效益和满意度两方面的内容，由2个三级指标构成，权重分为20</w:t>
      </w:r>
      <w:r>
        <w:rPr>
          <w:rFonts w:hint="eastAsia" w:ascii="仿宋_GB2312" w:hAnsi="仿宋_GB2312" w:cs="仿宋_GB2312"/>
          <w:sz w:val="32"/>
          <w:szCs w:val="32"/>
          <w:highlight w:val="none"/>
        </w:rPr>
        <w:t>分，实际得分20分，得分率为100%。具体效益指标及满意度指标完成情况如</w:t>
      </w:r>
      <w:r>
        <w:rPr>
          <w:rFonts w:hint="eastAsia" w:ascii="仿宋_GB2312" w:hAnsi="仿宋_GB2312" w:cs="仿宋_GB2312"/>
          <w:sz w:val="32"/>
          <w:szCs w:val="32"/>
        </w:rPr>
        <w:t>下：</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1.实施效益</w:t>
      </w:r>
    </w:p>
    <w:p>
      <w:pPr>
        <w:pageBreakBefore w:val="0"/>
        <w:kinsoku/>
        <w:wordWrap/>
        <w:overflowPunct/>
        <w:topLinePunct w:val="0"/>
        <w:autoSpaceDE/>
        <w:autoSpaceDN/>
        <w:bidi w:val="0"/>
        <w:adjustRightInd/>
        <w:snapToGrid/>
        <w:spacing w:line="560" w:lineRule="exact"/>
        <w:ind w:left="0" w:firstLine="640" w:firstLineChars="200"/>
        <w:outlineLvl w:val="9"/>
        <w:rPr>
          <w:rFonts w:hint="eastAsia" w:ascii="仿宋_GB2312" w:hAnsi="仿宋_GB2312" w:cs="仿宋_GB2312"/>
          <w:color w:val="auto"/>
          <w:sz w:val="32"/>
          <w:szCs w:val="32"/>
        </w:rPr>
      </w:pPr>
      <w:r>
        <w:rPr>
          <w:rFonts w:hint="eastAsia" w:ascii="仿宋_GB2312" w:hAnsi="仿宋_GB2312" w:cs="仿宋_GB2312"/>
          <w:sz w:val="32"/>
          <w:szCs w:val="32"/>
        </w:rPr>
        <w:t>①社会效益指标：指标1：设计功能实现率，指标值：≥90%，实际完成值：90%</w:t>
      </w:r>
      <w:r>
        <w:rPr>
          <w:rFonts w:hint="eastAsia" w:ascii="仿宋_GB2312" w:hAnsi="仿宋_GB2312" w:cs="仿宋_GB2312"/>
        </w:rPr>
        <w:t>，</w:t>
      </w:r>
      <w:r>
        <w:rPr>
          <w:rFonts w:hint="eastAsia"/>
          <w:color w:val="auto"/>
          <w:sz w:val="32"/>
          <w:szCs w:val="32"/>
        </w:rPr>
        <w:t>指标完成率100%。</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color w:val="auto"/>
          <w:sz w:val="32"/>
          <w:szCs w:val="32"/>
        </w:rPr>
      </w:pPr>
      <w:r>
        <w:rPr>
          <w:rFonts w:hint="eastAsia" w:ascii="仿宋_GB2312" w:hAnsi="仿宋_GB2312" w:cs="仿宋_GB2312"/>
          <w:color w:val="auto"/>
          <w:sz w:val="32"/>
          <w:szCs w:val="32"/>
        </w:rPr>
        <w:t>②</w:t>
      </w:r>
      <w:r>
        <w:rPr>
          <w:rFonts w:hint="eastAsia" w:ascii="仿宋_GB2312" w:hAnsi="仿宋_GB2312" w:cs="仿宋_GB2312"/>
          <w:color w:val="auto"/>
        </w:rPr>
        <w:t>指标1：化解重大信访事件，指标值：有效化解，实际完成值：有效化解</w:t>
      </w:r>
      <w:r>
        <w:rPr>
          <w:rFonts w:hint="eastAsia" w:ascii="仿宋_GB2312" w:hAnsi="仿宋_GB2312" w:cs="仿宋_GB2312"/>
          <w:color w:val="auto"/>
          <w:lang w:eastAsia="zh-CN"/>
        </w:rPr>
        <w:t>，</w:t>
      </w:r>
      <w:r>
        <w:rPr>
          <w:rFonts w:hint="eastAsia"/>
          <w:color w:val="auto"/>
          <w:sz w:val="32"/>
          <w:szCs w:val="32"/>
        </w:rPr>
        <w:t>指标完成率100%。</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2.满意度</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color w:val="auto"/>
          <w:sz w:val="32"/>
          <w:szCs w:val="32"/>
        </w:rPr>
      </w:pPr>
      <w:r>
        <w:rPr>
          <w:rFonts w:hint="eastAsia" w:ascii="仿宋_GB2312" w:hAnsi="仿宋_GB2312" w:cs="仿宋_GB2312"/>
          <w:sz w:val="32"/>
          <w:szCs w:val="32"/>
        </w:rPr>
        <w:t>满意度指标：服务群众满意率，指标值：≥90%，实际完成值：</w:t>
      </w:r>
      <w:r>
        <w:rPr>
          <w:rFonts w:hint="eastAsia" w:ascii="仿宋_GB2312" w:hAnsi="仿宋_GB2312" w:cs="仿宋_GB2312"/>
          <w:sz w:val="32"/>
          <w:szCs w:val="32"/>
          <w:lang w:val="en-US" w:eastAsia="zh-CN"/>
        </w:rPr>
        <w:t>99.08</w:t>
      </w:r>
      <w:r>
        <w:rPr>
          <w:rFonts w:hint="eastAsia" w:ascii="仿宋_GB2312" w:hAnsi="仿宋_GB2312" w:cs="仿宋_GB2312"/>
          <w:sz w:val="32"/>
          <w:szCs w:val="32"/>
        </w:rPr>
        <w:t>%</w:t>
      </w:r>
      <w:r>
        <w:rPr>
          <w:rFonts w:hint="eastAsia" w:ascii="仿宋_GB2312" w:hAnsi="仿宋_GB2312" w:cs="仿宋_GB2312"/>
        </w:rPr>
        <w:t>，</w:t>
      </w:r>
      <w:r>
        <w:rPr>
          <w:rFonts w:hint="eastAsia"/>
          <w:sz w:val="32"/>
          <w:szCs w:val="32"/>
        </w:rPr>
        <w:t>指标完成率</w:t>
      </w:r>
      <w:r>
        <w:rPr>
          <w:rFonts w:hint="eastAsia"/>
          <w:sz w:val="32"/>
          <w:szCs w:val="32"/>
          <w:lang w:val="en-US" w:eastAsia="zh-CN"/>
        </w:rPr>
        <w:t>110.09</w:t>
      </w:r>
      <w:r>
        <w:rPr>
          <w:rFonts w:hint="eastAsia"/>
          <w:color w:val="auto"/>
          <w:sz w:val="32"/>
          <w:szCs w:val="32"/>
        </w:rPr>
        <w:t>%。</w:t>
      </w:r>
    </w:p>
    <w:p>
      <w:pPr>
        <w:pageBreakBefore w:val="0"/>
        <w:kinsoku/>
        <w:wordWrap/>
        <w:overflowPunct/>
        <w:topLinePunct w:val="0"/>
        <w:autoSpaceDE/>
        <w:autoSpaceDN/>
        <w:bidi w:val="0"/>
        <w:adjustRightInd/>
        <w:snapToGrid/>
        <w:spacing w:line="560" w:lineRule="exact"/>
        <w:ind w:left="0" w:firstLine="640" w:firstLineChars="200"/>
        <w:outlineLvl w:val="9"/>
        <w:rPr>
          <w:rFonts w:eastAsia="黑体"/>
          <w:sz w:val="32"/>
          <w:szCs w:val="32"/>
        </w:rPr>
      </w:pPr>
      <w:r>
        <w:rPr>
          <w:rFonts w:hint="eastAsia" w:eastAsia="黑体"/>
          <w:sz w:val="32"/>
          <w:szCs w:val="32"/>
        </w:rPr>
        <w:t>五、预算执行进度与绩效指标总体完成率偏差</w:t>
      </w:r>
    </w:p>
    <w:p>
      <w:pPr>
        <w:pStyle w:val="22"/>
        <w:pageBreakBefore w:val="0"/>
        <w:kinsoku/>
        <w:wordWrap/>
        <w:overflowPunct/>
        <w:topLinePunct w:val="0"/>
        <w:autoSpaceDE/>
        <w:autoSpaceDN/>
        <w:bidi w:val="0"/>
        <w:adjustRightInd/>
        <w:snapToGrid/>
        <w:spacing w:line="560" w:lineRule="exact"/>
        <w:ind w:left="0" w:firstLine="640"/>
        <w:outlineLvl w:val="9"/>
      </w:pPr>
      <w:r>
        <w:rPr>
          <w:rFonts w:hint="eastAsia" w:ascii="仿宋_GB2312" w:hAnsi="仿宋_GB2312" w:cs="仿宋_GB2312"/>
          <w:color w:val="auto"/>
          <w:kern w:val="2"/>
          <w:sz w:val="32"/>
          <w:szCs w:val="32"/>
        </w:rPr>
        <w:t>霍尔果斯市群众信访业务大楼尾款项目年初预算30万元，全年预算30万元，实际支出30万元，预算执行率为100%，项目绩效指标总体完成率为100%，总体偏差率为0%。</w:t>
      </w:r>
    </w:p>
    <w:p>
      <w:pPr>
        <w:pageBreakBefore w:val="0"/>
        <w:kinsoku/>
        <w:wordWrap/>
        <w:overflowPunct/>
        <w:topLinePunct w:val="0"/>
        <w:autoSpaceDE/>
        <w:autoSpaceDN/>
        <w:bidi w:val="0"/>
        <w:adjustRightInd/>
        <w:snapToGrid/>
        <w:spacing w:line="560" w:lineRule="exact"/>
        <w:ind w:left="0" w:firstLine="640" w:firstLineChars="200"/>
        <w:outlineLvl w:val="9"/>
        <w:rPr>
          <w:rFonts w:eastAsia="黑体"/>
          <w:bCs/>
          <w:sz w:val="32"/>
          <w:szCs w:val="32"/>
        </w:rPr>
      </w:pPr>
      <w:bookmarkStart w:id="15" w:name="_Toc68703842"/>
      <w:r>
        <w:rPr>
          <w:rFonts w:hint="eastAsia" w:eastAsia="黑体"/>
          <w:bCs/>
          <w:sz w:val="32"/>
          <w:szCs w:val="32"/>
        </w:rPr>
        <w:t>六、主要经验及做法、存在的问题及原因分析</w:t>
      </w:r>
      <w:bookmarkEnd w:id="15"/>
    </w:p>
    <w:p>
      <w:pPr>
        <w:pageBreakBefore w:val="0"/>
        <w:kinsoku/>
        <w:wordWrap/>
        <w:overflowPunct/>
        <w:topLinePunct w:val="0"/>
        <w:autoSpaceDE/>
        <w:autoSpaceDN/>
        <w:bidi w:val="0"/>
        <w:adjustRightInd/>
        <w:snapToGrid/>
        <w:spacing w:line="560" w:lineRule="exact"/>
        <w:ind w:left="0" w:firstLine="643" w:firstLineChars="200"/>
        <w:outlineLvl w:val="9"/>
        <w:rPr>
          <w:rFonts w:eastAsia="楷体_GB2312"/>
          <w:b/>
          <w:bCs/>
          <w:sz w:val="32"/>
          <w:szCs w:val="32"/>
        </w:rPr>
      </w:pPr>
      <w:bookmarkStart w:id="16" w:name="_Toc68703843"/>
      <w:r>
        <w:rPr>
          <w:rFonts w:hint="eastAsia" w:eastAsia="楷体_GB2312"/>
          <w:b/>
          <w:bCs/>
          <w:sz w:val="32"/>
          <w:szCs w:val="32"/>
        </w:rPr>
        <w:t>（一）主要经验及做法</w:t>
      </w:r>
      <w:bookmarkEnd w:id="16"/>
    </w:p>
    <w:p>
      <w:pPr>
        <w:pageBreakBefore w:val="0"/>
        <w:kinsoku/>
        <w:wordWrap/>
        <w:overflowPunct/>
        <w:topLinePunct w:val="0"/>
        <w:autoSpaceDE/>
        <w:autoSpaceDN/>
        <w:bidi w:val="0"/>
        <w:adjustRightInd/>
        <w:snapToGrid/>
        <w:spacing w:line="560" w:lineRule="exact"/>
        <w:ind w:left="0" w:firstLine="640" w:firstLineChars="200"/>
        <w:outlineLvl w:val="9"/>
        <w:rPr>
          <w:sz w:val="32"/>
          <w:szCs w:val="32"/>
        </w:rPr>
      </w:pPr>
      <w:r>
        <w:rPr>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left="0" w:firstLine="640" w:firstLineChars="200"/>
        <w:jc w:val="left"/>
        <w:outlineLvl w:val="9"/>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kinsoku/>
        <w:wordWrap/>
        <w:overflowPunct/>
        <w:topLinePunct w:val="0"/>
        <w:autoSpaceDE/>
        <w:autoSpaceDN/>
        <w:bidi w:val="0"/>
        <w:adjustRightInd/>
        <w:snapToGrid/>
        <w:spacing w:line="560" w:lineRule="exact"/>
        <w:ind w:left="0" w:firstLine="643" w:firstLineChars="200"/>
        <w:outlineLvl w:val="9"/>
        <w:rPr>
          <w:rFonts w:hint="eastAsia" w:eastAsia="楷体_GB2312"/>
          <w:b/>
          <w:bCs/>
          <w:sz w:val="32"/>
          <w:szCs w:val="32"/>
        </w:rPr>
      </w:pPr>
      <w:bookmarkStart w:id="17" w:name="_Toc68703844"/>
      <w:r>
        <w:rPr>
          <w:rFonts w:hint="eastAsia" w:eastAsia="楷体_GB2312"/>
          <w:b/>
          <w:bCs/>
          <w:sz w:val="32"/>
          <w:szCs w:val="32"/>
        </w:rPr>
        <w:t>（二）存在的问题及原因分析</w:t>
      </w:r>
      <w:bookmarkEnd w:id="17"/>
      <w:r>
        <w:rPr>
          <w:rFonts w:hint="eastAsia" w:eastAsia="楷体_GB2312"/>
          <w:b/>
          <w:bCs/>
          <w:sz w:val="32"/>
          <w:szCs w:val="32"/>
        </w:rPr>
        <w:t>　</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2.因轮岗、调动等因素使我单位绩效工作人员流动频繁，造成了工作衔接不到位的情况。</w:t>
      </w:r>
    </w:p>
    <w:p>
      <w:pPr>
        <w:pageBreakBefore w:val="0"/>
        <w:kinsoku/>
        <w:wordWrap/>
        <w:overflowPunct/>
        <w:topLinePunct w:val="0"/>
        <w:autoSpaceDE/>
        <w:autoSpaceDN/>
        <w:bidi w:val="0"/>
        <w:adjustRightInd/>
        <w:snapToGrid/>
        <w:spacing w:before="0" w:after="0" w:line="560" w:lineRule="exact"/>
        <w:ind w:left="0" w:firstLine="640" w:firstLineChars="200"/>
        <w:outlineLvl w:val="9"/>
        <w:rPr>
          <w:b w:val="0"/>
          <w:bCs w:val="0"/>
          <w:color w:val="FF0000"/>
          <w:kern w:val="2"/>
          <w:sz w:val="32"/>
          <w:szCs w:val="32"/>
        </w:rPr>
      </w:pPr>
      <w:bookmarkStart w:id="18" w:name="_Toc68703845"/>
      <w:r>
        <w:rPr>
          <w:rFonts w:hint="eastAsia" w:eastAsia="黑体"/>
          <w:b w:val="0"/>
          <w:kern w:val="2"/>
          <w:sz w:val="32"/>
          <w:szCs w:val="32"/>
        </w:rPr>
        <w:t>七、有关建议</w:t>
      </w:r>
      <w:bookmarkEnd w:id="18"/>
      <w:r>
        <w:rPr>
          <w:rFonts w:hint="eastAsia" w:eastAsia="黑体"/>
          <w:b w:val="0"/>
          <w:kern w:val="2"/>
          <w:sz w:val="32"/>
          <w:szCs w:val="32"/>
        </w:rPr>
        <w:t>　</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1.多进行有关绩效管理工作方面的培训。积极组织第三方开展绩效管理工作培训，进一步夯实业务基础，提高我单位绩效人员水平。</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2.专门设定对绩效工作人员定职、定岗、定责等相关制度措施，进一步提升我单位绩效管理工作业务水平，扎实做好绩效管理工作。</w:t>
      </w:r>
    </w:p>
    <w:p>
      <w:pPr>
        <w:pageBreakBefore w:val="0"/>
        <w:kinsoku/>
        <w:wordWrap/>
        <w:overflowPunct/>
        <w:topLinePunct w:val="0"/>
        <w:autoSpaceDE/>
        <w:autoSpaceDN/>
        <w:bidi w:val="0"/>
        <w:adjustRightInd/>
        <w:snapToGrid/>
        <w:spacing w:line="560" w:lineRule="exact"/>
        <w:ind w:left="0" w:firstLine="640" w:firstLineChars="200"/>
        <w:outlineLvl w:val="9"/>
        <w:rPr>
          <w:rFonts w:ascii="仿宋_GB2312" w:hAnsi="仿宋_GB2312" w:cs="仿宋_GB2312"/>
          <w:sz w:val="32"/>
          <w:szCs w:val="32"/>
        </w:rPr>
      </w:pPr>
      <w:r>
        <w:rPr>
          <w:rFonts w:hint="eastAsia" w:ascii="仿宋_GB2312" w:hAnsi="仿宋_GB2312" w:cs="仿宋_GB2312"/>
          <w:sz w:val="32"/>
          <w:szCs w:val="32"/>
        </w:rPr>
        <w:t>3.进一步规范项目建设的程序。项目前期做好可行性研究报告，更加细化实施方案，严格执行资金管理办法和财政资金管理制度，严格按照项目实施方案、招投标管理办法等稳步推进工作。</w:t>
      </w:r>
    </w:p>
    <w:p>
      <w:pPr>
        <w:pageBreakBefore w:val="0"/>
        <w:kinsoku/>
        <w:wordWrap/>
        <w:overflowPunct/>
        <w:topLinePunct w:val="0"/>
        <w:autoSpaceDE/>
        <w:autoSpaceDN/>
        <w:bidi w:val="0"/>
        <w:adjustRightInd/>
        <w:snapToGrid/>
        <w:spacing w:line="560" w:lineRule="exact"/>
        <w:ind w:left="0" w:firstLine="640" w:firstLineChars="200"/>
        <w:outlineLvl w:val="9"/>
        <w:rPr>
          <w:sz w:val="22"/>
          <w:szCs w:val="28"/>
        </w:rPr>
      </w:pPr>
      <w:r>
        <w:rPr>
          <w:rFonts w:hint="eastAsia" w:ascii="仿宋_GB2312" w:hAnsi="仿宋_GB2312" w:cs="仿宋_GB2312"/>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cs="仿宋_GB2312"/>
          <w:sz w:val="36"/>
          <w:szCs w:val="32"/>
        </w:rPr>
        <w:t>。</w:t>
      </w:r>
    </w:p>
    <w:p>
      <w:pPr>
        <w:pageBreakBefore w:val="0"/>
        <w:kinsoku/>
        <w:wordWrap/>
        <w:overflowPunct/>
        <w:topLinePunct w:val="0"/>
        <w:autoSpaceDE/>
        <w:autoSpaceDN/>
        <w:bidi w:val="0"/>
        <w:adjustRightInd/>
        <w:snapToGrid/>
        <w:spacing w:line="560" w:lineRule="exact"/>
        <w:ind w:left="0" w:firstLine="640" w:firstLineChars="200"/>
        <w:outlineLvl w:val="9"/>
      </w:pPr>
      <w:r>
        <w:rPr>
          <w:rFonts w:hint="eastAsia" w:ascii="仿宋_GB2312" w:hAnsi="仿宋_GB2312" w:cs="仿宋_GB2312"/>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ageBreakBefore w:val="0"/>
        <w:kinsoku/>
        <w:wordWrap/>
        <w:overflowPunct/>
        <w:topLinePunct w:val="0"/>
        <w:autoSpaceDE/>
        <w:autoSpaceDN/>
        <w:bidi w:val="0"/>
        <w:adjustRightInd/>
        <w:snapToGrid/>
        <w:spacing w:before="0" w:after="0" w:line="560" w:lineRule="exact"/>
        <w:ind w:left="0" w:firstLine="640" w:firstLineChars="200"/>
        <w:outlineLvl w:val="9"/>
        <w:rPr>
          <w:rFonts w:hint="eastAsia" w:eastAsia="黑体"/>
          <w:b w:val="0"/>
          <w:kern w:val="2"/>
          <w:sz w:val="32"/>
          <w:szCs w:val="32"/>
        </w:rPr>
      </w:pPr>
      <w:bookmarkStart w:id="19" w:name="_Toc68703846"/>
      <w:r>
        <w:rPr>
          <w:rFonts w:hint="eastAsia" w:eastAsia="黑体"/>
          <w:b w:val="0"/>
          <w:kern w:val="2"/>
          <w:sz w:val="32"/>
          <w:szCs w:val="32"/>
        </w:rPr>
        <w:t>八、其他需要说明的问题</w:t>
      </w:r>
      <w:bookmarkEnd w:id="19"/>
    </w:p>
    <w:p>
      <w:pPr>
        <w:pageBreakBefore w:val="0"/>
        <w:kinsoku/>
        <w:wordWrap/>
        <w:overflowPunct/>
        <w:topLinePunct w:val="0"/>
        <w:autoSpaceDE/>
        <w:autoSpaceDN/>
        <w:bidi w:val="0"/>
        <w:adjustRightInd/>
        <w:snapToGrid/>
        <w:spacing w:line="560" w:lineRule="exact"/>
        <w:ind w:left="0"/>
        <w:outlineLvl w:val="9"/>
        <w:rPr>
          <w:color w:val="FF0000"/>
          <w:sz w:val="32"/>
          <w:szCs w:val="32"/>
        </w:rPr>
      </w:pPr>
      <w:r>
        <w:rPr>
          <w:rFonts w:hint="eastAsia" w:ascii="仿宋_GB2312" w:hAnsi="仿宋_GB2312" w:cs="仿宋_GB2312"/>
          <w:sz w:val="32"/>
          <w:szCs w:val="32"/>
        </w:rPr>
        <w:t>　</w:t>
      </w:r>
      <w:r>
        <w:rPr>
          <w:rFonts w:hint="eastAsia" w:ascii="仿宋_GB2312" w:hAnsi="仿宋_GB2312" w:cs="仿宋_GB2312"/>
          <w:sz w:val="32"/>
          <w:szCs w:val="32"/>
          <w:lang w:val="en-US" w:eastAsia="zh-CN"/>
        </w:rPr>
        <w:t xml:space="preserve">  </w:t>
      </w:r>
      <w:r>
        <w:rPr>
          <w:rFonts w:hint="eastAsia" w:ascii="仿宋_GB2312" w:hAnsi="仿宋_GB2312" w:cs="仿宋_GB2312"/>
          <w:sz w:val="32"/>
          <w:szCs w:val="32"/>
        </w:rPr>
        <w:t>本项目无其他需说明的问题。</w:t>
      </w:r>
    </w:p>
    <w:p>
      <w:pPr>
        <w:pageBreakBefore w:val="0"/>
        <w:kinsoku/>
        <w:wordWrap/>
        <w:overflowPunct/>
        <w:topLinePunct w:val="0"/>
        <w:autoSpaceDE/>
        <w:autoSpaceDN/>
        <w:bidi w:val="0"/>
        <w:adjustRightInd/>
        <w:snapToGrid/>
        <w:spacing w:line="560" w:lineRule="exact"/>
        <w:ind w:left="0"/>
        <w:outlineLvl w:val="9"/>
      </w:pPr>
    </w:p>
    <w:p>
      <w:pPr>
        <w:pStyle w:val="2"/>
        <w:pageBreakBefore w:val="0"/>
        <w:kinsoku/>
        <w:wordWrap/>
        <w:overflowPunct/>
        <w:topLinePunct w:val="0"/>
        <w:autoSpaceDE/>
        <w:autoSpaceDN/>
        <w:bidi w:val="0"/>
        <w:adjustRightInd/>
        <w:snapToGrid/>
        <w:spacing w:before="0" w:after="0" w:line="560" w:lineRule="exact"/>
        <w:ind w:left="0"/>
        <w:outlineLvl w:val="9"/>
      </w:pPr>
    </w:p>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b/>
          <w:i w:val="0"/>
          <w:color w:val="000000"/>
          <w:kern w:val="0"/>
          <w:sz w:val="32"/>
          <w:szCs w:val="32"/>
          <w:u w:val="none"/>
          <w:lang w:val="en-US" w:eastAsia="zh-CN" w:bidi="ar"/>
        </w:rPr>
      </w:pPr>
    </w:p>
    <w:p>
      <w:pPr>
        <w:bidi w:val="0"/>
        <w:rPr>
          <w:rFonts w:hint="eastAsia" w:ascii="Times New Roman" w:hAnsi="Times New Roman" w:eastAsia="仿宋_GB2312" w:cs="Times New Roman"/>
          <w:kern w:val="2"/>
          <w:sz w:val="30"/>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jc w:val="left"/>
        <w:rPr>
          <w:rFonts w:hint="eastAsia"/>
          <w:lang w:val="en-US" w:eastAsia="zh-CN"/>
        </w:rPr>
        <w:sectPr>
          <w:headerReference r:id="rId3" w:type="default"/>
          <w:pgSz w:w="11906" w:h="16838"/>
          <w:pgMar w:top="2098" w:right="1531" w:bottom="1984" w:left="1531" w:header="737" w:footer="851" w:gutter="0"/>
          <w:cols w:space="720" w:num="1"/>
          <w:docGrid w:type="lines" w:linePitch="408" w:charSpace="0"/>
        </w:sectPr>
      </w:pPr>
    </w:p>
    <w:tbl>
      <w:tblPr>
        <w:tblStyle w:val="12"/>
        <w:tblpPr w:leftFromText="180" w:rightFromText="180" w:vertAnchor="text" w:horzAnchor="page" w:tblpXSpec="center" w:tblpY="-1146"/>
        <w:tblOverlap w:val="never"/>
        <w:tblW w:w="13820" w:type="dxa"/>
        <w:jc w:val="center"/>
        <w:tblInd w:w="0" w:type="dxa"/>
        <w:shd w:val="clear" w:color="auto" w:fill="auto"/>
        <w:tblLayout w:type="fixed"/>
        <w:tblCellMar>
          <w:top w:w="0" w:type="dxa"/>
          <w:left w:w="0" w:type="dxa"/>
          <w:bottom w:w="0" w:type="dxa"/>
          <w:right w:w="0" w:type="dxa"/>
        </w:tblCellMar>
      </w:tblPr>
      <w:tblGrid>
        <w:gridCol w:w="1223"/>
        <w:gridCol w:w="1223"/>
        <w:gridCol w:w="2"/>
        <w:gridCol w:w="1223"/>
        <w:gridCol w:w="1225"/>
        <w:gridCol w:w="1139"/>
        <w:gridCol w:w="712"/>
        <w:gridCol w:w="1703"/>
        <w:gridCol w:w="1513"/>
        <w:gridCol w:w="490"/>
        <w:gridCol w:w="885"/>
        <w:gridCol w:w="645"/>
        <w:gridCol w:w="700"/>
        <w:gridCol w:w="403"/>
        <w:gridCol w:w="734"/>
      </w:tblGrid>
      <w:tr>
        <w:tblPrEx>
          <w:shd w:val="clear" w:color="auto" w:fill="auto"/>
          <w:tblLayout w:type="fixed"/>
          <w:tblCellMar>
            <w:top w:w="0" w:type="dxa"/>
            <w:left w:w="0" w:type="dxa"/>
            <w:bottom w:w="0" w:type="dxa"/>
            <w:right w:w="0" w:type="dxa"/>
          </w:tblCellMar>
        </w:tblPrEx>
        <w:trPr>
          <w:trHeight w:val="90" w:hRule="atLeast"/>
          <w:jc w:val="center"/>
        </w:trPr>
        <w:tc>
          <w:tcPr>
            <w:tcW w:w="13820" w:type="dxa"/>
            <w:gridSpan w:val="15"/>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90" w:hRule="atLeast"/>
          <w:jc w:val="center"/>
        </w:trPr>
        <w:tc>
          <w:tcPr>
            <w:tcW w:w="13820" w:type="dxa"/>
            <w:gridSpan w:val="15"/>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90" w:hRule="atLeast"/>
          <w:jc w:val="center"/>
        </w:trPr>
        <w:tc>
          <w:tcPr>
            <w:tcW w:w="244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11372"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霍尔果斯市群众信访业务大楼尾款</w:t>
            </w:r>
          </w:p>
        </w:tc>
      </w:tr>
      <w:tr>
        <w:tblPrEx>
          <w:tblLayout w:type="fixed"/>
          <w:tblCellMar>
            <w:top w:w="0" w:type="dxa"/>
            <w:left w:w="0" w:type="dxa"/>
            <w:bottom w:w="0" w:type="dxa"/>
            <w:right w:w="0" w:type="dxa"/>
          </w:tblCellMar>
        </w:tblPrEx>
        <w:trPr>
          <w:trHeight w:val="90" w:hRule="atLeast"/>
          <w:jc w:val="center"/>
        </w:trPr>
        <w:tc>
          <w:tcPr>
            <w:tcW w:w="244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600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霍尔果斯市人民政府办公室</w:t>
            </w:r>
          </w:p>
        </w:tc>
        <w:tc>
          <w:tcPr>
            <w:tcW w:w="20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336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霍尔果斯市人民政府办公室</w:t>
            </w:r>
          </w:p>
        </w:tc>
      </w:tr>
      <w:tr>
        <w:tblPrEx>
          <w:tblLayout w:type="fixed"/>
          <w:tblCellMar>
            <w:top w:w="0" w:type="dxa"/>
            <w:left w:w="0" w:type="dxa"/>
            <w:bottom w:w="0" w:type="dxa"/>
            <w:right w:w="0" w:type="dxa"/>
          </w:tblCellMar>
        </w:tblPrEx>
        <w:trPr>
          <w:trHeight w:val="90" w:hRule="atLeast"/>
          <w:jc w:val="center"/>
        </w:trPr>
        <w:tc>
          <w:tcPr>
            <w:tcW w:w="244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24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24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20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90" w:hRule="atLeast"/>
          <w:jc w:val="center"/>
        </w:trPr>
        <w:tc>
          <w:tcPr>
            <w:tcW w:w="244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24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30.00</w:t>
            </w:r>
          </w:p>
        </w:tc>
        <w:tc>
          <w:tcPr>
            <w:tcW w:w="24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20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30.00</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10.00分</w:t>
            </w:r>
          </w:p>
        </w:tc>
      </w:tr>
      <w:tr>
        <w:tblPrEx>
          <w:tblLayout w:type="fixed"/>
          <w:tblCellMar>
            <w:top w:w="0" w:type="dxa"/>
            <w:left w:w="0" w:type="dxa"/>
            <w:bottom w:w="0" w:type="dxa"/>
            <w:right w:w="0" w:type="dxa"/>
          </w:tblCellMar>
        </w:tblPrEx>
        <w:trPr>
          <w:trHeight w:val="90" w:hRule="atLeast"/>
          <w:jc w:val="center"/>
        </w:trPr>
        <w:tc>
          <w:tcPr>
            <w:tcW w:w="244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24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24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20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90" w:hRule="atLeast"/>
          <w:jc w:val="center"/>
        </w:trPr>
        <w:tc>
          <w:tcPr>
            <w:tcW w:w="244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24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4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0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90" w:hRule="atLeast"/>
          <w:jc w:val="center"/>
        </w:trPr>
        <w:tc>
          <w:tcPr>
            <w:tcW w:w="244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24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4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0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90" w:hRule="atLeast"/>
          <w:jc w:val="center"/>
        </w:trPr>
        <w:tc>
          <w:tcPr>
            <w:tcW w:w="122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722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537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90" w:hRule="atLeast"/>
          <w:jc w:val="center"/>
        </w:trPr>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7227"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left"/>
              <w:textAlignment w:val="top"/>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霍尔果斯市群众信访业务大楼由伊宁市城市建设有限责任公司承建，项目共有2个标段，2017年9月16日至2017年10月15日建设标段1 ，中标价1153.19万元，结算价1087.5万元，剩余未支付款项133.96万元。2016年至2017年建设二标段，中标价235.98万元，结算价194.16万元，剩余未支付5.38万元该项目于2018年5月验收，于2020年6月经新疆银桥工程咨询公司最终审核定价。剩余139.34万元未拨付，根据上级领导批示，予以拨付30万元，剩余尾款将于未来三年内拨付完毕，现申请30万用于解决部分尾款</w:t>
            </w:r>
          </w:p>
        </w:tc>
        <w:tc>
          <w:tcPr>
            <w:tcW w:w="537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left"/>
              <w:textAlignment w:val="top"/>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申请的霍尔果斯市群众信访业务大楼尾款30万元，一次性支付完毕。</w:t>
            </w:r>
          </w:p>
        </w:tc>
      </w:tr>
      <w:tr>
        <w:tblPrEx>
          <w:tblLayout w:type="fixed"/>
          <w:tblCellMar>
            <w:top w:w="0" w:type="dxa"/>
            <w:left w:w="0" w:type="dxa"/>
            <w:bottom w:w="0" w:type="dxa"/>
            <w:right w:w="0" w:type="dxa"/>
          </w:tblCellMar>
        </w:tblPrEx>
        <w:trPr>
          <w:trHeight w:val="312" w:hRule="atLeast"/>
          <w:jc w:val="center"/>
        </w:trPr>
        <w:tc>
          <w:tcPr>
            <w:tcW w:w="122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122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122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307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170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151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13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3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13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312" w:hRule="atLeast"/>
          <w:jc w:val="center"/>
        </w:trPr>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12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307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170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15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13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13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113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90" w:hRule="atLeast"/>
          <w:jc w:val="center"/>
        </w:trPr>
        <w:tc>
          <w:tcPr>
            <w:tcW w:w="122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122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2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307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left"/>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业务大楼建设数量</w:t>
            </w:r>
          </w:p>
        </w:tc>
        <w:tc>
          <w:tcPr>
            <w:tcW w:w="1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=1幢</w:t>
            </w: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1幢</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3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1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90" w:hRule="atLeast"/>
          <w:jc w:val="center"/>
        </w:trPr>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12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307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left"/>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大楼验收合格率</w:t>
            </w:r>
          </w:p>
        </w:tc>
        <w:tc>
          <w:tcPr>
            <w:tcW w:w="1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3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90" w:hRule="atLeast"/>
          <w:jc w:val="center"/>
        </w:trPr>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12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307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left"/>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资金支付准确率</w:t>
            </w:r>
          </w:p>
        </w:tc>
        <w:tc>
          <w:tcPr>
            <w:tcW w:w="1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3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90" w:hRule="atLeast"/>
          <w:jc w:val="center"/>
        </w:trPr>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12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307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left"/>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资金拨付及时率</w:t>
            </w:r>
          </w:p>
        </w:tc>
        <w:tc>
          <w:tcPr>
            <w:tcW w:w="1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3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90" w:hRule="atLeast"/>
          <w:jc w:val="center"/>
        </w:trPr>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122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2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307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left"/>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化解重大信访事件</w:t>
            </w:r>
          </w:p>
        </w:tc>
        <w:tc>
          <w:tcPr>
            <w:tcW w:w="1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有效化解</w:t>
            </w: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有效化解</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3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1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90" w:hRule="atLeast"/>
          <w:jc w:val="center"/>
        </w:trPr>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12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307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left"/>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设计功能实现率</w:t>
            </w:r>
          </w:p>
        </w:tc>
        <w:tc>
          <w:tcPr>
            <w:tcW w:w="1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3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1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90" w:hRule="atLeast"/>
          <w:jc w:val="center"/>
        </w:trPr>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22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307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left"/>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服务群众满意度</w:t>
            </w:r>
          </w:p>
        </w:tc>
        <w:tc>
          <w:tcPr>
            <w:tcW w:w="17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5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99.08%</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3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1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90" w:hRule="atLeast"/>
          <w:jc w:val="center"/>
        </w:trPr>
        <w:tc>
          <w:tcPr>
            <w:tcW w:w="996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13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jc w:val="center"/>
              <w:textAlignment w:val="center"/>
              <w:outlineLvl w:val="9"/>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100.00分</w:t>
            </w:r>
          </w:p>
        </w:tc>
        <w:tc>
          <w:tcPr>
            <w:tcW w:w="113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ageBreakBefore w:val="0"/>
              <w:kinsoku/>
              <w:wordWrap/>
              <w:overflowPunct/>
              <w:topLinePunct w:val="0"/>
              <w:autoSpaceDE/>
              <w:autoSpaceDN/>
              <w:bidi w:val="0"/>
              <w:adjustRightInd/>
              <w:snapToGrid/>
              <w:spacing w:line="560" w:lineRule="exact"/>
              <w:ind w:left="0"/>
              <w:jc w:val="center"/>
              <w:outlineLvl w:val="9"/>
              <w:rPr>
                <w:rFonts w:hint="eastAsia" w:ascii="宋体" w:hAnsi="宋体" w:eastAsia="宋体" w:cs="宋体"/>
                <w:i w:val="0"/>
                <w:color w:val="000000"/>
                <w:sz w:val="20"/>
                <w:szCs w:val="20"/>
                <w:u w:val="none"/>
              </w:rPr>
            </w:pPr>
          </w:p>
        </w:tc>
      </w:tr>
    </w:tbl>
    <w:p>
      <w:pPr>
        <w:pStyle w:val="2"/>
        <w:rPr>
          <w:rFonts w:hint="eastAsia"/>
          <w:lang w:val="en-US" w:eastAsia="zh-CN"/>
        </w:rPr>
        <w:sectPr>
          <w:pgSz w:w="16838" w:h="11906" w:orient="landscape"/>
          <w:pgMar w:top="1531" w:right="2098" w:bottom="1531" w:left="1984" w:header="737" w:footer="851" w:gutter="0"/>
          <w:cols w:space="720" w:num="1"/>
          <w:docGrid w:type="lines" w:linePitch="408" w:charSpace="0"/>
        </w:sectPr>
      </w:pPr>
    </w:p>
    <w:p>
      <w:pPr>
        <w:pStyle w:val="22"/>
        <w:pageBreakBefore w:val="0"/>
        <w:kinsoku/>
        <w:wordWrap/>
        <w:overflowPunct/>
        <w:topLinePunct w:val="0"/>
        <w:autoSpaceDE/>
        <w:autoSpaceDN/>
        <w:bidi w:val="0"/>
        <w:adjustRightInd/>
        <w:snapToGrid/>
        <w:spacing w:line="560" w:lineRule="exact"/>
        <w:ind w:left="0" w:firstLine="562"/>
        <w:jc w:val="center"/>
        <w:outlineLvl w:val="9"/>
        <w:rPr>
          <w:rFonts w:hint="eastAsia"/>
          <w:b/>
          <w:bCs/>
          <w:sz w:val="28"/>
          <w:szCs w:val="40"/>
          <w:lang w:val="en-US" w:eastAsia="zh-CN"/>
        </w:rPr>
      </w:pPr>
      <w:bookmarkStart w:id="20" w:name="_Toc30064_WPSOffice_Level1"/>
      <w:bookmarkStart w:id="21" w:name="_Toc26499_WPSOffice_Level2"/>
    </w:p>
    <w:p>
      <w:pPr>
        <w:pStyle w:val="22"/>
        <w:pageBreakBefore w:val="0"/>
        <w:kinsoku/>
        <w:wordWrap/>
        <w:overflowPunct/>
        <w:topLinePunct w:val="0"/>
        <w:autoSpaceDE/>
        <w:autoSpaceDN/>
        <w:bidi w:val="0"/>
        <w:adjustRightInd/>
        <w:snapToGrid/>
        <w:spacing w:line="560" w:lineRule="exact"/>
        <w:ind w:left="0" w:leftChars="0" w:firstLine="0" w:firstLineChars="0"/>
        <w:jc w:val="center"/>
        <w:outlineLvl w:val="9"/>
        <w:rPr>
          <w:sz w:val="28"/>
          <w:szCs w:val="40"/>
        </w:rPr>
      </w:pPr>
      <w:r>
        <w:rPr>
          <w:rFonts w:hint="eastAsia"/>
          <w:b/>
          <w:bCs/>
          <w:sz w:val="28"/>
          <w:szCs w:val="40"/>
          <w:lang w:val="en-US" w:eastAsia="zh-CN"/>
        </w:rPr>
        <w:t>霍尔果斯市群众信访业务楼尾款</w:t>
      </w:r>
      <w:r>
        <w:rPr>
          <w:rFonts w:hint="eastAsia"/>
          <w:b/>
          <w:bCs/>
          <w:sz w:val="28"/>
          <w:szCs w:val="40"/>
        </w:rPr>
        <w:t>绩效评价指标体系及综合评分表</w:t>
      </w:r>
      <w:bookmarkEnd w:id="20"/>
      <w:bookmarkEnd w:id="21"/>
    </w:p>
    <w:tbl>
      <w:tblPr>
        <w:tblW w:w="13741" w:type="dxa"/>
        <w:jc w:val="center"/>
        <w:tblInd w:w="-47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690"/>
        <w:gridCol w:w="1040"/>
        <w:gridCol w:w="1240"/>
        <w:gridCol w:w="3080"/>
        <w:gridCol w:w="6299"/>
        <w:gridCol w:w="696"/>
        <w:gridCol w:w="6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862" w:hRule="atLeast"/>
          <w:jc w:val="center"/>
        </w:trPr>
        <w:tc>
          <w:tcPr>
            <w:tcW w:w="12349" w:type="dxa"/>
            <w:gridSpan w:val="5"/>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bdr w:val="none" w:color="auto" w:sz="0" w:space="0"/>
                <w:lang w:val="en-US" w:eastAsia="zh-CN" w:bidi="ar"/>
              </w:rPr>
              <w:t>霍尔果斯市群众信访业务楼尾款项目支出绩效评价指标体系</w:t>
            </w:r>
          </w:p>
        </w:tc>
        <w:tc>
          <w:tcPr>
            <w:tcW w:w="696" w:type="dxa"/>
            <w:tcBorders>
              <w:top w:val="nil"/>
              <w:left w:val="nil"/>
              <w:bottom w:val="nil"/>
              <w:right w:val="nil"/>
            </w:tcBorders>
            <w:shd w:val="clear"/>
            <w:noWrap/>
            <w:tcMar>
              <w:top w:w="15" w:type="dxa"/>
              <w:left w:w="15" w:type="dxa"/>
              <w:right w:w="15" w:type="dxa"/>
            </w:tcMar>
            <w:vAlign w:val="center"/>
          </w:tcPr>
          <w:p>
            <w:pPr>
              <w:jc w:val="center"/>
              <w:rPr>
                <w:rFonts w:hint="eastAsia" w:ascii="等线" w:hAnsi="等线" w:eastAsia="等线" w:cs="等线"/>
                <w:i w:val="0"/>
                <w:color w:val="000000"/>
                <w:sz w:val="22"/>
                <w:szCs w:val="22"/>
                <w:u w:val="none"/>
              </w:rPr>
            </w:pPr>
          </w:p>
        </w:tc>
        <w:tc>
          <w:tcPr>
            <w:tcW w:w="696" w:type="dxa"/>
            <w:tcBorders>
              <w:top w:val="nil"/>
              <w:left w:val="nil"/>
              <w:bottom w:val="nil"/>
              <w:right w:val="nil"/>
            </w:tcBorders>
            <w:shd w:val="clear"/>
            <w:noWrap/>
            <w:tcMar>
              <w:top w:w="15" w:type="dxa"/>
              <w:left w:w="15" w:type="dxa"/>
              <w:right w:w="15" w:type="dxa"/>
            </w:tcMar>
            <w:vAlign w:val="center"/>
          </w:tcPr>
          <w:p>
            <w:pPr>
              <w:jc w:val="center"/>
              <w:rPr>
                <w:rFonts w:hint="default" w:ascii="等线" w:hAnsi="等线" w:eastAsia="等线" w:cs="等线"/>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3" w:hRule="atLeast"/>
          <w:jc w:val="center"/>
        </w:trPr>
        <w:tc>
          <w:tcPr>
            <w:tcW w:w="69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一级指标</w:t>
            </w:r>
          </w:p>
        </w:tc>
        <w:tc>
          <w:tcPr>
            <w:tcW w:w="104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二级指标</w:t>
            </w:r>
          </w:p>
        </w:tc>
        <w:tc>
          <w:tcPr>
            <w:tcW w:w="124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三级指标</w:t>
            </w:r>
          </w:p>
        </w:tc>
        <w:tc>
          <w:tcPr>
            <w:tcW w:w="308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指标解释</w:t>
            </w: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指标说明</w:t>
            </w:r>
          </w:p>
        </w:tc>
        <w:tc>
          <w:tcPr>
            <w:tcW w:w="69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分值</w:t>
            </w:r>
          </w:p>
        </w:tc>
        <w:tc>
          <w:tcPr>
            <w:tcW w:w="69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决策　（20）</w:t>
            </w:r>
          </w:p>
        </w:tc>
        <w:tc>
          <w:tcPr>
            <w:tcW w:w="10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项目立项(6)</w:t>
            </w:r>
          </w:p>
        </w:tc>
        <w:tc>
          <w:tcPr>
            <w:tcW w:w="12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立项依据充分性</w:t>
            </w:r>
          </w:p>
        </w:tc>
        <w:tc>
          <w:tcPr>
            <w:tcW w:w="30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项目立项是否符合法律法规、相关政策、发展规划以及部门职责，用以反映和考核项目立项依据情况。</w:t>
            </w: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①项目立项是否符合国家法律法规、国民经济发展规划和相关政策；</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②项目立项是否符合行业发展规划和政策要求；</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③项目立项是否与部门职责范围相符，属于部门履职所需；</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④项目是否属于公共财政支持范围，是否符合中央、地方事权支出责任划分原则；</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⑤项目是否与相关部门同类项目或部门内部相关项目重复。</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立项程序规范性</w:t>
            </w:r>
          </w:p>
        </w:tc>
        <w:tc>
          <w:tcPr>
            <w:tcW w:w="30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项目申请、设立过程是否符合相关要求，用以反映和考核项目立项的规范情况。</w:t>
            </w: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①项目是否按照规定的程序申请设立；</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②审批文件、材料是否符合相关要求；</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③事前是否已经过必要的可行性研究、专家论证、风险评估、绩效评估、集体决策。</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2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绩效目标合理性</w:t>
            </w:r>
          </w:p>
        </w:tc>
        <w:tc>
          <w:tcPr>
            <w:tcW w:w="30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项目所设定的绩效目标是否依据充分，是否符合客观实际，用以反映和考核项目绩效目标与项目实施的相符情况。</w:t>
            </w: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（如未设定预算绩效目标，也可考核其他工作任务目标）</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①项目是否有绩效目标；</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②项目绩效目标与实际工作内容是否具有相关性；</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③项目预期产出效益和效果是否符合正常的业绩水平；</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④是否与预算确定的项目投资额或资金量相匹配。</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绩效目标（3）</w:t>
            </w:r>
          </w:p>
        </w:tc>
        <w:tc>
          <w:tcPr>
            <w:tcW w:w="12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绩效指标明确性</w:t>
            </w:r>
          </w:p>
        </w:tc>
        <w:tc>
          <w:tcPr>
            <w:tcW w:w="30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依据绩效目标设定的绩效指标是否清晰、细化、可衡量等，用以反映和考核项目绩效目标的明细化情况。</w:t>
            </w: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①是否将项目绩效目标细化分解为具体的绩效指标；</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②是否通过清晰、可衡量的指标值予以体现；</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③是否与项目目标任务数或计划数相对应。</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资金投入（8）</w:t>
            </w:r>
          </w:p>
        </w:tc>
        <w:tc>
          <w:tcPr>
            <w:tcW w:w="12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预算编制科学性</w:t>
            </w:r>
          </w:p>
        </w:tc>
        <w:tc>
          <w:tcPr>
            <w:tcW w:w="30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项目预算编制是否经过科学论证、有明确标准，资金额度与年度目标是否相适应，用以反映和考核项目预算编制的科学性、合理性情况。</w:t>
            </w: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①预算编制是否经过科学论证；</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②预算内容与项目内容是否匹配；</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③预算额度测算依据是否充分，是否按照标准编制；</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④预算确定的项目投资额或资金量是否与工作任务相匹配。</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资金分配合理性</w:t>
            </w:r>
          </w:p>
        </w:tc>
        <w:tc>
          <w:tcPr>
            <w:tcW w:w="30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项目预算资金分配是否有测算依据，与补助单位或地方实际是否相适应，用以反映和考核项目预算资金分配的科学性、合理性情况。</w:t>
            </w: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①预算资金分配依据是否充分；</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10"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②资金分配额度是否合理，与项目单位或地方实际是否相适应。</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过程（20）</w:t>
            </w:r>
          </w:p>
        </w:tc>
        <w:tc>
          <w:tcPr>
            <w:tcW w:w="10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资金管理(8)</w:t>
            </w:r>
          </w:p>
        </w:tc>
        <w:tc>
          <w:tcPr>
            <w:tcW w:w="12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w:t>
            </w:r>
          </w:p>
        </w:tc>
        <w:tc>
          <w:tcPr>
            <w:tcW w:w="30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实际到位资金与预算资金的比率，用以反映和考核资金落实情况对项目实施的总体保障程度。</w:t>
            </w: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资金到位率=（实际到位资金/预算资金）×100%。</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1.60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实际到位资金：一定时期（本年度或项目期）内落实到具体项目的资金。</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1.60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预算资金：一定时期（本年度或项目期）内预算安排到具体项目的资金。</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1.60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w:t>
            </w:r>
          </w:p>
        </w:tc>
        <w:tc>
          <w:tcPr>
            <w:tcW w:w="30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项目预算资金是否按照计划执行，用以反映或考核项目预算执行情况。</w:t>
            </w: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预算执行率=（实际支出资金/实际到位资金）×100%。</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1.60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实际支出资金：一定时期（本年度或项目期）内项目实际拨付的资金。</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1.60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资金管理(4)</w:t>
            </w:r>
          </w:p>
        </w:tc>
        <w:tc>
          <w:tcPr>
            <w:tcW w:w="12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资金使用合规性</w:t>
            </w:r>
          </w:p>
        </w:tc>
        <w:tc>
          <w:tcPr>
            <w:tcW w:w="30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项目资金使用是否符合相关的财务管理制度规定，用以反映和考核项目资金的规范运行情况。</w:t>
            </w: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①是否符合国家财经法规和财务管理制度以及有关专项资金管理办法的规定；</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②资金的拨付是否有完整的审批程序和手续；</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③是否符合项目预算批复或合同规定的用途；</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④是否存在截留、挤占、挪用、虚列支出等情况。</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组织实施（8）</w:t>
            </w:r>
          </w:p>
        </w:tc>
        <w:tc>
          <w:tcPr>
            <w:tcW w:w="12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管理制度健全性</w:t>
            </w:r>
          </w:p>
        </w:tc>
        <w:tc>
          <w:tcPr>
            <w:tcW w:w="30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项目实施单位的财务和业务管理制度是否健全，用以反映和考核财务和业务管理制度对项目顺利实施的保障情况。</w:t>
            </w: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①是否已制定或具有相应的财务和业务管理制度；</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②财务和业务管理制度是否合法、合规、完整。</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制度执行有效性</w:t>
            </w:r>
          </w:p>
        </w:tc>
        <w:tc>
          <w:tcPr>
            <w:tcW w:w="30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项目实施是否符合相关管理规定，用以反映和考核相关管理制度的有效执行情况。</w:t>
            </w: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评价要点：</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①是否遵守相关法律法规和相关管理规定；</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②项目调整及支出调整手续是否完备；</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③项目合同书、验收报告、技术鉴定等资料是否齐全并及时归档；</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④项目实施的人员条件、场地设备、信息支撑等是否落实到位。</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产出（40）</w:t>
            </w:r>
          </w:p>
        </w:tc>
        <w:tc>
          <w:tcPr>
            <w:tcW w:w="10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产出数量(10)</w:t>
            </w:r>
          </w:p>
        </w:tc>
        <w:tc>
          <w:tcPr>
            <w:tcW w:w="12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w:t>
            </w:r>
          </w:p>
        </w:tc>
        <w:tc>
          <w:tcPr>
            <w:tcW w:w="30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项目实施的实际产出数与计划产出数的比率，用以反映和考核项目产出数量目标的实现程度。</w:t>
            </w: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实际完成率=（实际产出数/计划产出数）×100%。</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实际产出数：一定时期（本年度或项目期）内项目实际产出的产品或提供的服务数量。</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3"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计划产出数：项目绩效目标确定的在一定时期（本年度或项目期）内计划产出的产品或提供的服务数量。</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产出质量(10)</w:t>
            </w:r>
          </w:p>
        </w:tc>
        <w:tc>
          <w:tcPr>
            <w:tcW w:w="12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w:t>
            </w:r>
          </w:p>
        </w:tc>
        <w:tc>
          <w:tcPr>
            <w:tcW w:w="30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项目完成的质量达标产出数与实际产出数的比率，用以反映和考核项目产出质量目标的实现程度。</w:t>
            </w: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质量达标率=（质量达标产出数/实际产出数）×100%。</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06"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产出时效(10)</w:t>
            </w:r>
          </w:p>
        </w:tc>
        <w:tc>
          <w:tcPr>
            <w:tcW w:w="12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完成及时性</w:t>
            </w:r>
          </w:p>
        </w:tc>
        <w:tc>
          <w:tcPr>
            <w:tcW w:w="30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项目实际完成时间与计划完成时间的比较，用以反映和考核项目产出时效目标的实现程度。</w:t>
            </w: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实际完成时间：项目实施单位完成该项目实际所耗用的时间。</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7"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计划完成时间：按照项目实施计划或相关规定完成该项目所需的时间。</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产出成本(10)</w:t>
            </w:r>
          </w:p>
        </w:tc>
        <w:tc>
          <w:tcPr>
            <w:tcW w:w="12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w:t>
            </w:r>
          </w:p>
        </w:tc>
        <w:tc>
          <w:tcPr>
            <w:tcW w:w="308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完成项目计划工作目标的实际节约成本与计划成本的比率，用以反映和考核项目的成本节约程度。</w:t>
            </w: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成本节约率=[（计划成本-实际成本）/计划成本]×100%。</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实际成本：项目实施单位如期、保质、保量完成既定工作目标实际所耗费的支出。</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9"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308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2"/>
                <w:szCs w:val="22"/>
                <w:u w:val="none"/>
              </w:rPr>
            </w:pP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计划成本：项目实施单位为完成工作目标计划安排的支出，一般以项目预算为参考。</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3" w:hRule="atLeast"/>
          <w:jc w:val="center"/>
        </w:trPr>
        <w:tc>
          <w:tcPr>
            <w:tcW w:w="69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效益（20）</w:t>
            </w:r>
          </w:p>
        </w:tc>
        <w:tc>
          <w:tcPr>
            <w:tcW w:w="1040"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项目效益（20）</w:t>
            </w:r>
          </w:p>
        </w:tc>
        <w:tc>
          <w:tcPr>
            <w:tcW w:w="124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实施效益</w:t>
            </w:r>
          </w:p>
        </w:tc>
        <w:tc>
          <w:tcPr>
            <w:tcW w:w="308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项目实施所产生的效益。</w:t>
            </w: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项目实施所产生的社会效益、经济效益、生态效益、可持续影响等。可根据项目实际情况有选择地设置和细化。</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3" w:hRule="atLeast"/>
          <w:jc w:val="center"/>
        </w:trPr>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04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24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满意度</w:t>
            </w:r>
          </w:p>
        </w:tc>
        <w:tc>
          <w:tcPr>
            <w:tcW w:w="308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社会公众或服务对象对项目实施效果的满意程度。</w:t>
            </w:r>
          </w:p>
        </w:tc>
        <w:tc>
          <w:tcPr>
            <w:tcW w:w="62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社会公众或服务对象是指因该项目实施而受到影响的部门（单位）、群体或个人。一般采取社会调查的方式。</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bdr w:val="none" w:color="auto" w:sz="0" w:space="0"/>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82" w:hRule="atLeast"/>
          <w:jc w:val="center"/>
        </w:trPr>
        <w:tc>
          <w:tcPr>
            <w:tcW w:w="12349" w:type="dxa"/>
            <w:gridSpan w:val="5"/>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总分</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100.00 </w:t>
            </w:r>
          </w:p>
        </w:tc>
        <w:tc>
          <w:tcPr>
            <w:tcW w:w="696" w:type="dxa"/>
            <w:tcBorders>
              <w:top w:val="single" w:color="000000" w:sz="8" w:space="0"/>
              <w:left w:val="single" w:color="000000" w:sz="8" w:space="0"/>
              <w:bottom w:val="single" w:color="000000" w:sz="8" w:space="0"/>
              <w:right w:val="single" w:color="000000" w:sz="8"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bdr w:val="none" w:color="auto" w:sz="0" w:space="0"/>
                <w:lang w:val="en-US" w:eastAsia="zh-CN" w:bidi="ar"/>
              </w:rPr>
              <w:t xml:space="preserve">100.00 </w:t>
            </w:r>
          </w:p>
        </w:tc>
      </w:tr>
    </w:tbl>
    <w:p>
      <w:pPr>
        <w:pageBreakBefore w:val="0"/>
        <w:kinsoku/>
        <w:wordWrap/>
        <w:overflowPunct/>
        <w:topLinePunct w:val="0"/>
        <w:autoSpaceDE/>
        <w:autoSpaceDN/>
        <w:bidi w:val="0"/>
        <w:adjustRightInd/>
        <w:snapToGrid/>
        <w:spacing w:line="560" w:lineRule="exact"/>
        <w:ind w:left="0"/>
        <w:outlineLvl w:val="9"/>
      </w:pPr>
    </w:p>
    <w:sectPr>
      <w:pgSz w:w="16838" w:h="11906" w:orient="landscape"/>
      <w:pgMar w:top="1531" w:right="2098" w:bottom="1531" w:left="1984"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方正小标宋_GBK">
    <w:altName w:val="微软雅黑"/>
    <w:panose1 w:val="02000000000000000000"/>
    <w:charset w:val="86"/>
    <w:family w:val="script"/>
    <w:pitch w:val="default"/>
    <w:sig w:usb0="00000000" w:usb1="00000000" w:usb2="00082016" w:usb3="00000000" w:csb0="00040001" w:csb1="00000000"/>
  </w:font>
  <w:font w:name="红豆小标宋简体">
    <w:altName w:val="宋体"/>
    <w:panose1 w:val="00000000000000000000"/>
    <w:charset w:val="86"/>
    <w:family w:val="auto"/>
    <w:pitch w:val="default"/>
    <w:sig w:usb0="00000000" w:usb1="00000000"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 w:name="等线">
    <w:altName w:val="微软雅黑"/>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DFF5F47"/>
    <w:multiLevelType w:val="singleLevel"/>
    <w:tmpl w:val="FDFF5F47"/>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s>
  <w:rsids>
    <w:rsidRoot w:val="007D49C5"/>
    <w:rsid w:val="000D63FA"/>
    <w:rsid w:val="00291957"/>
    <w:rsid w:val="004D083E"/>
    <w:rsid w:val="005B64E8"/>
    <w:rsid w:val="00614288"/>
    <w:rsid w:val="00670592"/>
    <w:rsid w:val="0075298D"/>
    <w:rsid w:val="00792CFE"/>
    <w:rsid w:val="007D49C5"/>
    <w:rsid w:val="008175E0"/>
    <w:rsid w:val="00841DAC"/>
    <w:rsid w:val="008C631D"/>
    <w:rsid w:val="00A114ED"/>
    <w:rsid w:val="00B24331"/>
    <w:rsid w:val="00C743E1"/>
    <w:rsid w:val="00F02C61"/>
    <w:rsid w:val="00FB35E1"/>
    <w:rsid w:val="01583141"/>
    <w:rsid w:val="05253FFE"/>
    <w:rsid w:val="0F2A6BF7"/>
    <w:rsid w:val="109627EE"/>
    <w:rsid w:val="15B45D54"/>
    <w:rsid w:val="17136327"/>
    <w:rsid w:val="181871E2"/>
    <w:rsid w:val="19166846"/>
    <w:rsid w:val="20E92B23"/>
    <w:rsid w:val="22243047"/>
    <w:rsid w:val="22AC2218"/>
    <w:rsid w:val="2729052F"/>
    <w:rsid w:val="28C14634"/>
    <w:rsid w:val="2EC724D4"/>
    <w:rsid w:val="2EE30257"/>
    <w:rsid w:val="300345C4"/>
    <w:rsid w:val="34DA27CE"/>
    <w:rsid w:val="36411DC5"/>
    <w:rsid w:val="36685BEC"/>
    <w:rsid w:val="36B72533"/>
    <w:rsid w:val="36D86009"/>
    <w:rsid w:val="3FF736A5"/>
    <w:rsid w:val="4057649F"/>
    <w:rsid w:val="450B6AE4"/>
    <w:rsid w:val="48347EB5"/>
    <w:rsid w:val="54873A1A"/>
    <w:rsid w:val="56796849"/>
    <w:rsid w:val="568F383B"/>
    <w:rsid w:val="5D555EEF"/>
    <w:rsid w:val="5DA95371"/>
    <w:rsid w:val="686F7714"/>
    <w:rsid w:val="6A862BA8"/>
    <w:rsid w:val="6DFC1C65"/>
    <w:rsid w:val="75FA041F"/>
    <w:rsid w:val="760F49BD"/>
    <w:rsid w:val="76E870A0"/>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Balloon Text"/>
    <w:basedOn w:val="1"/>
    <w:link w:val="23"/>
    <w:semiHidden/>
    <w:unhideWhenUsed/>
    <w:qFormat/>
    <w:uiPriority w:val="99"/>
    <w:rPr>
      <w:sz w:val="18"/>
      <w:szCs w:val="18"/>
    </w:rPr>
  </w:style>
  <w:style w:type="paragraph" w:styleId="8">
    <w:name w:val="footer"/>
    <w:basedOn w:val="1"/>
    <w:link w:val="21"/>
    <w:semiHidden/>
    <w:unhideWhenUsed/>
    <w:qFormat/>
    <w:uiPriority w:val="99"/>
    <w:pPr>
      <w:tabs>
        <w:tab w:val="center" w:pos="4153"/>
        <w:tab w:val="right" w:pos="8306"/>
      </w:tabs>
      <w:snapToGrid w:val="0"/>
      <w:jc w:val="left"/>
    </w:pPr>
    <w:rPr>
      <w:sz w:val="18"/>
      <w:szCs w:val="18"/>
    </w:rPr>
  </w:style>
  <w:style w:type="paragraph" w:styleId="9">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4">
    <w:name w:val="Strong"/>
    <w:qFormat/>
    <w:uiPriority w:val="0"/>
    <w:rPr>
      <w:b/>
      <w:bCs/>
    </w:rPr>
  </w:style>
  <w:style w:type="character" w:styleId="15">
    <w:name w:val="Hyperlink"/>
    <w:basedOn w:val="13"/>
    <w:unhideWhenUsed/>
    <w:qFormat/>
    <w:uiPriority w:val="99"/>
    <w:rPr>
      <w:color w:val="0563C1" w:themeColor="hyperlink"/>
      <w:u w:val="single"/>
      <w14:textFill>
        <w14:solidFill>
          <w14:schemeClr w14:val="hlink"/>
        </w14:solidFill>
      </w14:textFill>
    </w:rPr>
  </w:style>
  <w:style w:type="character" w:styleId="16">
    <w:name w:val="annotation reference"/>
    <w:basedOn w:val="13"/>
    <w:semiHidden/>
    <w:unhideWhenUsed/>
    <w:qFormat/>
    <w:uiPriority w:val="99"/>
    <w:rPr>
      <w:sz w:val="21"/>
      <w:szCs w:val="21"/>
    </w:rPr>
  </w:style>
  <w:style w:type="character" w:customStyle="1" w:styleId="17">
    <w:name w:val="标题 1 Char"/>
    <w:basedOn w:val="13"/>
    <w:link w:val="3"/>
    <w:qFormat/>
    <w:uiPriority w:val="9"/>
    <w:rPr>
      <w:rFonts w:ascii="Times New Roman" w:hAnsi="Times New Roman" w:eastAsia="仿宋_GB2312" w:cs="Times New Roman"/>
      <w:b/>
      <w:bCs/>
      <w:kern w:val="44"/>
      <w:sz w:val="44"/>
      <w:szCs w:val="44"/>
    </w:rPr>
  </w:style>
  <w:style w:type="character" w:customStyle="1" w:styleId="18">
    <w:name w:val="标题 2 Char"/>
    <w:basedOn w:val="13"/>
    <w:link w:val="4"/>
    <w:qFormat/>
    <w:uiPriority w:val="9"/>
    <w:rPr>
      <w:rFonts w:asciiTheme="majorHAnsi" w:hAnsiTheme="majorHAnsi" w:eastAsiaTheme="majorEastAsia" w:cstheme="majorBidi"/>
      <w:b/>
      <w:bCs/>
      <w:sz w:val="32"/>
      <w:szCs w:val="32"/>
    </w:rPr>
  </w:style>
  <w:style w:type="paragraph" w:customStyle="1" w:styleId="19">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0">
    <w:name w:val="页眉 Char"/>
    <w:basedOn w:val="13"/>
    <w:link w:val="9"/>
    <w:semiHidden/>
    <w:qFormat/>
    <w:uiPriority w:val="99"/>
    <w:rPr>
      <w:rFonts w:ascii="Times New Roman" w:hAnsi="Times New Roman" w:eastAsia="仿宋_GB2312" w:cs="Times New Roman"/>
      <w:sz w:val="18"/>
      <w:szCs w:val="18"/>
    </w:rPr>
  </w:style>
  <w:style w:type="character" w:customStyle="1" w:styleId="21">
    <w:name w:val="页脚 Char"/>
    <w:basedOn w:val="13"/>
    <w:link w:val="8"/>
    <w:semiHidden/>
    <w:qFormat/>
    <w:uiPriority w:val="99"/>
    <w:rPr>
      <w:rFonts w:ascii="Times New Roman" w:hAnsi="Times New Roman" w:eastAsia="仿宋_GB2312" w:cs="Times New Roman"/>
      <w:sz w:val="18"/>
      <w:szCs w:val="18"/>
    </w:rPr>
  </w:style>
  <w:style w:type="paragraph" w:customStyle="1" w:styleId="22">
    <w:name w:val="闻政-正文段落文字"/>
    <w:basedOn w:val="1"/>
    <w:qFormat/>
    <w:uiPriority w:val="3"/>
    <w:pPr>
      <w:spacing w:line="500" w:lineRule="exact"/>
      <w:ind w:firstLine="200"/>
    </w:pPr>
    <w:rPr>
      <w:kern w:val="0"/>
      <w:szCs w:val="28"/>
    </w:rPr>
  </w:style>
  <w:style w:type="character" w:customStyle="1" w:styleId="23">
    <w:name w:val="批注框文本 Char"/>
    <w:basedOn w:val="13"/>
    <w:link w:val="7"/>
    <w:semiHidden/>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1493</Words>
  <Characters>8511</Characters>
  <Lines>70</Lines>
  <Paragraphs>19</Paragraphs>
  <TotalTime>4</TotalTime>
  <ScaleCrop>false</ScaleCrop>
  <LinksUpToDate>false</LinksUpToDate>
  <CharactersWithSpaces>9985</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2024-04-18T03:21:00Z</dcterms:created>
  <dc:creator>翘楚</dc:creator>
  <cp:lastModifiedBy>Administrator</cp:lastModifiedBy>
  <dcterms:modified xsi:type="dcterms:W3CDTF">2024-06-12T08:37:34Z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C395ADB7FBD744C5833ED78F38837E4D_13</vt:lpwstr>
  </property>
</Properties>
</file>