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jc w:val="center"/>
        <w:rPr>
          <w:rFonts w:eastAsia="方正小标宋_GBK"/>
          <w:kern w:val="0"/>
          <w:sz w:val="48"/>
          <w:szCs w:val="48"/>
        </w:rPr>
      </w:pPr>
      <w:r>
        <w:rPr>
          <w:rFonts w:hint="eastAsia" w:eastAsia="方正小标宋_GBK"/>
          <w:kern w:val="0"/>
          <w:sz w:val="48"/>
          <w:szCs w:val="48"/>
          <w:lang w:val="en-US" w:eastAsia="zh-CN"/>
        </w:rPr>
        <w:t>2023年度自治区妇女儿童工作项目</w:t>
      </w:r>
      <w:r>
        <w:rPr>
          <w:rFonts w:eastAsia="方正小标宋_GBK"/>
          <w:kern w:val="0"/>
          <w:sz w:val="48"/>
          <w:szCs w:val="48"/>
        </w:rPr>
        <w:t>支出</w:t>
      </w:r>
    </w:p>
    <w:p>
      <w:pPr>
        <w:pageBreakBefore w:val="0"/>
        <w:kinsoku/>
        <w:wordWrap/>
        <w:overflowPunct/>
        <w:topLinePunct w:val="0"/>
        <w:autoSpaceDE/>
        <w:autoSpaceDN/>
        <w:bidi w:val="0"/>
        <w:adjustRightInd/>
        <w:snapToGrid/>
        <w:spacing w:line="560" w:lineRule="exact"/>
        <w:jc w:val="center"/>
        <w:rPr>
          <w:rFonts w:eastAsia="方正小标宋_GBK"/>
          <w:kern w:val="0"/>
          <w:sz w:val="48"/>
          <w:szCs w:val="48"/>
        </w:rPr>
      </w:pPr>
      <w:r>
        <w:rPr>
          <w:rFonts w:eastAsia="方正小标宋_GBK"/>
          <w:kern w:val="0"/>
          <w:sz w:val="48"/>
          <w:szCs w:val="48"/>
        </w:rPr>
        <w:t>绩效评价报告</w:t>
      </w:r>
    </w:p>
    <w:p>
      <w:pPr>
        <w:pageBreakBefore w:val="0"/>
        <w:kinsoku/>
        <w:wordWrap/>
        <w:overflowPunct/>
        <w:topLinePunct w:val="0"/>
        <w:autoSpaceDE/>
        <w:autoSpaceDN/>
        <w:bidi w:val="0"/>
        <w:adjustRightInd/>
        <w:snapToGrid/>
        <w:spacing w:line="560" w:lineRule="exact"/>
        <w:ind w:left="0" w:leftChars="0" w:firstLine="964" w:firstLineChars="200"/>
        <w:jc w:val="center"/>
        <w:rPr>
          <w:rFonts w:ascii="宋体" w:hAnsi="宋体" w:eastAsia="宋体" w:cs="Arial"/>
          <w:b/>
          <w:bCs/>
          <w:sz w:val="48"/>
          <w:szCs w:val="48"/>
        </w:rPr>
      </w:pPr>
    </w:p>
    <w:p>
      <w:pPr>
        <w:pageBreakBefore w:val="0"/>
        <w:widowControl/>
        <w:kinsoku/>
        <w:wordWrap/>
        <w:overflowPunct/>
        <w:topLinePunct w:val="0"/>
        <w:autoSpaceDE/>
        <w:autoSpaceDN/>
        <w:bidi w:val="0"/>
        <w:adjustRightInd/>
        <w:snapToGrid/>
        <w:spacing w:line="560" w:lineRule="exact"/>
        <w:ind w:left="0" w:leftChars="0" w:firstLine="720" w:firstLineChars="200"/>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pageBreakBefore w:val="0"/>
        <w:kinsoku/>
        <w:wordWrap/>
        <w:overflowPunct/>
        <w:topLinePunct w:val="0"/>
        <w:autoSpaceDE/>
        <w:autoSpaceDN/>
        <w:bidi w:val="0"/>
        <w:adjustRightInd/>
        <w:snapToGrid/>
        <w:spacing w:line="560" w:lineRule="exact"/>
        <w:ind w:left="0" w:leftChars="0" w:firstLine="1004" w:firstLineChars="200"/>
        <w:jc w:val="center"/>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leftChars="0" w:firstLine="1004" w:firstLineChars="200"/>
        <w:jc w:val="center"/>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leftChars="0" w:firstLine="1004" w:firstLineChars="200"/>
        <w:jc w:val="center"/>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leftChars="0" w:firstLine="1004" w:firstLineChars="200"/>
        <w:jc w:val="center"/>
        <w:rPr>
          <w:rFonts w:ascii="仿宋_GB2312" w:hAnsi="仿宋_GB2312" w:cs="仿宋_GB2312"/>
          <w:b/>
          <w:kern w:val="0"/>
          <w:sz w:val="50"/>
          <w:szCs w:val="50"/>
          <w:lang w:bidi="en-US"/>
        </w:rPr>
      </w:pPr>
    </w:p>
    <w:p>
      <w:pPr>
        <w:pStyle w:val="2"/>
        <w:rPr>
          <w:rFonts w:ascii="仿宋_GB2312" w:hAnsi="仿宋_GB2312" w:cs="仿宋_GB2312"/>
          <w:b/>
          <w:kern w:val="0"/>
          <w:sz w:val="50"/>
          <w:szCs w:val="50"/>
          <w:lang w:bidi="en-US"/>
        </w:rPr>
      </w:pPr>
    </w:p>
    <w:p>
      <w:pPr>
        <w:rPr>
          <w:rFonts w:ascii="仿宋_GB2312" w:hAnsi="仿宋_GB2312" w:cs="仿宋_GB2312"/>
          <w:b/>
          <w:kern w:val="0"/>
          <w:sz w:val="50"/>
          <w:szCs w:val="50"/>
          <w:lang w:bidi="en-US"/>
        </w:rPr>
      </w:pPr>
    </w:p>
    <w:p>
      <w:pPr>
        <w:pStyle w:val="2"/>
      </w:pPr>
    </w:p>
    <w:p>
      <w:pPr>
        <w:pageBreakBefore w:val="0"/>
        <w:kinsoku/>
        <w:wordWrap/>
        <w:overflowPunct/>
        <w:topLinePunct w:val="0"/>
        <w:autoSpaceDE/>
        <w:autoSpaceDN/>
        <w:bidi w:val="0"/>
        <w:adjustRightInd/>
        <w:snapToGrid/>
        <w:spacing w:line="560" w:lineRule="exact"/>
        <w:ind w:left="0" w:leftChars="0" w:firstLine="1004" w:firstLineChars="200"/>
        <w:jc w:val="center"/>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leftChars="0" w:firstLine="643" w:firstLineChars="2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val="0"/>
          <w:bCs w:val="0"/>
          <w:color w:val="000000"/>
          <w:kern w:val="0"/>
          <w:sz w:val="32"/>
          <w:szCs w:val="32"/>
        </w:rPr>
        <w:t>2023年度自治区妇女儿童工作项目资金</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val="0"/>
          <w:bCs w:val="0"/>
          <w:color w:val="000000"/>
          <w:kern w:val="0"/>
          <w:sz w:val="32"/>
          <w:szCs w:val="32"/>
          <w:lang w:val="en-US" w:eastAsia="zh-CN"/>
        </w:rPr>
        <w:t>霍尔果斯市妇女联合会</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p>
    <w:p>
      <w:pPr>
        <w:pageBreakBefore w:val="0"/>
        <w:kinsoku/>
        <w:wordWrap/>
        <w:overflowPunct/>
        <w:topLinePunct w:val="0"/>
        <w:autoSpaceDE/>
        <w:autoSpaceDN/>
        <w:bidi w:val="0"/>
        <w:adjustRightInd/>
        <w:snapToGrid/>
        <w:spacing w:line="560" w:lineRule="exact"/>
        <w:ind w:left="0" w:leftChars="0" w:firstLine="643" w:firstLineChars="2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val="0"/>
          <w:bCs w:val="0"/>
          <w:color w:val="000000"/>
          <w:kern w:val="0"/>
          <w:sz w:val="32"/>
          <w:szCs w:val="32"/>
          <w:lang w:val="en-US" w:eastAsia="zh-CN"/>
        </w:rPr>
        <w:t>张雪莲</w:t>
      </w:r>
    </w:p>
    <w:p>
      <w:pPr>
        <w:pageBreakBefore w:val="0"/>
        <w:kinsoku/>
        <w:wordWrap/>
        <w:overflowPunct/>
        <w:topLinePunct w:val="0"/>
        <w:autoSpaceDE/>
        <w:autoSpaceDN/>
        <w:bidi w:val="0"/>
        <w:adjustRightInd/>
        <w:snapToGrid/>
        <w:spacing w:line="560" w:lineRule="exact"/>
        <w:ind w:left="0" w:leftChars="0" w:firstLine="643" w:firstLineChars="2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 xml:space="preserve"> 日</w:t>
      </w:r>
    </w:p>
    <w:p>
      <w:pPr>
        <w:pageBreakBefore w:val="0"/>
        <w:widowControl/>
        <w:kinsoku/>
        <w:wordWrap/>
        <w:overflowPunct/>
        <w:topLinePunct w:val="0"/>
        <w:autoSpaceDE/>
        <w:autoSpaceDN/>
        <w:bidi w:val="0"/>
        <w:adjustRightInd/>
        <w:snapToGrid/>
        <w:spacing w:line="560" w:lineRule="exact"/>
        <w:ind w:left="0" w:leftChars="0" w:firstLine="723" w:firstLineChars="200"/>
        <w:jc w:val="left"/>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1"/>
        </w:numPr>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cs="Times New Roman"/>
          <w:b w:val="0"/>
          <w:bCs w:val="0"/>
          <w:sz w:val="32"/>
          <w:szCs w:val="32"/>
          <w:highlight w:val="none"/>
          <w:lang w:val="en-US" w:eastAsia="zh-CN"/>
        </w:rPr>
      </w:pPr>
      <w:r>
        <w:rPr>
          <w:rFonts w:hint="eastAsia" w:ascii="Times New Roman" w:hAnsi="Times New Roman" w:cs="Times New Roman"/>
          <w:b w:val="0"/>
          <w:bCs w:val="0"/>
          <w:sz w:val="32"/>
          <w:szCs w:val="32"/>
          <w:highlight w:val="none"/>
          <w:lang w:eastAsia="zh-CN"/>
        </w:rPr>
        <w:t>本项目依据</w:t>
      </w:r>
      <w:r>
        <w:rPr>
          <w:rFonts w:hint="eastAsia" w:ascii="Times New Roman" w:hAnsi="Times New Roman" w:cs="Times New Roman"/>
          <w:b w:val="0"/>
          <w:bCs w:val="0"/>
          <w:sz w:val="32"/>
          <w:szCs w:val="32"/>
          <w:highlight w:val="none"/>
          <w:lang w:val="en-US" w:eastAsia="zh-CN"/>
        </w:rPr>
        <w:t>实施</w:t>
      </w:r>
      <w:r>
        <w:rPr>
          <w:rFonts w:hint="eastAsia" w:ascii="Times New Roman" w:hAnsi="Times New Roman" w:cs="Times New Roman"/>
          <w:b w:val="0"/>
          <w:bCs w:val="0"/>
          <w:sz w:val="32"/>
          <w:szCs w:val="32"/>
          <w:highlight w:val="none"/>
          <w:lang w:eastAsia="zh-CN"/>
        </w:rPr>
        <w:t>《自治区“石榴花”巾帼基地管理办法》，根据年初工作安排，按照市委、市政府及上级妇联要求；</w:t>
      </w:r>
      <w:r>
        <w:rPr>
          <w:rFonts w:hint="eastAsia" w:cs="Times New Roman"/>
          <w:b w:val="0"/>
          <w:bCs w:val="0"/>
          <w:sz w:val="32"/>
          <w:szCs w:val="32"/>
          <w:highlight w:val="none"/>
          <w:lang w:val="en-US" w:eastAsia="zh-CN"/>
        </w:rPr>
        <w:t>组建宣讲队，开展巾帼宣讲队伍培训，深入开展党的二十大精神宣讲，强化妇女思想政治引领，开展石榴花宣讲工作，团结动员、组织妇女群众投身改革开放社会主义物质文明、精神文明和政治文明建设。</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cs="Times New Roman"/>
          <w:b w:val="0"/>
          <w:bCs w:val="0"/>
          <w:sz w:val="32"/>
          <w:szCs w:val="32"/>
          <w:lang w:eastAsia="zh-CN"/>
        </w:rPr>
      </w:pPr>
      <w:r>
        <w:rPr>
          <w:rFonts w:hint="eastAsia" w:ascii="仿宋_GB2312"/>
          <w:sz w:val="32"/>
          <w:szCs w:val="32"/>
        </w:rPr>
        <w:t>主要内容：</w:t>
      </w:r>
      <w:r>
        <w:rPr>
          <w:rFonts w:hint="eastAsia" w:ascii="Times New Roman" w:hAnsi="Times New Roman" w:cs="Times New Roman"/>
          <w:b w:val="0"/>
          <w:bCs w:val="0"/>
          <w:sz w:val="32"/>
          <w:szCs w:val="32"/>
          <w:lang w:eastAsia="zh-CN"/>
        </w:rPr>
        <w:t>开展“石榴花耀天山”宣讲活动，</w:t>
      </w:r>
      <w:r>
        <w:rPr>
          <w:rFonts w:hint="eastAsia" w:cs="Times New Roman"/>
          <w:b w:val="0"/>
          <w:bCs w:val="0"/>
          <w:sz w:val="32"/>
          <w:szCs w:val="32"/>
          <w:lang w:val="en-US" w:eastAsia="zh-CN"/>
        </w:rPr>
        <w:t>打造石榴花巾帼示范基地，</w:t>
      </w:r>
      <w:r>
        <w:rPr>
          <w:rFonts w:hint="eastAsia" w:ascii="Times New Roman" w:hAnsi="Times New Roman" w:cs="Times New Roman"/>
          <w:b w:val="0"/>
          <w:bCs w:val="0"/>
          <w:sz w:val="32"/>
          <w:szCs w:val="32"/>
          <w:lang w:eastAsia="zh-CN"/>
        </w:rPr>
        <w:t>组建宣讲队，开展巾帼宣讲员队伍培训，深入开展党的二十大精神宣讲，强化妇女思想政治引领，开展石榴花宣讲工作</w:t>
      </w:r>
      <w:r>
        <w:rPr>
          <w:rFonts w:hint="eastAsia" w:cs="Times New Roman"/>
          <w:b w:val="0"/>
          <w:bCs w:val="0"/>
          <w:sz w:val="32"/>
          <w:szCs w:val="32"/>
          <w:lang w:eastAsia="zh-CN"/>
        </w:rPr>
        <w:t>。</w:t>
      </w:r>
      <w:r>
        <w:rPr>
          <w:rFonts w:hint="eastAsia" w:ascii="Times New Roman" w:hAnsi="Times New Roman" w:cs="Times New Roman"/>
          <w:b w:val="0"/>
          <w:bCs w:val="0"/>
          <w:sz w:val="32"/>
          <w:szCs w:val="32"/>
          <w:lang w:eastAsia="zh-CN"/>
        </w:rPr>
        <w:t>团结动员、组织妇女群众投身改革开放和社会主义物质文明、精神文明和政治文明建设，为霍尔果斯市经济高质量发展贡献巾帼力量。</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sz w:val="32"/>
          <w:szCs w:val="32"/>
        </w:rPr>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3</w:t>
      </w:r>
      <w:r>
        <w:rPr>
          <w:rFonts w:hint="eastAsia" w:ascii="Times New Roman" w:hAnsi="Times New Roman"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5</w:t>
      </w:r>
      <w:r>
        <w:rPr>
          <w:rFonts w:hint="eastAsia"/>
          <w:color w:val="auto"/>
          <w:sz w:val="32"/>
          <w:szCs w:val="32"/>
        </w:rPr>
        <w:t>万元，全年预算数</w:t>
      </w:r>
      <w:r>
        <w:rPr>
          <w:rFonts w:hint="eastAsia"/>
          <w:color w:val="auto"/>
          <w:sz w:val="32"/>
          <w:szCs w:val="32"/>
          <w:lang w:val="en-US" w:eastAsia="zh-CN"/>
        </w:rPr>
        <w:t>5</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5</w:t>
      </w:r>
      <w:r>
        <w:rPr>
          <w:rFonts w:hint="eastAsia"/>
          <w:color w:val="auto"/>
          <w:sz w:val="32"/>
          <w:szCs w:val="32"/>
        </w:rPr>
        <w:t>万元，该项目资金已全部落实到位，资金来源为</w:t>
      </w:r>
      <w:r>
        <w:rPr>
          <w:rFonts w:hint="eastAsia"/>
          <w:color w:val="auto"/>
          <w:sz w:val="32"/>
          <w:szCs w:val="32"/>
          <w:lang w:val="en-US" w:eastAsia="zh-CN"/>
        </w:rPr>
        <w:t>自治区拨款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color w:val="auto"/>
          <w:sz w:val="32"/>
          <w:szCs w:val="32"/>
          <w:lang w:eastAsia="zh-CN"/>
        </w:rPr>
      </w:pPr>
      <w:r>
        <w:rPr>
          <w:rFonts w:hint="eastAsia"/>
          <w:color w:val="auto"/>
          <w:sz w:val="32"/>
          <w:szCs w:val="32"/>
        </w:rPr>
        <w:t>资金使用情况：该项目年初预算数</w:t>
      </w:r>
      <w:r>
        <w:rPr>
          <w:rFonts w:hint="eastAsia"/>
          <w:color w:val="auto"/>
          <w:sz w:val="32"/>
          <w:szCs w:val="32"/>
          <w:lang w:val="en-US" w:eastAsia="zh-CN"/>
        </w:rPr>
        <w:t>5</w:t>
      </w:r>
      <w:r>
        <w:rPr>
          <w:rFonts w:hint="eastAsia"/>
          <w:color w:val="auto"/>
          <w:sz w:val="32"/>
          <w:szCs w:val="32"/>
        </w:rPr>
        <w:t>万元，全年预算数</w:t>
      </w:r>
      <w:r>
        <w:rPr>
          <w:rFonts w:hint="eastAsia"/>
          <w:color w:val="auto"/>
          <w:sz w:val="32"/>
          <w:szCs w:val="32"/>
          <w:lang w:val="en-US" w:eastAsia="zh-CN"/>
        </w:rPr>
        <w:t>5</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color w:val="auto"/>
          <w:sz w:val="32"/>
          <w:szCs w:val="32"/>
          <w:lang w:val="en-US" w:eastAsia="zh-CN"/>
        </w:rPr>
        <w:t>5</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bookmarkStart w:id="2" w:name="_Toc68703829"/>
      <w:r>
        <w:rPr>
          <w:rFonts w:hint="eastAsia"/>
          <w:color w:val="auto"/>
          <w:sz w:val="32"/>
          <w:szCs w:val="32"/>
          <w:lang w:val="en-US" w:eastAsia="zh-CN"/>
        </w:rPr>
        <w:t>“石榴花”巾帼基地建设成本3.5</w:t>
      </w:r>
      <w:r>
        <w:rPr>
          <w:rFonts w:hint="eastAsia" w:eastAsia="仿宋_GB2312"/>
          <w:color w:val="auto"/>
          <w:sz w:val="32"/>
          <w:szCs w:val="32"/>
          <w:highlight w:val="none"/>
        </w:rPr>
        <w:t>万元、“石榴花”宣讲培训成本</w:t>
      </w:r>
      <w:r>
        <w:rPr>
          <w:rFonts w:hint="eastAsia"/>
          <w:color w:val="auto"/>
          <w:sz w:val="32"/>
          <w:szCs w:val="32"/>
          <w:highlight w:val="none"/>
          <w:lang w:val="en-US" w:eastAsia="zh-CN"/>
        </w:rPr>
        <w:t>1.5</w:t>
      </w:r>
      <w:r>
        <w:rPr>
          <w:rFonts w:hint="eastAsia" w:eastAsia="仿宋_GB2312"/>
          <w:color w:val="auto"/>
          <w:sz w:val="32"/>
          <w:szCs w:val="32"/>
          <w:highlight w:val="none"/>
        </w:rPr>
        <w:t>万元</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（二）项目绩效目标</w:t>
      </w:r>
      <w:bookmarkEnd w:id="2"/>
    </w:p>
    <w:p>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Times New Roman" w:hAnsi="Times New Roman" w:eastAsia="方正仿宋简体" w:cs="Times New Roman"/>
          <w:kern w:val="2"/>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eastAsia="方正仿宋简体" w:cs="Times New Roman"/>
          <w:kern w:val="2"/>
          <w:sz w:val="32"/>
          <w:szCs w:val="32"/>
          <w:lang w:val="en-US" w:eastAsia="zh-CN"/>
        </w:rPr>
        <w:t>开展“石榴花耀天山”宣讲活动，组建宣讲队，开展巾帼宣讲员队伍培训，深入开展党的二十大精神宣讲，强化妇女思想政治引领，开展石榴花宣讲工作， 深入实施妇女权益保障法，依法保障和为维护妇女儿童合法权益，进一步畅通妇女儿童维权渠道，保障妇女儿童合法权益；落实“石榴花”工程，妇女儿童发展工作、家庭教育工作，打造家风一条街及家风家训馆提质升级，微家风点阵地打造升级，团结动员、组织妇女群众投身改革开放和社会主义物质文明、精神文明和政治文明建设，为霍尔果斯市经济高质量发展贡献巾帼力量。</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color w:val="FF000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b w:val="0"/>
          <w:bCs w:val="0"/>
          <w:sz w:val="32"/>
          <w:szCs w:val="32"/>
          <w:lang w:val="en-US" w:eastAsia="zh-CN"/>
        </w:rPr>
        <w:t>根据年初工作安排，按照市委、市政府及上级妇联要求；组建宣讲队，开展巾帼宣讲员队伍培训，深入开展党的二十大精神宣讲，强化妇女思想政治引领，开展石榴花宣讲工作，深入实施妇女权益保障法，依法保障和为维护妇女儿童合法权益，进一步畅通妇女儿童维权渠道，保障妇女儿童合法权益；落实“石榴花”工程，妇女儿童发展工作、家庭教育工作，打造家风一条街及家风家训馆提质升级，微家风点阵地打造升级；团结动员、组织妇女群众投身改革开放和社会主义物质文明、精神文明和政治文明建设,总体绩效目标全面完成。</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1.绩效评价目的</w:t>
      </w:r>
    </w:p>
    <w:p>
      <w:pPr>
        <w:pageBreakBefore w:val="0"/>
        <w:kinsoku/>
        <w:wordWrap/>
        <w:overflowPunct/>
        <w:topLinePunct w:val="0"/>
        <w:autoSpaceDE/>
        <w:autoSpaceDN/>
        <w:bidi w:val="0"/>
        <w:adjustRightInd/>
        <w:snapToGrid/>
        <w:spacing w:line="560" w:lineRule="exact"/>
        <w:ind w:left="0" w:firstLine="640" w:firstLineChars="200"/>
        <w:jc w:val="both"/>
        <w:textAlignment w:val="auto"/>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left="0" w:firstLine="640" w:firstLineChars="200"/>
        <w:jc w:val="both"/>
        <w:textAlignment w:val="auto"/>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jc w:val="both"/>
        <w:textAlignment w:val="auto"/>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3"/>
        <w:pageBreakBefore w:val="0"/>
        <w:kinsoku/>
        <w:wordWrap/>
        <w:overflowPunct/>
        <w:topLinePunct w:val="0"/>
        <w:autoSpaceDE/>
        <w:autoSpaceDN/>
        <w:bidi w:val="0"/>
        <w:adjustRightInd/>
        <w:snapToGrid/>
        <w:spacing w:line="560" w:lineRule="exact"/>
        <w:ind w:left="0" w:firstLine="640" w:firstLineChars="200"/>
        <w:jc w:val="both"/>
        <w:textAlignment w:val="auto"/>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宋体" w:hAnsi="宋体" w:eastAsia="方正仿宋简体" w:cs="Times New Roman"/>
          <w:b w:val="0"/>
          <w:bCs w:val="0"/>
          <w:sz w:val="32"/>
          <w:szCs w:val="32"/>
          <w:lang w:val="en-US" w:eastAsia="zh-CN"/>
        </w:rPr>
      </w:pPr>
      <w:r>
        <w:rPr>
          <w:rFonts w:hint="eastAsia" w:ascii="宋体" w:hAnsi="宋体" w:eastAsia="方正仿宋简体" w:cs="Times New Roman"/>
          <w:b w:val="0"/>
          <w:bCs w:val="0"/>
          <w:sz w:val="32"/>
          <w:szCs w:val="32"/>
          <w:lang w:val="en-US" w:eastAsia="zh-CN"/>
        </w:rPr>
        <w:t>2.绩效评价对象：</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宋体" w:hAnsi="宋体" w:eastAsia="方正仿宋简体" w:cs="Times New Roman"/>
          <w:b w:val="0"/>
          <w:bCs w:val="0"/>
          <w:sz w:val="32"/>
          <w:szCs w:val="32"/>
          <w:lang w:val="en-US" w:eastAsia="zh-CN"/>
        </w:rPr>
      </w:pPr>
      <w:r>
        <w:rPr>
          <w:rFonts w:hint="eastAsia" w:ascii="宋体" w:hAnsi="宋体" w:eastAsia="方正仿宋简体" w:cs="Times New Roman"/>
          <w:b w:val="0"/>
          <w:bCs w:val="0"/>
          <w:sz w:val="32"/>
          <w:szCs w:val="32"/>
          <w:lang w:val="en-US" w:eastAsia="zh-CN"/>
        </w:rPr>
        <w:t>2023年度自治区妇女儿童工作</w:t>
      </w:r>
      <w:r>
        <w:rPr>
          <w:rFonts w:hint="eastAsia" w:ascii="仿宋_GB2312" w:hAnsi="仿宋_GB2312" w:eastAsia="仿宋_GB2312" w:cs="仿宋_GB2312"/>
          <w:sz w:val="32"/>
          <w:szCs w:val="32"/>
        </w:rPr>
        <w:t>项目所包含的全部项目内容。</w:t>
      </w:r>
      <w:r>
        <w:rPr>
          <w:rFonts w:hint="eastAsia" w:ascii="宋体" w:hAnsi="宋体" w:eastAsia="方正仿宋简体" w:cs="Times New Roman"/>
          <w:b w:val="0"/>
          <w:bCs w:val="0"/>
          <w:sz w:val="32"/>
          <w:szCs w:val="32"/>
          <w:lang w:val="en-US" w:eastAsia="zh-CN"/>
        </w:rPr>
        <w:t>　</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宋体" w:hAnsi="宋体" w:eastAsia="方正仿宋简体" w:cs="Times New Roman"/>
          <w:b w:val="0"/>
          <w:bCs w:val="0"/>
          <w:sz w:val="32"/>
          <w:szCs w:val="32"/>
          <w:lang w:val="en-US" w:eastAsia="zh-CN"/>
        </w:rPr>
      </w:pPr>
      <w:r>
        <w:rPr>
          <w:rFonts w:hint="eastAsia" w:ascii="宋体" w:hAnsi="宋体" w:eastAsia="方正仿宋简体"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bookmarkStart w:id="5" w:name="_Toc68703832"/>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宋体" w:hAnsi="宋体" w:eastAsia="方正仿宋简体" w:cs="Times New Roman"/>
          <w:b w:val="0"/>
          <w:bCs w:val="0"/>
          <w:sz w:val="32"/>
          <w:szCs w:val="32"/>
          <w:lang w:val="en-US" w:eastAsia="zh-CN"/>
        </w:rPr>
        <w:t>2023年度自治区妇女儿童工作</w:t>
      </w:r>
      <w:r>
        <w:rPr>
          <w:rFonts w:hint="eastAsia" w:ascii="仿宋_GB2312" w:hAnsi="仿宋_GB2312" w:eastAsia="仿宋_GB2312" w:cs="仿宋_GB2312"/>
          <w:sz w:val="32"/>
          <w:szCs w:val="32"/>
        </w:rPr>
        <w:t>项目</w:t>
      </w:r>
      <w:r>
        <w:rPr>
          <w:rFonts w:hint="eastAsia"/>
          <w:color w:val="auto"/>
          <w:sz w:val="32"/>
          <w:szCs w:val="32"/>
        </w:rPr>
        <w:t>评价，评价核心为资金的支出完成情况和效果。</w:t>
      </w:r>
    </w:p>
    <w:p>
      <w:pPr>
        <w:pageBreakBefore w:val="0"/>
        <w:kinsoku/>
        <w:wordWrap/>
        <w:overflowPunct/>
        <w:topLinePunct w:val="0"/>
        <w:autoSpaceDE/>
        <w:autoSpaceDN/>
        <w:bidi w:val="0"/>
        <w:adjustRightInd/>
        <w:snapToGrid/>
        <w:spacing w:line="560" w:lineRule="exact"/>
        <w:ind w:left="0" w:leftChars="0" w:firstLine="643" w:firstLineChars="200"/>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（二）绩效评价原则、评价指标体系（详情见表1）、评价方法、评价标准</w:t>
      </w:r>
      <w:bookmarkEnd w:id="5"/>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宋体" w:hAnsi="宋体" w:eastAsia="方正仿宋简体"/>
          <w:sz w:val="32"/>
          <w:szCs w:val="32"/>
        </w:rPr>
      </w:pPr>
      <w:r>
        <w:rPr>
          <w:rFonts w:hint="eastAsia" w:ascii="宋体" w:hAnsi="宋体" w:eastAsia="方正仿宋简体"/>
          <w:sz w:val="32"/>
          <w:szCs w:val="32"/>
        </w:rPr>
        <w:t>1</w:t>
      </w:r>
      <w:r>
        <w:rPr>
          <w:rFonts w:hint="eastAsia" w:ascii="宋体" w:hAnsi="宋体" w:eastAsia="方正仿宋简体"/>
          <w:sz w:val="32"/>
          <w:szCs w:val="32"/>
          <w:lang w:val="en-US" w:eastAsia="zh-CN"/>
        </w:rPr>
        <w:t>.</w:t>
      </w:r>
      <w:r>
        <w:rPr>
          <w:rFonts w:hint="eastAsia" w:ascii="宋体" w:hAnsi="宋体" w:eastAsia="方正仿宋简体"/>
          <w:sz w:val="32"/>
          <w:szCs w:val="32"/>
        </w:rPr>
        <w:t>绩效评价原则</w:t>
      </w:r>
    </w:p>
    <w:p>
      <w:pPr>
        <w:pageBreakBefore w:val="0"/>
        <w:kinsoku/>
        <w:wordWrap/>
        <w:overflowPunct/>
        <w:topLinePunct w:val="0"/>
        <w:autoSpaceDE/>
        <w:autoSpaceDN/>
        <w:bidi w:val="0"/>
        <w:adjustRightInd/>
        <w:snapToGrid/>
        <w:spacing w:line="560" w:lineRule="exact"/>
        <w:ind w:left="0" w:leftChars="0" w:firstLine="596" w:firstLineChars="200"/>
        <w:rPr>
          <w:rFonts w:ascii="宋体" w:hAnsi="宋体" w:eastAsia="方正仿宋简体"/>
          <w:color w:val="000000"/>
          <w:spacing w:val="-11"/>
          <w:sz w:val="32"/>
          <w:szCs w:val="32"/>
        </w:rPr>
      </w:pPr>
      <w:r>
        <w:rPr>
          <w:rFonts w:hint="eastAsia" w:ascii="宋体" w:hAnsi="宋体" w:eastAsia="方正仿宋简体"/>
          <w:color w:val="000000"/>
          <w:spacing w:val="-11"/>
          <w:sz w:val="32"/>
          <w:szCs w:val="32"/>
        </w:rPr>
        <w:t>绩效评价应遵循如下原则：</w:t>
      </w:r>
    </w:p>
    <w:p>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宋体" w:hAnsi="宋体" w:eastAsia="方正仿宋简体"/>
          <w:b w:val="0"/>
          <w:bCs w:val="0"/>
        </w:rPr>
      </w:pPr>
      <w:r>
        <w:rPr>
          <w:rFonts w:ascii="宋体" w:hAnsi="宋体" w:eastAsia="方正仿宋简体"/>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宋体" w:hAnsi="宋体" w:eastAsia="方正仿宋简体"/>
          <w:b w:val="0"/>
          <w:bCs w:val="0"/>
        </w:rPr>
      </w:pPr>
      <w:r>
        <w:rPr>
          <w:rFonts w:ascii="宋体" w:hAnsi="宋体" w:eastAsia="方正仿宋简体"/>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宋体" w:hAnsi="宋体" w:eastAsia="方正仿宋简体"/>
          <w:b w:val="0"/>
          <w:bCs w:val="0"/>
        </w:rPr>
      </w:pPr>
      <w:r>
        <w:rPr>
          <w:rFonts w:ascii="宋体" w:hAnsi="宋体" w:eastAsia="方正仿宋简体"/>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宋体" w:hAnsi="宋体" w:eastAsia="方正仿宋简体"/>
        </w:rPr>
      </w:pPr>
      <w:r>
        <w:rPr>
          <w:rFonts w:ascii="宋体" w:hAnsi="宋体" w:eastAsia="方正仿宋简体"/>
          <w:b w:val="0"/>
          <w:bCs w:val="0"/>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宋体" w:hAnsi="宋体" w:eastAsia="方正仿宋简体" w:cs="Times New Roman"/>
          <w:b w:val="0"/>
          <w:bCs w:val="0"/>
          <w:kern w:val="28"/>
          <w:sz w:val="32"/>
          <w:szCs w:val="32"/>
          <w:lang w:val="en-US" w:eastAsia="zh-CN" w:bidi="ar-SA"/>
        </w:rPr>
      </w:pPr>
      <w:r>
        <w:rPr>
          <w:rFonts w:hint="eastAsia" w:ascii="宋体" w:hAnsi="宋体" w:eastAsia="方正仿宋简体" w:cs="Times New Roman"/>
          <w:b w:val="0"/>
          <w:bCs w:val="0"/>
          <w:kern w:val="28"/>
          <w:sz w:val="32"/>
          <w:szCs w:val="32"/>
          <w:lang w:val="en-US" w:eastAsia="zh-CN" w:bidi="ar-SA"/>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（1）确定评价指标</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（2）确定权重</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（3）确定指标标准值</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hint="eastAsia"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具体评价指标体系详情见附件1</w:t>
      </w:r>
    </w:p>
    <w:p>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宋体" w:hAnsi="宋体" w:eastAsia="方正仿宋简体" w:cs="Times New Roman"/>
          <w:b w:val="0"/>
          <w:bCs w:val="0"/>
          <w:kern w:val="28"/>
          <w:sz w:val="32"/>
          <w:szCs w:val="32"/>
          <w:lang w:val="en-US" w:eastAsia="zh-CN" w:bidi="ar-SA"/>
        </w:rPr>
      </w:pPr>
      <w:r>
        <w:rPr>
          <w:rFonts w:hint="eastAsia" w:ascii="宋体" w:hAnsi="宋体" w:eastAsia="方正仿宋简体" w:cs="Times New Roman"/>
          <w:b w:val="0"/>
          <w:bCs w:val="0"/>
          <w:kern w:val="28"/>
          <w:sz w:val="32"/>
          <w:szCs w:val="32"/>
          <w:lang w:val="en-US" w:eastAsia="zh-CN" w:bidi="ar-SA"/>
        </w:rPr>
        <w:t>3、评价方法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（1）比较法</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leftChars="0" w:firstLine="640" w:firstLineChars="200"/>
        <w:rPr>
          <w:rFonts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（2）因素分析法</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宋体" w:hAnsi="宋体" w:eastAsia="方正仿宋简体" w:cs="Times New Roman"/>
          <w:b w:val="0"/>
          <w:bCs w:val="0"/>
          <w:kern w:val="28"/>
          <w:sz w:val="32"/>
          <w:szCs w:val="32"/>
          <w:lang w:val="en-US" w:eastAsia="zh-CN" w:bidi="ar-SA"/>
        </w:rPr>
      </w:pPr>
      <w:r>
        <w:rPr>
          <w:rFonts w:ascii="宋体" w:hAnsi="宋体" w:eastAsia="方正仿宋简体" w:cs="Times New Roman"/>
          <w:b w:val="0"/>
          <w:bCs w:val="0"/>
          <w:kern w:val="28"/>
          <w:sz w:val="32"/>
          <w:szCs w:val="32"/>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宋体" w:hAnsi="宋体" w:eastAsia="方正仿宋简体" w:cs="Times New Roman"/>
          <w:b w:val="0"/>
          <w:bCs w:val="0"/>
          <w:kern w:val="28"/>
          <w:sz w:val="32"/>
          <w:szCs w:val="32"/>
          <w:lang w:val="en-US" w:eastAsia="zh-CN" w:bidi="ar-SA"/>
        </w:rPr>
      </w:pPr>
      <w:r>
        <w:rPr>
          <w:rFonts w:hint="eastAsia" w:ascii="宋体" w:hAnsi="宋体" w:eastAsia="方正仿宋简体" w:cs="Times New Roman"/>
          <w:b w:val="0"/>
          <w:bCs w:val="0"/>
          <w:kern w:val="28"/>
          <w:sz w:val="32"/>
          <w:szCs w:val="32"/>
          <w:lang w:val="en-US" w:eastAsia="zh-CN" w:bidi="ar-SA"/>
        </w:rPr>
        <w:t>4.评价标准</w:t>
      </w:r>
    </w:p>
    <w:p>
      <w:pPr>
        <w:pageBreakBefore w:val="0"/>
        <w:kinsoku/>
        <w:wordWrap/>
        <w:overflowPunct/>
        <w:topLinePunct w:val="0"/>
        <w:autoSpaceDE/>
        <w:autoSpaceDN/>
        <w:bidi w:val="0"/>
        <w:adjustRightInd/>
        <w:snapToGrid/>
        <w:spacing w:line="560" w:lineRule="exact"/>
        <w:ind w:left="0" w:leftChars="0" w:firstLine="640" w:firstLineChars="200"/>
        <w:rPr>
          <w:rFonts w:hint="eastAsia"/>
          <w:bCs/>
          <w:color w:val="000000" w:themeColor="text1"/>
          <w:sz w:val="32"/>
          <w:szCs w:val="32"/>
          <w:lang w:eastAsia="zh-CN"/>
          <w14:textFill>
            <w14:solidFill>
              <w14:schemeClr w14:val="tx1"/>
            </w14:solidFill>
          </w14:textFill>
        </w:rPr>
      </w:pPr>
      <w:bookmarkStart w:id="6" w:name="_Toc68703833"/>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r>
        <w:rPr>
          <w:rFonts w:hint="eastAsia"/>
          <w:bCs/>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宋体" w:hAnsi="宋体" w:eastAsia="方正仿宋简体" w:cs="Times New Roman"/>
          <w:b w:val="0"/>
          <w:bCs w:val="0"/>
          <w:kern w:val="28"/>
          <w:sz w:val="32"/>
          <w:szCs w:val="32"/>
          <w:lang w:val="en-US" w:eastAsia="zh-CN" w:bidi="ar-SA"/>
        </w:rPr>
      </w:pPr>
      <w:r>
        <w:rPr>
          <w:rFonts w:hint="eastAsia"/>
          <w:bCs/>
          <w:color w:val="000000" w:themeColor="text1"/>
          <w:sz w:val="32"/>
          <w:szCs w:val="32"/>
          <w14:textFill>
            <w14:solidFill>
              <w14:schemeClr w14:val="tx1"/>
            </w14:solidFill>
          </w14:textFill>
        </w:rPr>
        <w:t>计划标准</w:t>
      </w:r>
      <w:r>
        <w:rPr>
          <w:rFonts w:hint="eastAsia"/>
          <w:bCs/>
          <w:color w:val="000000" w:themeColor="text1"/>
          <w:sz w:val="32"/>
          <w:szCs w:val="32"/>
          <w:lang w:eastAsia="zh-CN"/>
          <w14:textFill>
            <w14:solidFill>
              <w14:schemeClr w14:val="tx1"/>
            </w14:solidFill>
          </w14:textFill>
        </w:rPr>
        <w:t>：</w:t>
      </w:r>
      <w:r>
        <w:rPr>
          <w:rFonts w:hint="eastAsia"/>
          <w:bCs/>
          <w:color w:val="000000" w:themeColor="text1"/>
          <w:sz w:val="32"/>
          <w:szCs w:val="32"/>
          <w14:textFill>
            <w14:solidFill>
              <w14:schemeClr w14:val="tx1"/>
            </w14:solidFill>
          </w14:textFill>
        </w:rPr>
        <w:t>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宋体" w:hAnsi="宋体" w:eastAsia="方正仿宋简体" w:cs="Times New Roman"/>
          <w:b/>
          <w:bCs/>
          <w:kern w:val="28"/>
          <w:sz w:val="32"/>
          <w:szCs w:val="32"/>
          <w:lang w:val="en-US" w:eastAsia="zh-CN" w:bidi="ar-SA"/>
        </w:rPr>
      </w:pPr>
      <w:r>
        <w:rPr>
          <w:rFonts w:hint="eastAsia" w:ascii="宋体" w:hAnsi="宋体" w:eastAsia="方正仿宋简体" w:cs="Times New Roman"/>
          <w:b/>
          <w:bCs/>
          <w:kern w:val="28"/>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bookmarkStart w:id="7" w:name="_Toc68703834"/>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bookmarkStart w:id="9" w:name="_Toc68703836"/>
    </w:p>
    <w:p>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jc w:val="both"/>
        <w:textAlignment w:val="auto"/>
        <w:rPr>
          <w:rFonts w:hint="eastAsia"/>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leftChars="0" w:firstLine="440" w:firstLineChars="200"/>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0" w:firstLineChars="200"/>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leftChars="0" w:firstLine="442" w:firstLineChars="200"/>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pageBreakBefore w:val="0"/>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w:t>
      </w:r>
      <w:r>
        <w:rPr>
          <w:rFonts w:hint="eastAsia"/>
          <w:b w:val="0"/>
          <w:bCs w:val="0"/>
          <w:color w:val="auto"/>
          <w:sz w:val="32"/>
          <w:szCs w:val="32"/>
          <w:lang w:val="en-US" w:eastAsia="zh-CN"/>
        </w:rPr>
        <w:t>分20分，</w:t>
      </w:r>
      <w:r>
        <w:rPr>
          <w:rFonts w:hint="eastAsia"/>
          <w:b w:val="0"/>
          <w:bCs w:val="0"/>
          <w:sz w:val="32"/>
          <w:szCs w:val="32"/>
          <w:lang w:val="en-US" w:eastAsia="zh-CN"/>
        </w:rPr>
        <w:t>得分率为100%。</w:t>
      </w:r>
    </w:p>
    <w:p>
      <w:pPr>
        <w:pStyle w:val="23"/>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3.资金投入</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（1）预算编制科学性</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预算编制经过科学论证，提供充分的测算依据佐证资料，预算内容与项目内容相匹配。项目投资额与工作任务相匹配。</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（2）资金分配合理性</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资金分配额度与项目单位实际工作内容相适应，资金分配额度合理，资金分配依据充分。</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cs="Times New Roman"/>
          <w:b w:val="0"/>
          <w:bCs w:val="0"/>
          <w:sz w:val="32"/>
          <w:szCs w:val="32"/>
          <w:lang w:val="en-US" w:eastAsia="zh-CN"/>
        </w:rPr>
      </w:pPr>
      <w:r>
        <w:rPr>
          <w:rFonts w:hint="eastAsia" w:ascii="Times New Roman" w:hAnsi="Times New Roman" w:cs="Times New Roman"/>
          <w:b w:val="0"/>
          <w:bCs w:val="0"/>
          <w:sz w:val="32"/>
          <w:szCs w:val="32"/>
          <w:lang w:val="en-US" w:eastAsia="zh-CN"/>
        </w:rPr>
        <w:t>（二）项目过程情况</w:t>
      </w:r>
    </w:p>
    <w:p>
      <w:pPr>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Times New Roman" w:hAnsi="Times New Roman" w:cs="Times New Roman"/>
          <w:b w:val="0"/>
          <w:bCs w:val="0"/>
          <w:sz w:val="32"/>
          <w:szCs w:val="32"/>
          <w:lang w:val="en-US" w:eastAsia="zh-CN"/>
        </w:rPr>
        <w:t>项目过程类指标包括资金管理和组织实施两方面的内</w:t>
      </w:r>
      <w:r>
        <w:rPr>
          <w:rFonts w:hint="eastAsia" w:ascii="仿宋_GB2312" w:hAnsi="仿宋_GB2312" w:eastAsia="仿宋_GB2312" w:cs="仿宋_GB2312"/>
          <w:sz w:val="32"/>
          <w:szCs w:val="32"/>
          <w:lang w:val="en-US" w:eastAsia="zh-CN"/>
        </w:rPr>
        <w:t>容，由</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w:t>
      </w:r>
      <w:r>
        <w:rPr>
          <w:rFonts w:hint="eastAsia" w:ascii="仿宋_GB2312" w:hAnsi="仿宋_GB2312" w:eastAsia="仿宋_GB2312" w:cs="仿宋_GB2312"/>
          <w:sz w:val="32"/>
          <w:szCs w:val="32"/>
          <w:highlight w:val="none"/>
          <w:lang w:val="en-US" w:eastAsia="zh-CN"/>
        </w:rPr>
        <w:t>分值为20分，实际得分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本项目总投资5万元，财政资金及时足额到位，到位率100%，预算资金按计划进度执行。</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预算编制较为详细，项目资金支出总体能够按照预算执行，预算资金支出5万元，预算执行率为100%。</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pageBreakBefore w:val="0"/>
        <w:numPr>
          <w:ilvl w:val="0"/>
          <w:numId w:val="0"/>
        </w:numPr>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kern w:val="2"/>
          <w:sz w:val="32"/>
          <w:szCs w:val="32"/>
          <w:highlight w:val="none"/>
          <w:lang w:val="en-US" w:eastAsia="zh-CN" w:bidi="ar-SA"/>
        </w:rPr>
      </w:pPr>
      <w:bookmarkStart w:id="13" w:name="_Toc68703840"/>
      <w:r>
        <w:rPr>
          <w:rFonts w:hint="eastAsia" w:ascii="Times New Roman" w:hAnsi="Times New Roman" w:eastAsia="楷体_GB2312" w:cs="Times New Roman"/>
          <w:b/>
          <w:bCs/>
          <w:kern w:val="2"/>
          <w:sz w:val="32"/>
          <w:szCs w:val="32"/>
          <w:highlight w:val="none"/>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9</w:t>
      </w:r>
      <w:r>
        <w:rPr>
          <w:rFonts w:hint="eastAsia" w:ascii="仿宋_GB2312" w:hAnsi="仿宋_GB2312" w:eastAsia="仿宋_GB2312" w:cs="仿宋_GB2312"/>
          <w:sz w:val="32"/>
          <w:szCs w:val="32"/>
          <w:highlight w:val="none"/>
          <w:lang w:val="en-US" w:eastAsia="zh-CN"/>
        </w:rPr>
        <w:t>个三级指标构成，权重分为40分，实际得分40分，得分率为100%。具体产出指标完成情况如下：</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sz w:val="32"/>
          <w:szCs w:val="32"/>
          <w:highlight w:val="none"/>
          <w:lang w:val="en-US" w:eastAsia="zh-CN"/>
        </w:rPr>
      </w:pPr>
      <w:bookmarkStart w:id="14" w:name="_Toc68703841"/>
      <w:r>
        <w:rPr>
          <w:rFonts w:hint="eastAsia" w:ascii="Times New Roman" w:hAnsi="Times New Roman" w:eastAsia="仿宋_GB2312" w:cs="Times New Roman"/>
          <w:b w:val="0"/>
          <w:bCs w:val="0"/>
          <w:sz w:val="32"/>
          <w:szCs w:val="32"/>
          <w:highlight w:val="none"/>
          <w:lang w:val="en-US" w:eastAsia="zh-CN"/>
        </w:rPr>
        <w:t>（1）项目产出指标</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①数量指标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pacing w:val="-17"/>
          <w:sz w:val="32"/>
          <w:szCs w:val="32"/>
          <w:highlight w:val="none"/>
          <w:lang w:val="en-US" w:eastAsia="zh-CN"/>
        </w:rPr>
      </w:pPr>
      <w:r>
        <w:rPr>
          <w:rFonts w:hint="eastAsia"/>
          <w:color w:val="auto"/>
          <w:sz w:val="32"/>
          <w:szCs w:val="32"/>
        </w:rPr>
        <w:t>指标1：</w:t>
      </w:r>
      <w:r>
        <w:rPr>
          <w:rFonts w:hint="eastAsia" w:ascii="Times New Roman" w:hAnsi="Times New Roman" w:eastAsia="仿宋_GB2312" w:cs="Times New Roman"/>
          <w:b w:val="0"/>
          <w:bCs w:val="0"/>
          <w:spacing w:val="-17"/>
          <w:sz w:val="32"/>
          <w:szCs w:val="32"/>
          <w:highlight w:val="none"/>
          <w:lang w:val="en-US" w:eastAsia="zh-CN"/>
        </w:rPr>
        <w:t>“石榴花”宣讲队培训次数</w:t>
      </w:r>
      <w:r>
        <w:rPr>
          <w:rFonts w:hint="eastAsia" w:cs="Times New Roman"/>
          <w:b w:val="0"/>
          <w:bCs w:val="0"/>
          <w:spacing w:val="-17"/>
          <w:sz w:val="32"/>
          <w:szCs w:val="32"/>
          <w:highlight w:val="none"/>
          <w:lang w:val="en-US" w:eastAsia="zh-CN"/>
        </w:rPr>
        <w:t>，</w:t>
      </w:r>
      <w:r>
        <w:rPr>
          <w:rFonts w:hint="eastAsia" w:ascii="Times New Roman" w:hAnsi="Times New Roman" w:eastAsia="仿宋_GB2312" w:cs="Times New Roman"/>
          <w:b w:val="0"/>
          <w:bCs w:val="0"/>
          <w:spacing w:val="-17"/>
          <w:sz w:val="32"/>
          <w:szCs w:val="32"/>
          <w:highlight w:val="none"/>
          <w:lang w:val="en-US" w:eastAsia="zh-CN"/>
        </w:rPr>
        <w:t>指标&gt;=1次，预期指标值为</w:t>
      </w:r>
      <w:r>
        <w:rPr>
          <w:rFonts w:hint="eastAsia" w:cs="Times New Roman"/>
          <w:b w:val="0"/>
          <w:bCs w:val="0"/>
          <w:spacing w:val="-17"/>
          <w:sz w:val="32"/>
          <w:szCs w:val="32"/>
          <w:highlight w:val="none"/>
          <w:lang w:val="en-US" w:eastAsia="zh-CN"/>
        </w:rPr>
        <w:t>1次</w:t>
      </w:r>
      <w:r>
        <w:rPr>
          <w:rFonts w:hint="eastAsia" w:ascii="Times New Roman" w:hAnsi="Times New Roman" w:cs="Times New Roman"/>
          <w:b w:val="0"/>
          <w:bCs w:val="0"/>
          <w:spacing w:val="-17"/>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ascii="Times New Roman" w:hAnsi="Times New Roman" w:eastAsia="仿宋_GB2312" w:cs="Times New Roman"/>
          <w:b w:val="0"/>
          <w:bCs w:val="0"/>
          <w:sz w:val="32"/>
          <w:szCs w:val="32"/>
          <w:highlight w:val="none"/>
          <w:lang w:val="en-US" w:eastAsia="zh-CN"/>
        </w:rPr>
        <w:t>“石榴花”宣讲队培训班人数</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指标&gt;=60人，预期指标值为60人</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cs="Times New Roman"/>
          <w:b w:val="0"/>
          <w:bCs w:val="0"/>
          <w:sz w:val="32"/>
          <w:szCs w:val="32"/>
          <w:highlight w:val="none"/>
          <w:lang w:val="en-US"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w:t>
      </w:r>
      <w:r>
        <w:rPr>
          <w:rFonts w:hint="eastAsia" w:ascii="Times New Roman" w:hAnsi="Times New Roman" w:eastAsia="仿宋_GB2312" w:cs="Times New Roman"/>
          <w:b w:val="0"/>
          <w:bCs w:val="0"/>
          <w:spacing w:val="-17"/>
          <w:sz w:val="32"/>
          <w:szCs w:val="32"/>
          <w:highlight w:val="none"/>
          <w:lang w:val="en-US" w:eastAsia="zh-CN"/>
        </w:rPr>
        <w:t>创建“石榴花”巾帼基地数量</w:t>
      </w:r>
      <w:r>
        <w:rPr>
          <w:rFonts w:hint="eastAsia" w:cs="Times New Roman"/>
          <w:b w:val="0"/>
          <w:bCs w:val="0"/>
          <w:spacing w:val="-17"/>
          <w:sz w:val="32"/>
          <w:szCs w:val="32"/>
          <w:highlight w:val="none"/>
          <w:lang w:val="en-US" w:eastAsia="zh-CN"/>
        </w:rPr>
        <w:t>，</w:t>
      </w:r>
      <w:r>
        <w:rPr>
          <w:rFonts w:hint="eastAsia" w:ascii="Times New Roman" w:hAnsi="Times New Roman" w:eastAsia="仿宋_GB2312" w:cs="Times New Roman"/>
          <w:b w:val="0"/>
          <w:bCs w:val="0"/>
          <w:spacing w:val="-17"/>
          <w:sz w:val="32"/>
          <w:szCs w:val="32"/>
          <w:highlight w:val="none"/>
          <w:lang w:val="en-US" w:eastAsia="zh-CN"/>
        </w:rPr>
        <w:t>指标&gt;=1个，预期指标值为1个</w:t>
      </w:r>
      <w:r>
        <w:rPr>
          <w:rFonts w:hint="eastAsia" w:cs="Times New Roman"/>
          <w:b w:val="0"/>
          <w:bCs w:val="0"/>
          <w:spacing w:val="-17"/>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②质量指标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工作完成率</w:t>
      </w:r>
      <w:r>
        <w:rPr>
          <w:rFonts w:hint="eastAsia" w:cs="Times New Roman"/>
          <w:b w:val="0"/>
          <w:bCs w:val="0"/>
          <w:sz w:val="32"/>
          <w:szCs w:val="32"/>
          <w:highlight w:val="none"/>
          <w:lang w:val="en-US" w:eastAsia="zh-CN"/>
        </w:rPr>
        <w:t>”指标&gt;=97%，预期指标值为100%，</w:t>
      </w:r>
      <w:r>
        <w:rPr>
          <w:rFonts w:hint="eastAsia"/>
          <w:color w:val="auto"/>
          <w:sz w:val="32"/>
          <w:szCs w:val="32"/>
          <w:highlight w:val="none"/>
        </w:rPr>
        <w:t>指标完成率</w:t>
      </w:r>
      <w:r>
        <w:rPr>
          <w:rFonts w:hint="eastAsia"/>
          <w:color w:val="auto"/>
          <w:sz w:val="32"/>
          <w:szCs w:val="32"/>
          <w:highlight w:val="none"/>
          <w:lang w:val="en-US" w:eastAsia="zh-CN"/>
        </w:rPr>
        <w:t>103.09</w:t>
      </w:r>
      <w:r>
        <w:rPr>
          <w:rFonts w:hint="eastAsia"/>
          <w:color w:val="auto"/>
          <w:sz w:val="32"/>
          <w:szCs w:val="32"/>
          <w:highlight w:val="none"/>
        </w:rPr>
        <w:t>%</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color w:val="auto"/>
          <w:sz w:val="32"/>
          <w:szCs w:val="32"/>
          <w:highlight w:val="none"/>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ascii="Times New Roman" w:hAnsi="Times New Roman" w:eastAsia="仿宋_GB2312" w:cs="Times New Roman"/>
          <w:b w:val="0"/>
          <w:bCs w:val="0"/>
          <w:sz w:val="32"/>
          <w:szCs w:val="32"/>
          <w:highlight w:val="none"/>
          <w:lang w:val="en-US" w:eastAsia="zh-CN"/>
        </w:rPr>
        <w:t>“</w:t>
      </w:r>
      <w:r>
        <w:rPr>
          <w:rFonts w:hint="eastAsia" w:cs="Times New Roman"/>
          <w:b w:val="0"/>
          <w:bCs w:val="0"/>
          <w:sz w:val="32"/>
          <w:szCs w:val="32"/>
          <w:highlight w:val="none"/>
          <w:lang w:val="en-US" w:eastAsia="zh-CN"/>
        </w:rPr>
        <w:t>参训人员出勤率</w:t>
      </w:r>
      <w:r>
        <w:rPr>
          <w:rFonts w:hint="eastAsia" w:ascii="Times New Roman" w:hAnsi="Times New Roman" w:eastAsia="仿宋_GB2312" w:cs="Times New Roman"/>
          <w:b w:val="0"/>
          <w:bCs w:val="0"/>
          <w:sz w:val="32"/>
          <w:szCs w:val="32"/>
          <w:highlight w:val="none"/>
          <w:lang w:val="en-US" w:eastAsia="zh-CN"/>
        </w:rPr>
        <w:t>”指标&gt;=95%，预期指标值为100%</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③时效指标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cs="Times New Roman"/>
          <w:b w:val="0"/>
          <w:bCs w:val="0"/>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ascii="Times New Roman" w:hAnsi="Times New Roman" w:eastAsia="仿宋_GB2312" w:cs="Times New Roman"/>
          <w:b w:val="0"/>
          <w:bCs w:val="0"/>
          <w:sz w:val="32"/>
          <w:szCs w:val="32"/>
          <w:highlight w:val="none"/>
          <w:lang w:val="en-US" w:eastAsia="zh-CN"/>
        </w:rPr>
        <w:t>项目完成率</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指标&gt;=97%，预期指标值为100%</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103.09</w:t>
      </w:r>
      <w:r>
        <w:rPr>
          <w:rFonts w:hint="eastAsia"/>
          <w:color w:val="auto"/>
          <w:sz w:val="32"/>
          <w:szCs w:val="32"/>
          <w:highlight w:val="none"/>
        </w:rPr>
        <w:t>%</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highlight w:val="none"/>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ascii="Times New Roman" w:hAnsi="Times New Roman" w:eastAsia="仿宋_GB2312" w:cs="Times New Roman"/>
          <w:b w:val="0"/>
          <w:bCs w:val="0"/>
          <w:sz w:val="32"/>
          <w:szCs w:val="32"/>
          <w:highlight w:val="none"/>
          <w:lang w:val="en-US" w:eastAsia="zh-CN"/>
        </w:rPr>
        <w:t>项目完成时间</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指标=2023年12月，预期指标值为2023年12月</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s="Times New Roman"/>
          <w:b w:val="0"/>
          <w:bCs w:val="0"/>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cs="Times New Roman"/>
          <w:b w:val="0"/>
          <w:bCs w:val="0"/>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s="Times New Roman"/>
          <w:b w:val="0"/>
          <w:bCs w:val="0"/>
          <w:sz w:val="32"/>
          <w:szCs w:val="32"/>
          <w:highlight w:val="none"/>
          <w:lang w:val="en-US" w:eastAsia="zh-CN"/>
        </w:rPr>
        <w:t>“石榴花”巾帼基地建设成本，指标&lt;=3.5万元，预期指标值为3.5万元，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s="Times New Roman"/>
          <w:b w:val="0"/>
          <w:bCs w:val="0"/>
          <w:sz w:val="32"/>
          <w:szCs w:val="32"/>
          <w:highlight w:val="none"/>
          <w:lang w:val="en-US" w:eastAsia="zh-CN"/>
        </w:rPr>
        <w:t>“石榴花”宣讲培训成本，指标&lt;=1.5万元，预期指标值为1.5万元，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3" w:firstLineChars="200"/>
        <w:textAlignment w:val="auto"/>
        <w:rPr>
          <w:rFonts w:hint="eastAsia" w:ascii="Times New Roman" w:hAnsi="Times New Roman" w:eastAsia="楷体_GB2312" w:cs="Times New Roman"/>
          <w:b/>
          <w:bCs/>
          <w:kern w:val="2"/>
          <w:sz w:val="32"/>
          <w:szCs w:val="32"/>
          <w:highlight w:val="none"/>
          <w:lang w:val="en-US" w:eastAsia="zh-CN" w:bidi="ar-SA"/>
        </w:rPr>
      </w:pPr>
      <w:r>
        <w:rPr>
          <w:rFonts w:hint="eastAsia" w:ascii="Times New Roman" w:hAnsi="Times New Roman" w:eastAsia="楷体_GB2312" w:cs="Times New Roman"/>
          <w:b/>
          <w:bCs/>
          <w:kern w:val="2"/>
          <w:sz w:val="32"/>
          <w:szCs w:val="32"/>
          <w:highlight w:val="none"/>
          <w:lang w:val="en-US" w:eastAsia="zh-CN" w:bidi="ar-SA"/>
        </w:rPr>
        <w:t>（四）项目效益情况</w:t>
      </w:r>
      <w:bookmarkEnd w:id="14"/>
    </w:p>
    <w:p>
      <w:pPr>
        <w:pageBreakBefore w:val="0"/>
        <w:shd w:val="clear"/>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①社会效益指标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cs="Times New Roman"/>
          <w:b w:val="0"/>
          <w:bCs w:val="0"/>
          <w:sz w:val="32"/>
          <w:szCs w:val="32"/>
          <w:highlight w:val="none"/>
          <w:lang w:val="en-US" w:eastAsia="zh-CN"/>
        </w:rPr>
      </w:pPr>
      <w:r>
        <w:rPr>
          <w:rFonts w:hint="eastAsia" w:cs="Times New Roman"/>
          <w:b w:val="0"/>
          <w:bCs w:val="0"/>
          <w:sz w:val="32"/>
          <w:szCs w:val="32"/>
          <w:highlight w:val="none"/>
          <w:lang w:val="en-US" w:eastAsia="zh-CN"/>
        </w:rPr>
        <w:t>指标1：通过巾帼示范基地建设，提升当地妇女就业率，</w:t>
      </w:r>
      <w:r>
        <w:rPr>
          <w:rFonts w:hint="eastAsia" w:ascii="Times New Roman" w:hAnsi="Times New Roman" w:eastAsia="仿宋_GB2312" w:cs="Times New Roman"/>
          <w:b w:val="0"/>
          <w:bCs w:val="0"/>
          <w:sz w:val="32"/>
          <w:szCs w:val="32"/>
          <w:highlight w:val="none"/>
          <w:lang w:val="en-US" w:eastAsia="zh-CN"/>
        </w:rPr>
        <w:t>指标有所提升，预期指标值为“</w:t>
      </w:r>
      <w:r>
        <w:rPr>
          <w:rFonts w:hint="eastAsia" w:cs="Times New Roman"/>
          <w:b w:val="0"/>
          <w:bCs w:val="0"/>
          <w:sz w:val="32"/>
          <w:szCs w:val="32"/>
          <w:highlight w:val="none"/>
          <w:lang w:val="en-US" w:eastAsia="zh-CN"/>
        </w:rPr>
        <w:t>有所提升</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s="Times New Roman"/>
          <w:b w:val="0"/>
          <w:bCs w:val="0"/>
          <w:sz w:val="32"/>
          <w:szCs w:val="32"/>
          <w:highlight w:val="none"/>
          <w:lang w:val="en-US" w:eastAsia="zh-CN"/>
        </w:rPr>
        <w:t>100%</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cs="Times New Roman"/>
          <w:b w:val="0"/>
          <w:bCs w:val="0"/>
          <w:sz w:val="32"/>
          <w:szCs w:val="32"/>
          <w:highlight w:val="none"/>
          <w:lang w:val="en-US" w:eastAsia="zh-CN"/>
        </w:rPr>
        <w:t>指标2：通过培训，提升“石榴花宣讲队”的宣讲能力</w:t>
      </w:r>
      <w:r>
        <w:rPr>
          <w:rFonts w:hint="eastAsia" w:ascii="Times New Roman" w:hAnsi="Times New Roman" w:eastAsia="仿宋_GB2312" w:cs="Times New Roman"/>
          <w:b w:val="0"/>
          <w:bCs w:val="0"/>
          <w:sz w:val="32"/>
          <w:szCs w:val="32"/>
          <w:highlight w:val="none"/>
          <w:lang w:val="en-US" w:eastAsia="zh-CN"/>
        </w:rPr>
        <w:t>”指标</w:t>
      </w:r>
      <w:r>
        <w:rPr>
          <w:rFonts w:hint="eastAsia" w:cs="Times New Roman"/>
          <w:b w:val="0"/>
          <w:bCs w:val="0"/>
          <w:sz w:val="32"/>
          <w:szCs w:val="32"/>
          <w:highlight w:val="none"/>
          <w:lang w:val="en-US" w:eastAsia="zh-CN"/>
        </w:rPr>
        <w:t>有所提升</w:t>
      </w:r>
      <w:r>
        <w:rPr>
          <w:rFonts w:hint="eastAsia" w:ascii="Times New Roman" w:hAnsi="Times New Roman" w:eastAsia="仿宋_GB2312" w:cs="Times New Roman"/>
          <w:b w:val="0"/>
          <w:bCs w:val="0"/>
          <w:sz w:val="32"/>
          <w:szCs w:val="32"/>
          <w:highlight w:val="none"/>
          <w:lang w:val="en-US" w:eastAsia="zh-CN"/>
        </w:rPr>
        <w:t>，预期指标值为“</w:t>
      </w:r>
      <w:r>
        <w:rPr>
          <w:rFonts w:hint="eastAsia" w:cs="Times New Roman"/>
          <w:b w:val="0"/>
          <w:bCs w:val="0"/>
          <w:sz w:val="32"/>
          <w:szCs w:val="32"/>
          <w:highlight w:val="none"/>
          <w:lang w:val="en-US" w:eastAsia="zh-CN"/>
        </w:rPr>
        <w:t>有所提升</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s="Times New Roman"/>
          <w:b w:val="0"/>
          <w:bCs w:val="0"/>
          <w:sz w:val="32"/>
          <w:szCs w:val="32"/>
          <w:highlight w:val="none"/>
          <w:lang w:val="en-US" w:eastAsia="zh-CN"/>
        </w:rPr>
        <w:t>100%。</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sz w:val="32"/>
          <w:szCs w:val="32"/>
          <w:highlight w:val="none"/>
          <w:lang w:val="en-US" w:eastAsia="zh-CN"/>
        </w:rPr>
      </w:pPr>
      <w:r>
        <w:rPr>
          <w:rFonts w:hint="eastAsia" w:cs="Times New Roman"/>
          <w:b w:val="0"/>
          <w:bCs w:val="0"/>
          <w:sz w:val="32"/>
          <w:szCs w:val="32"/>
          <w:highlight w:val="none"/>
          <w:lang w:val="en-US" w:eastAsia="zh-CN"/>
        </w:rPr>
        <w:t>指标3：“”石榴花开耀天山”系列活动的知晓率、参与率</w:t>
      </w:r>
      <w:r>
        <w:rPr>
          <w:rFonts w:hint="eastAsia" w:ascii="Times New Roman" w:hAnsi="Times New Roman" w:eastAsia="仿宋_GB2312" w:cs="Times New Roman"/>
          <w:b w:val="0"/>
          <w:bCs w:val="0"/>
          <w:sz w:val="32"/>
          <w:szCs w:val="32"/>
          <w:highlight w:val="none"/>
          <w:lang w:val="en-US" w:eastAsia="zh-CN"/>
        </w:rPr>
        <w:t>”指标</w:t>
      </w:r>
      <w:r>
        <w:rPr>
          <w:rFonts w:hint="eastAsia" w:cs="Times New Roman"/>
          <w:b w:val="0"/>
          <w:bCs w:val="0"/>
          <w:sz w:val="32"/>
          <w:szCs w:val="32"/>
          <w:highlight w:val="none"/>
          <w:lang w:val="en-US" w:eastAsia="zh-CN"/>
        </w:rPr>
        <w:t>有所提升</w:t>
      </w:r>
      <w:r>
        <w:rPr>
          <w:rFonts w:hint="eastAsia" w:ascii="Times New Roman" w:hAnsi="Times New Roman" w:eastAsia="仿宋_GB2312" w:cs="Times New Roman"/>
          <w:b w:val="0"/>
          <w:bCs w:val="0"/>
          <w:sz w:val="32"/>
          <w:szCs w:val="32"/>
          <w:highlight w:val="none"/>
          <w:lang w:val="en-US" w:eastAsia="zh-CN"/>
        </w:rPr>
        <w:t>，预期指标值为“</w:t>
      </w:r>
      <w:r>
        <w:rPr>
          <w:rFonts w:hint="eastAsia" w:cs="Times New Roman"/>
          <w:b w:val="0"/>
          <w:bCs w:val="0"/>
          <w:sz w:val="32"/>
          <w:szCs w:val="32"/>
          <w:highlight w:val="none"/>
          <w:lang w:val="en-US" w:eastAsia="zh-CN"/>
        </w:rPr>
        <w:t>有所提升</w:t>
      </w:r>
      <w:r>
        <w:rPr>
          <w:rFonts w:hint="eastAsia" w:ascii="Times New Roman" w:hAnsi="Times New Roman" w:eastAsia="仿宋_GB2312" w:cs="Times New Roman"/>
          <w:b w:val="0"/>
          <w:bCs w:val="0"/>
          <w:sz w:val="32"/>
          <w:szCs w:val="32"/>
          <w:highlight w:val="none"/>
          <w:lang w:val="en-US" w:eastAsia="zh-CN"/>
        </w:rPr>
        <w:t>”</w:t>
      </w:r>
      <w:r>
        <w:rPr>
          <w:rFonts w:hint="eastAsia"/>
          <w:color w:val="auto"/>
          <w:sz w:val="32"/>
          <w:szCs w:val="32"/>
          <w:highlight w:val="none"/>
        </w:rPr>
        <w:t>指标完成率</w:t>
      </w:r>
      <w:r>
        <w:rPr>
          <w:rFonts w:hint="eastAsia" w:cs="Times New Roman"/>
          <w:b w:val="0"/>
          <w:bCs w:val="0"/>
          <w:sz w:val="32"/>
          <w:szCs w:val="32"/>
          <w:highlight w:val="none"/>
          <w:lang w:val="en-US" w:eastAsia="zh-CN"/>
        </w:rPr>
        <w:t>100%</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（4）项目满意度指标</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①满意度指标</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cs="Times New Roman"/>
          <w:b w:val="0"/>
          <w:bCs w:val="0"/>
          <w:sz w:val="32"/>
          <w:szCs w:val="32"/>
          <w:highlight w:val="none"/>
          <w:lang w:val="en-US" w:eastAsia="zh-CN"/>
        </w:rPr>
        <w:t>指标1：:</w:t>
      </w:r>
      <w:r>
        <w:rPr>
          <w:rFonts w:hint="eastAsia" w:ascii="Times New Roman" w:hAnsi="Times New Roman" w:eastAsia="仿宋_GB2312" w:cs="Times New Roman"/>
          <w:b w:val="0"/>
          <w:bCs w:val="0"/>
          <w:sz w:val="32"/>
          <w:szCs w:val="32"/>
          <w:highlight w:val="none"/>
          <w:lang w:val="en-US" w:eastAsia="zh-CN"/>
        </w:rPr>
        <w:t>妇女群众对“石榴花开耀天山工程系列互动的满意度</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指标&gt;=95%，预期指标值为</w:t>
      </w:r>
      <w:r>
        <w:rPr>
          <w:rFonts w:hint="eastAsia" w:cs="Times New Roman"/>
          <w:b w:val="0"/>
          <w:bCs w:val="0"/>
          <w:sz w:val="32"/>
          <w:szCs w:val="32"/>
          <w:highlight w:val="none"/>
          <w:lang w:val="en-US" w:eastAsia="zh-CN"/>
        </w:rPr>
        <w:t>100</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color w:val="FF0000"/>
          <w:sz w:val="32"/>
          <w:szCs w:val="32"/>
          <w:highlight w:val="none"/>
        </w:rPr>
      </w:pPr>
      <w:r>
        <w:rPr>
          <w:rFonts w:hint="eastAsia" w:cs="Times New Roman"/>
          <w:b w:val="0"/>
          <w:bCs w:val="0"/>
          <w:sz w:val="32"/>
          <w:szCs w:val="32"/>
          <w:highlight w:val="none"/>
          <w:lang w:val="en-US" w:eastAsia="zh-CN"/>
        </w:rPr>
        <w:t>指标2：</w:t>
      </w:r>
      <w:r>
        <w:rPr>
          <w:rFonts w:hint="eastAsia" w:ascii="Times New Roman" w:hAnsi="Times New Roman" w:eastAsia="仿宋_GB2312" w:cs="Times New Roman"/>
          <w:b w:val="0"/>
          <w:bCs w:val="0"/>
          <w:sz w:val="32"/>
          <w:szCs w:val="32"/>
          <w:highlight w:val="none"/>
          <w:lang w:val="en-US" w:eastAsia="zh-CN"/>
        </w:rPr>
        <w:t>参加培训人员满意度</w:t>
      </w:r>
      <w:r>
        <w:rPr>
          <w:rFonts w:hint="eastAsia" w:cs="Times New Roman"/>
          <w:b w:val="0"/>
          <w:bCs w:val="0"/>
          <w:sz w:val="32"/>
          <w:szCs w:val="32"/>
          <w:highlight w:val="none"/>
          <w:lang w:val="en-US" w:eastAsia="zh-CN"/>
        </w:rPr>
        <w:t>，</w:t>
      </w:r>
      <w:r>
        <w:rPr>
          <w:rFonts w:hint="eastAsia" w:ascii="Times New Roman" w:hAnsi="Times New Roman" w:eastAsia="仿宋_GB2312" w:cs="Times New Roman"/>
          <w:b w:val="0"/>
          <w:bCs w:val="0"/>
          <w:sz w:val="32"/>
          <w:szCs w:val="32"/>
          <w:highlight w:val="none"/>
          <w:lang w:val="en-US" w:eastAsia="zh-CN"/>
        </w:rPr>
        <w:t>指标&gt;=95%，预期指标值为</w:t>
      </w:r>
      <w:r>
        <w:rPr>
          <w:rFonts w:hint="eastAsia" w:cs="Times New Roman"/>
          <w:b w:val="0"/>
          <w:bCs w:val="0"/>
          <w:sz w:val="32"/>
          <w:szCs w:val="32"/>
          <w:highlight w:val="none"/>
          <w:lang w:val="en-US" w:eastAsia="zh-CN"/>
        </w:rPr>
        <w:t>100</w:t>
      </w:r>
      <w:r>
        <w:rPr>
          <w:rFonts w:hint="eastAsia" w:ascii="Times New Roman" w:hAnsi="Times New Roman" w:eastAsia="仿宋_GB2312"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val="en-US" w:eastAsia="zh-CN"/>
        </w:rPr>
        <w:t>，</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w:t>
      </w:r>
      <w:r>
        <w:rPr>
          <w:rFonts w:hint="eastAsia"/>
          <w:color w:val="auto"/>
          <w:sz w:val="32"/>
          <w:szCs w:val="32"/>
          <w:highlight w:val="none"/>
          <w:lang w:eastAsia="zh-CN"/>
        </w:rPr>
        <w:t>。</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仿宋_GB2312" w:hAnsi="仿宋_GB2312" w:cs="仿宋_GB2312"/>
          <w:kern w:val="2"/>
          <w:sz w:val="32"/>
          <w:szCs w:val="32"/>
          <w:highlight w:val="none"/>
          <w:lang w:val="en-US" w:eastAsia="zh-CN" w:bidi="ar-SA"/>
        </w:rPr>
      </w:pPr>
      <w:bookmarkStart w:id="15" w:name="_Toc68703842"/>
      <w:r>
        <w:rPr>
          <w:rFonts w:hint="eastAsia" w:ascii="Times New Roman" w:hAnsi="Times New Roman" w:eastAsia="仿宋_GB2312" w:cs="Times New Roman"/>
          <w:b w:val="0"/>
          <w:bCs w:val="0"/>
          <w:sz w:val="32"/>
          <w:szCs w:val="32"/>
          <w:lang w:val="en-US" w:eastAsia="zh-CN"/>
        </w:rPr>
        <w:t>2023年度自治区妇女儿童工作项目项目年初预算5万元，全年预算5万元，实际支出5万元，预算执行率为100%，项目绩效指标总体完成率为100%，</w:t>
      </w:r>
      <w:r>
        <w:rPr>
          <w:rFonts w:hint="eastAsia" w:ascii="Times New Roman" w:hAnsi="Times New Roman" w:eastAsia="仿宋_GB2312" w:cs="Times New Roman"/>
          <w:b w:val="0"/>
          <w:bCs w:val="0"/>
          <w:sz w:val="32"/>
          <w:szCs w:val="32"/>
          <w:lang w:val="en-US" w:eastAsia="zh-Hans"/>
        </w:rPr>
        <w:t>总体</w:t>
      </w:r>
      <w:r>
        <w:rPr>
          <w:rFonts w:hint="eastAsia" w:ascii="Times New Roman" w:hAnsi="Times New Roman" w:eastAsia="仿宋_GB2312" w:cs="Times New Roman"/>
          <w:b w:val="0"/>
          <w:bCs w:val="0"/>
          <w:sz w:val="32"/>
          <w:szCs w:val="32"/>
          <w:lang w:val="en-US" w:eastAsia="zh-CN"/>
        </w:rPr>
        <w:t xml:space="preserve">偏差率为0%。    </w:t>
      </w:r>
      <w:r>
        <w:rPr>
          <w:rFonts w:hint="eastAsia" w:ascii="Times New Roman" w:hAnsi="Times New Roman" w:eastAsia="仿宋_GB2312" w:cs="Times New Roman"/>
          <w:b w:val="0"/>
          <w:bCs w:val="0"/>
          <w:sz w:val="32"/>
          <w:szCs w:val="32"/>
          <w:highlight w:val="none"/>
          <w:lang w:val="en-US" w:eastAsia="zh-CN"/>
        </w:rPr>
        <w:t xml:space="preserve"> </w:t>
      </w:r>
      <w:r>
        <w:rPr>
          <w:rFonts w:hint="eastAsia" w:ascii="仿宋_GB2312" w:hAnsi="仿宋_GB2312" w:cs="仿宋_GB2312"/>
          <w:kern w:val="2"/>
          <w:sz w:val="32"/>
          <w:szCs w:val="32"/>
          <w:highlight w:val="none"/>
          <w:lang w:val="en-US" w:eastAsia="zh-CN" w:bidi="ar-SA"/>
        </w:rPr>
        <w:t xml:space="preserve">  </w:t>
      </w:r>
    </w:p>
    <w:p>
      <w:pPr>
        <w:pageBreakBefore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pageBreakBefore w:val="0"/>
        <w:numPr>
          <w:ilvl w:val="0"/>
          <w:numId w:val="3"/>
        </w:numPr>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主要经验及做法</w:t>
      </w:r>
      <w:bookmarkEnd w:id="16"/>
      <w:bookmarkStart w:id="17" w:name="_Toc68703845"/>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left="0" w:leftChars="0" w:firstLine="643" w:firstLineChars="200"/>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（二）存在的问题及原因分析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黑体" w:hAnsi="黑体" w:eastAsia="黑体" w:cs="黑体"/>
          <w:b w:val="0"/>
          <w:bCs w:val="0"/>
          <w:kern w:val="2"/>
          <w:sz w:val="32"/>
          <w:szCs w:val="32"/>
          <w:highlight w:val="none"/>
          <w:lang w:val="en-US" w:eastAsia="zh-CN" w:bidi="ar-SA"/>
        </w:rPr>
      </w:pPr>
      <w:r>
        <w:rPr>
          <w:rFonts w:hint="eastAsia" w:ascii="黑体" w:hAnsi="黑体" w:eastAsia="黑体" w:cs="黑体"/>
          <w:b w:val="0"/>
          <w:bCs w:val="0"/>
          <w:kern w:val="2"/>
          <w:sz w:val="32"/>
          <w:szCs w:val="32"/>
          <w:highlight w:val="none"/>
          <w:lang w:val="en-US" w:eastAsia="zh-CN" w:bidi="ar-SA"/>
        </w:rPr>
        <w:t>七、有关建议</w:t>
      </w:r>
      <w:bookmarkEnd w:id="17"/>
      <w:r>
        <w:rPr>
          <w:rFonts w:hint="eastAsia" w:ascii="黑体" w:hAnsi="黑体" w:eastAsia="黑体" w:cs="黑体"/>
          <w:b w:val="0"/>
          <w:bCs w:val="0"/>
          <w:kern w:val="2"/>
          <w:sz w:val="32"/>
          <w:szCs w:val="32"/>
          <w:highlight w:val="none"/>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Style w:val="3"/>
        <w:pageBreakBefore w:val="0"/>
        <w:widowControl w:val="0"/>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黑体" w:hAnsi="黑体" w:eastAsia="黑体" w:cs="黑体"/>
          <w:b w:val="0"/>
          <w:bCs w:val="0"/>
          <w:sz w:val="32"/>
          <w:szCs w:val="32"/>
        </w:rPr>
      </w:pPr>
      <w:bookmarkStart w:id="18" w:name="_Toc68703846"/>
      <w:r>
        <w:rPr>
          <w:rFonts w:hint="eastAsia" w:ascii="黑体" w:hAnsi="黑体" w:eastAsia="黑体" w:cs="黑体"/>
          <w:b w:val="0"/>
          <w:bCs w:val="0"/>
          <w:sz w:val="32"/>
          <w:szCs w:val="32"/>
          <w:lang w:eastAsia="zh-CN"/>
        </w:rPr>
        <w:t>八</w:t>
      </w:r>
      <w:r>
        <w:rPr>
          <w:rFonts w:hint="eastAsia" w:ascii="黑体" w:hAnsi="黑体" w:eastAsia="黑体" w:cs="黑体"/>
          <w:b w:val="0"/>
          <w:bCs w:val="0"/>
          <w:sz w:val="32"/>
          <w:szCs w:val="32"/>
        </w:rPr>
        <w:t>、其他需要说明的问题</w:t>
      </w:r>
      <w:bookmarkEnd w:id="18"/>
    </w:p>
    <w:p>
      <w:pPr>
        <w:pStyle w:val="5"/>
        <w:pageBreakBefore w:val="0"/>
        <w:kinsoku/>
        <w:wordWrap/>
        <w:overflowPunct/>
        <w:topLinePunct w:val="0"/>
        <w:autoSpaceDE/>
        <w:autoSpaceDN/>
        <w:bidi w:val="0"/>
        <w:adjustRightInd/>
        <w:snapToGrid/>
        <w:spacing w:line="560" w:lineRule="exact"/>
        <w:ind w:left="0" w:leftChars="0" w:firstLine="640" w:firstLineChars="200"/>
        <w:rPr>
          <w:b w:val="0"/>
          <w:bCs w:val="0"/>
        </w:rPr>
      </w:pPr>
      <w:r>
        <w:rPr>
          <w:rFonts w:hint="eastAsia" w:ascii="仿宋_GB2312" w:hAnsi="仿宋_GB2312" w:eastAsia="仿宋_GB2312" w:cs="仿宋_GB2312"/>
          <w:b w:val="0"/>
          <w:bCs w:val="0"/>
          <w:sz w:val="32"/>
          <w:szCs w:val="32"/>
          <w:lang w:eastAsia="zh-Hans"/>
        </w:rPr>
        <w:t>本项目无其他需说明的问题</w:t>
      </w:r>
      <w:r>
        <w:rPr>
          <w:rFonts w:hint="eastAsia" w:ascii="仿宋_GB2312" w:hAnsi="仿宋_GB2312" w:cs="仿宋_GB2312"/>
          <w:b w:val="0"/>
          <w:bCs w:val="0"/>
          <w:sz w:val="32"/>
          <w:szCs w:val="32"/>
          <w:lang w:eastAsia="zh-CN"/>
        </w:rPr>
        <w:t>。</w:t>
      </w:r>
    </w:p>
    <w:p>
      <w:pPr>
        <w:pageBreakBefore w:val="0"/>
        <w:kinsoku/>
        <w:wordWrap/>
        <w:overflowPunct/>
        <w:topLinePunct w:val="0"/>
        <w:autoSpaceDE/>
        <w:autoSpaceDN/>
        <w:bidi w:val="0"/>
        <w:adjustRightInd/>
        <w:snapToGrid/>
        <w:spacing w:line="560" w:lineRule="exact"/>
        <w:ind w:left="0" w:leftChars="0" w:firstLine="600" w:firstLineChars="200"/>
      </w:pPr>
    </w:p>
    <w:p>
      <w:pPr>
        <w:pStyle w:val="5"/>
        <w:pageBreakBefore w:val="0"/>
        <w:kinsoku/>
        <w:wordWrap/>
        <w:overflowPunct/>
        <w:topLinePunct w:val="0"/>
        <w:autoSpaceDE/>
        <w:autoSpaceDN/>
        <w:bidi w:val="0"/>
        <w:adjustRightInd/>
        <w:snapToGrid/>
        <w:spacing w:line="560" w:lineRule="exact"/>
        <w:ind w:left="0" w:leftChars="0" w:firstLine="602" w:firstLineChars="200"/>
      </w:pPr>
    </w:p>
    <w:p>
      <w:pPr>
        <w:pStyle w:val="2"/>
        <w:pageBreakBefore w:val="0"/>
        <w:kinsoku/>
        <w:wordWrap/>
        <w:overflowPunct/>
        <w:topLinePunct w:val="0"/>
        <w:autoSpaceDE/>
        <w:autoSpaceDN/>
        <w:bidi w:val="0"/>
        <w:adjustRightInd/>
        <w:snapToGrid/>
        <w:spacing w:before="0" w:after="0" w:line="560" w:lineRule="exact"/>
        <w:jc w:val="both"/>
      </w:pPr>
    </w:p>
    <w:p/>
    <w:p>
      <w:pPr>
        <w:pStyle w:val="2"/>
      </w:pPr>
    </w:p>
    <w:p/>
    <w:p/>
    <w:p>
      <w:pPr>
        <w:pStyle w:val="2"/>
      </w:pPr>
    </w:p>
    <w:p/>
    <w:tbl>
      <w:tblPr>
        <w:tblW w:w="9760" w:type="dxa"/>
        <w:jc w:val="center"/>
        <w:tblInd w:w="-44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96"/>
        <w:gridCol w:w="596"/>
        <w:gridCol w:w="623"/>
        <w:gridCol w:w="1387"/>
        <w:gridCol w:w="1293"/>
        <w:gridCol w:w="755"/>
        <w:gridCol w:w="870"/>
        <w:gridCol w:w="766"/>
        <w:gridCol w:w="467"/>
        <w:gridCol w:w="439"/>
        <w:gridCol w:w="482"/>
        <w:gridCol w:w="410"/>
        <w:gridCol w:w="418"/>
        <w:gridCol w:w="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33" w:hRule="atLeast"/>
          <w:jc w:val="center"/>
        </w:trPr>
        <w:tc>
          <w:tcPr>
            <w:tcW w:w="976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bookmarkStart w:id="21" w:name="_GoBack"/>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4" w:hRule="atLeast"/>
          <w:jc w:val="center"/>
        </w:trPr>
        <w:tc>
          <w:tcPr>
            <w:tcW w:w="976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568"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2023年度自治区妇女儿童工作项目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11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4928"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霍尔果斯市妇女联合会</w:t>
            </w:r>
          </w:p>
        </w:tc>
        <w:tc>
          <w:tcPr>
            <w:tcW w:w="12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2407"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霍尔果斯市妇女联合会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6" w:hRule="atLeast"/>
          <w:jc w:val="center"/>
        </w:trPr>
        <w:tc>
          <w:tcPr>
            <w:tcW w:w="119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0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6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2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8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65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19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12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w:t>
            </w:r>
          </w:p>
        </w:tc>
        <w:tc>
          <w:tcPr>
            <w:tcW w:w="16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2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5.00</w:t>
            </w: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w:t>
            </w:r>
          </w:p>
        </w:tc>
        <w:tc>
          <w:tcPr>
            <w:tcW w:w="65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19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12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6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2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19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12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2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19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129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25"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2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2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5524"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364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19"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524"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开展“石榴花耀天山”宣讲活动，组建宣讲队，开展巾帼宣讲员队伍培训，深入开展党的二十大精神宣讲，强化妇女思想政治引领，开展石榴花宣讲工作， 深入实施妇女权益保障法，依法保障和为维护妇女儿童合法权益，进一步畅通妇女儿童维权渠道，保障妇女儿童合法权益；落实“石榴花”工程，妇女儿童发展工作、家庭教育工作，打造家风一条街及家风家训馆提质升级，微家风点阵地打造升级，；团结动员、组织妇女群众投身改革开放和社会主义物质文明、精神文明和政治文明建设，为霍尔果斯市经济高质量发展贡献巾帼力量。</w:t>
            </w:r>
          </w:p>
        </w:tc>
        <w:tc>
          <w:tcPr>
            <w:tcW w:w="364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根据年初工作安排，按照市委、市政府及上级妇联要求；组建宣讲队，开展巾帼宣讲员队伍培训，深入开展党的二十大精神宣讲，强化妇女思想政治引领，开展石榴花宣讲工作， 深入实施妇女权益保障法，依法保障和为维护妇女儿童合法权益，进一步畅通妇女儿童维权渠道，保障妇女儿童合法权益；落实“石榴花”工程，妇女儿童发展工作、家庭教育工作，打造家风一条街及家风家训馆提质升级，微家风点阵地打造升级；团结动员、组织妇女群众投身改革开放和社会主义物质文明、精神文明和政治文明建设,总体绩效目标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62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3435"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87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76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90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892"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076"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7"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35"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6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2"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76"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“石榴花”宣讲队培训次数</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&gt;=1次</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1次</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“石榴花”宣讲队培训班人数</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&gt;=60人</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60人</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创建“石榴花”巾帼基地数量</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&gt;=1个</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1个</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工作完成率</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&gt;=97%</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根据实际情况填写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4"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参训人员出勤率</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根据实际情况填写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项目完成率</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&gt;=97%</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根据实际情况填写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项目完成时间</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2023年12月</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“石榴花”巾帼基地建设成本</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&lt;=3.5万元</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3.5万元</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“石榴花”宣讲培训成本</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&lt;=1.5万元</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1.5万元</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通过巾帼示范基地建设，提升当地妇女就业率</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有所提升</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有所提升</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通过培训，提升“石榴花宣讲队”的宣讲能力</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有所提升</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有所提升</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“石榴花开耀天山”系列活动的知晓率、参与率</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有所提升</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有所提升</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妇女群众对“石榴花开耀天山工程”系列互动的满意度</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根据实际情况填写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3"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9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3435"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参加培训人员满意度</w:t>
            </w:r>
          </w:p>
        </w:tc>
        <w:tc>
          <w:tcPr>
            <w:tcW w:w="8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76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根据实际情况填写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4" w:hRule="atLeast"/>
          <w:jc w:val="center"/>
        </w:trPr>
        <w:tc>
          <w:tcPr>
            <w:tcW w:w="6886"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90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8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100.00分</w:t>
            </w:r>
          </w:p>
        </w:tc>
        <w:tc>
          <w:tcPr>
            <w:tcW w:w="1076"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bookmarkEnd w:id="21"/>
    </w:tbl>
    <w:p>
      <w:pPr>
        <w:pStyle w:val="2"/>
      </w:pPr>
    </w:p>
    <w:p/>
    <w:p>
      <w:pPr>
        <w:pStyle w:val="2"/>
      </w:pPr>
    </w:p>
    <w:p/>
    <w:p>
      <w:pPr>
        <w:pageBreakBefore w:val="0"/>
        <w:kinsoku/>
        <w:wordWrap/>
        <w:overflowPunct/>
        <w:topLinePunct w:val="0"/>
        <w:autoSpaceDE/>
        <w:autoSpaceDN/>
        <w:bidi w:val="0"/>
        <w:adjustRightInd/>
        <w:snapToGrid/>
        <w:spacing w:line="560" w:lineRule="exact"/>
        <w:ind w:left="0" w:leftChars="0" w:firstLine="640" w:firstLineChars="200"/>
        <w:rPr>
          <w:rFonts w:hint="eastAsia" w:ascii="黑体" w:hAnsi="黑体" w:eastAsia="黑体" w:cs="黑体"/>
          <w:bCs/>
          <w:sz w:val="32"/>
          <w:szCs w:val="32"/>
        </w:rPr>
        <w:sectPr>
          <w:headerReference r:id="rId3" w:type="default"/>
          <w:pgSz w:w="11906" w:h="16838"/>
          <w:pgMar w:top="2098" w:right="1531" w:bottom="1984" w:left="1531" w:header="737" w:footer="851" w:gutter="0"/>
          <w:cols w:space="720" w:num="1"/>
          <w:docGrid w:type="lines" w:linePitch="408" w:charSpace="0"/>
        </w:sectPr>
      </w:pPr>
    </w:p>
    <w:p>
      <w:pPr>
        <w:pStyle w:val="23"/>
        <w:pageBreakBefore w:val="0"/>
        <w:kinsoku/>
        <w:wordWrap/>
        <w:overflowPunct/>
        <w:topLinePunct w:val="0"/>
        <w:autoSpaceDE/>
        <w:autoSpaceDN/>
        <w:bidi w:val="0"/>
        <w:adjustRightInd/>
        <w:snapToGrid/>
        <w:spacing w:line="560" w:lineRule="exact"/>
        <w:ind w:left="0" w:leftChars="0" w:firstLine="562" w:firstLineChars="200"/>
        <w:jc w:val="center"/>
        <w:rPr>
          <w:sz w:val="28"/>
          <w:szCs w:val="40"/>
        </w:rPr>
      </w:pPr>
      <w:bookmarkStart w:id="19" w:name="_Toc26499_WPSOffice_Level2"/>
      <w:bookmarkStart w:id="20" w:name="_Toc30064_WPSOffice_Level1"/>
      <w:r>
        <w:rPr>
          <w:rFonts w:hint="eastAsia"/>
          <w:b/>
          <w:bCs/>
          <w:sz w:val="28"/>
          <w:szCs w:val="40"/>
          <w:highlight w:val="none"/>
          <w:lang w:val="en-US" w:eastAsia="zh-CN"/>
        </w:rPr>
        <w:t>2023年自治区妇女儿童工作项目</w:t>
      </w:r>
      <w:r>
        <w:rPr>
          <w:rFonts w:hint="eastAsia"/>
          <w:b/>
          <w:bCs/>
          <w:sz w:val="28"/>
          <w:szCs w:val="40"/>
        </w:rPr>
        <w:t>绩效评价指标体系及综合评分表</w:t>
      </w:r>
      <w:bookmarkEnd w:id="19"/>
      <w:bookmarkEnd w:id="20"/>
    </w:p>
    <w:tbl>
      <w:tblPr>
        <w:tblW w:w="13940" w:type="dxa"/>
        <w:jc w:val="center"/>
        <w:tblInd w:w="-35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73"/>
        <w:gridCol w:w="1042"/>
        <w:gridCol w:w="1244"/>
        <w:gridCol w:w="3006"/>
        <w:gridCol w:w="6315"/>
        <w:gridCol w:w="780"/>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29" w:hRule="atLeast"/>
          <w:jc w:val="center"/>
        </w:trPr>
        <w:tc>
          <w:tcPr>
            <w:tcW w:w="12380"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2023年度自治区妇女儿童工作项目项目支出绩效评价指标体系</w:t>
            </w:r>
          </w:p>
        </w:tc>
        <w:tc>
          <w:tcPr>
            <w:tcW w:w="780"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80"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1" w:hRule="atLeast"/>
          <w:jc w:val="center"/>
        </w:trPr>
        <w:tc>
          <w:tcPr>
            <w:tcW w:w="773"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04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24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0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8"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7"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24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006"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2"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0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8" w:hRule="atLeast"/>
          <w:jc w:val="center"/>
        </w:trPr>
        <w:tc>
          <w:tcPr>
            <w:tcW w:w="773"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042"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24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0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8" w:hRule="atLeast"/>
          <w:jc w:val="center"/>
        </w:trPr>
        <w:tc>
          <w:tcPr>
            <w:tcW w:w="773"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0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315"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2" w:hRule="atLeast"/>
          <w:jc w:val="center"/>
        </w:trPr>
        <w:tc>
          <w:tcPr>
            <w:tcW w:w="12380"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80"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tbl>
    <w:p>
      <w:pPr>
        <w:pageBreakBefore w:val="0"/>
        <w:kinsoku/>
        <w:wordWrap/>
        <w:overflowPunct/>
        <w:topLinePunct w:val="0"/>
        <w:autoSpaceDE/>
        <w:autoSpaceDN/>
        <w:bidi w:val="0"/>
        <w:adjustRightInd/>
        <w:snapToGrid/>
        <w:spacing w:line="560" w:lineRule="exact"/>
        <w:ind w:left="0" w:leftChars="0" w:firstLine="600" w:firstLineChars="200"/>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3C0041" w:csb1="A008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D7B975"/>
    <w:multiLevelType w:val="singleLevel"/>
    <w:tmpl w:val="E8D7B975"/>
    <w:lvl w:ilvl="0" w:tentative="0">
      <w:start w:val="1"/>
      <w:numFmt w:val="chineseCounting"/>
      <w:suff w:val="nothing"/>
      <w:lvlText w:val="（%1）"/>
      <w:lvlJc w:val="left"/>
      <w:rPr>
        <w:rFonts w:hint="eastAsia"/>
      </w:r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61D286A"/>
    <w:rsid w:val="0B837613"/>
    <w:rsid w:val="0F2A6BF7"/>
    <w:rsid w:val="109627EE"/>
    <w:rsid w:val="11A025A1"/>
    <w:rsid w:val="17136327"/>
    <w:rsid w:val="181871E2"/>
    <w:rsid w:val="19166846"/>
    <w:rsid w:val="196E6612"/>
    <w:rsid w:val="1AE259D8"/>
    <w:rsid w:val="1DC11E8F"/>
    <w:rsid w:val="1DEA1E94"/>
    <w:rsid w:val="20E92B23"/>
    <w:rsid w:val="213F26B4"/>
    <w:rsid w:val="22AC2218"/>
    <w:rsid w:val="2729052F"/>
    <w:rsid w:val="28C14634"/>
    <w:rsid w:val="2BC35FF1"/>
    <w:rsid w:val="2DA60AE7"/>
    <w:rsid w:val="2EC724D4"/>
    <w:rsid w:val="2EE30257"/>
    <w:rsid w:val="340C598E"/>
    <w:rsid w:val="3431735D"/>
    <w:rsid w:val="34DA27CE"/>
    <w:rsid w:val="36411DC5"/>
    <w:rsid w:val="36B72533"/>
    <w:rsid w:val="3B0F4170"/>
    <w:rsid w:val="3F466DF1"/>
    <w:rsid w:val="4057649F"/>
    <w:rsid w:val="439B5094"/>
    <w:rsid w:val="450B6AE4"/>
    <w:rsid w:val="48A51C70"/>
    <w:rsid w:val="48D2515B"/>
    <w:rsid w:val="49CF3448"/>
    <w:rsid w:val="54873A1A"/>
    <w:rsid w:val="56796849"/>
    <w:rsid w:val="568F383B"/>
    <w:rsid w:val="57772A7D"/>
    <w:rsid w:val="5BA25CE6"/>
    <w:rsid w:val="5D555EEF"/>
    <w:rsid w:val="5D684922"/>
    <w:rsid w:val="5DA95371"/>
    <w:rsid w:val="666920D7"/>
    <w:rsid w:val="686F7714"/>
    <w:rsid w:val="68A67612"/>
    <w:rsid w:val="6A4470E3"/>
    <w:rsid w:val="6A862BA8"/>
    <w:rsid w:val="6DFC1C65"/>
    <w:rsid w:val="6EF354E9"/>
    <w:rsid w:val="75FA041F"/>
    <w:rsid w:val="760F49BD"/>
    <w:rsid w:val="76E870A0"/>
    <w:rsid w:val="7A2A7FA6"/>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99"/>
    <w:pPr>
      <w:keepNext/>
      <w:keepLines/>
      <w:ind w:firstLine="883"/>
      <w:outlineLvl w:val="2"/>
    </w:pPr>
    <w:rPr>
      <w:b/>
      <w:bCs/>
      <w:kern w:val="0"/>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2"/>
    <w:semiHidden/>
    <w:unhideWhenUsed/>
    <w:qFormat/>
    <w:uiPriority w:val="99"/>
    <w:pPr>
      <w:tabs>
        <w:tab w:val="center" w:pos="4153"/>
        <w:tab w:val="right" w:pos="8306"/>
      </w:tabs>
      <w:snapToGrid w:val="0"/>
      <w:jc w:val="left"/>
    </w:pPr>
    <w:rPr>
      <w:sz w:val="18"/>
      <w:szCs w:val="18"/>
    </w:rPr>
  </w:style>
  <w:style w:type="paragraph" w:styleId="9">
    <w:name w:val="header"/>
    <w:basedOn w:val="1"/>
    <w:link w:val="2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Normal (Web)"/>
    <w:basedOn w:val="1"/>
    <w:semiHidden/>
    <w:unhideWhenUsed/>
    <w:qFormat/>
    <w:uiPriority w:val="99"/>
    <w:pPr>
      <w:spacing w:before="100" w:beforeAutospacing="1" w:after="100" w:afterAutospacing="1"/>
    </w:p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Char"/>
    <w:basedOn w:val="1"/>
    <w:unhideWhenUsed/>
    <w:qFormat/>
    <w:uiPriority w:val="99"/>
    <w:pPr>
      <w:widowControl/>
      <w:spacing w:after="160" w:line="240" w:lineRule="exact"/>
    </w:pPr>
    <w:rPr>
      <w:rFonts w:hint="eastAsia"/>
      <w:sz w:val="24"/>
    </w:rPr>
  </w:style>
  <w:style w:type="character" w:customStyle="1" w:styleId="18">
    <w:name w:val="标题 1 Char"/>
    <w:basedOn w:val="14"/>
    <w:link w:val="3"/>
    <w:qFormat/>
    <w:uiPriority w:val="9"/>
    <w:rPr>
      <w:rFonts w:ascii="Times New Roman" w:hAnsi="Times New Roman" w:eastAsia="仿宋_GB2312" w:cs="Times New Roman"/>
      <w:b/>
      <w:bCs/>
      <w:kern w:val="44"/>
      <w:sz w:val="44"/>
      <w:szCs w:val="44"/>
    </w:rPr>
  </w:style>
  <w:style w:type="character" w:customStyle="1" w:styleId="19">
    <w:name w:val="标题 2 Char"/>
    <w:basedOn w:val="14"/>
    <w:link w:val="4"/>
    <w:qFormat/>
    <w:uiPriority w:val="9"/>
    <w:rPr>
      <w:rFonts w:asciiTheme="majorHAnsi" w:hAnsiTheme="majorHAnsi" w:eastAsiaTheme="majorEastAsia" w:cstheme="majorBidi"/>
      <w:b/>
      <w:bCs/>
      <w:sz w:val="32"/>
      <w:szCs w:val="32"/>
    </w:rPr>
  </w:style>
  <w:style w:type="paragraph" w:customStyle="1" w:styleId="20">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1">
    <w:name w:val="页眉 Char"/>
    <w:basedOn w:val="14"/>
    <w:link w:val="9"/>
    <w:semiHidden/>
    <w:qFormat/>
    <w:uiPriority w:val="99"/>
    <w:rPr>
      <w:rFonts w:ascii="Times New Roman" w:hAnsi="Times New Roman" w:eastAsia="仿宋_GB2312" w:cs="Times New Roman"/>
      <w:sz w:val="18"/>
      <w:szCs w:val="18"/>
    </w:rPr>
  </w:style>
  <w:style w:type="character" w:customStyle="1" w:styleId="22">
    <w:name w:val="页脚 Char"/>
    <w:basedOn w:val="14"/>
    <w:link w:val="8"/>
    <w:semiHidden/>
    <w:qFormat/>
    <w:uiPriority w:val="99"/>
    <w:rPr>
      <w:rFonts w:ascii="Times New Roman" w:hAnsi="Times New Roman" w:eastAsia="仿宋_GB2312" w:cs="Times New Roman"/>
      <w:sz w:val="18"/>
      <w:szCs w:val="18"/>
    </w:rPr>
  </w:style>
  <w:style w:type="paragraph" w:customStyle="1" w:styleId="23">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5042</Words>
  <Characters>5242</Characters>
  <Lines>37</Lines>
  <Paragraphs>10</Paragraphs>
  <TotalTime>4</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2024-06-12T08:09:44Z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61D3B15CA4BB4D78A95E0D5145F82C16_13</vt:lpwstr>
  </property>
</Properties>
</file>