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宋体" w:hAnsi="宋体" w:eastAsia="宋体" w:cs="Arial"/>
          <w:b/>
          <w:bCs/>
          <w:sz w:val="48"/>
          <w:szCs w:val="48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宋体" w:hAnsi="宋体" w:eastAsia="宋体" w:cs="Arial"/>
          <w:b/>
          <w:bCs/>
          <w:sz w:val="48"/>
          <w:szCs w:val="48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宋体" w:hAnsi="宋体" w:eastAsia="宋体" w:cs="Arial"/>
          <w:b/>
          <w:bCs/>
          <w:sz w:val="48"/>
          <w:szCs w:val="48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eastAsia="方正小标宋_GBK"/>
          <w:kern w:val="0"/>
          <w:sz w:val="48"/>
          <w:szCs w:val="48"/>
        </w:rPr>
      </w:pPr>
      <w:r>
        <w:rPr>
          <w:rFonts w:hint="eastAsia" w:eastAsia="方正小标宋_GBK"/>
          <w:kern w:val="0"/>
          <w:sz w:val="48"/>
          <w:szCs w:val="48"/>
        </w:rPr>
        <w:t>2022年工会经费差额部分</w:t>
      </w:r>
      <w:r>
        <w:rPr>
          <w:rFonts w:eastAsia="方正小标宋_GBK"/>
          <w:kern w:val="0"/>
          <w:sz w:val="48"/>
          <w:szCs w:val="48"/>
        </w:rPr>
        <w:t>资金项目支出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eastAsia="方正小标宋_GBK"/>
          <w:kern w:val="0"/>
          <w:sz w:val="48"/>
          <w:szCs w:val="48"/>
        </w:rPr>
      </w:pPr>
      <w:r>
        <w:rPr>
          <w:rFonts w:eastAsia="方正小标宋_GBK"/>
          <w:kern w:val="0"/>
          <w:sz w:val="48"/>
          <w:szCs w:val="48"/>
        </w:rPr>
        <w:t>绩效评价报告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宋体" w:hAnsi="宋体" w:eastAsia="宋体" w:cs="Arial"/>
          <w:b/>
          <w:bCs/>
          <w:sz w:val="48"/>
          <w:szCs w:val="4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  <w:r>
        <w:rPr>
          <w:rFonts w:hint="eastAsia" w:ascii="红豆小标宋简体" w:hAnsi="红豆小标宋简体" w:eastAsia="红豆小标宋简体" w:cs="红豆小标宋简体"/>
          <w:color w:val="000000"/>
          <w:kern w:val="0"/>
          <w:sz w:val="36"/>
          <w:szCs w:val="36"/>
        </w:rPr>
        <w:t>（2</w:t>
      </w:r>
      <w:r>
        <w:rPr>
          <w:rFonts w:ascii="红豆小标宋简体" w:hAnsi="红豆小标宋简体" w:eastAsia="红豆小标宋简体" w:cs="红豆小标宋简体"/>
          <w:color w:val="000000"/>
          <w:kern w:val="0"/>
          <w:sz w:val="36"/>
          <w:szCs w:val="36"/>
        </w:rPr>
        <w:t>02</w:t>
      </w:r>
      <w:r>
        <w:rPr>
          <w:rFonts w:hint="eastAsia" w:ascii="红豆小标宋简体" w:hAnsi="红豆小标宋简体" w:eastAsia="红豆小标宋简体" w:cs="红豆小标宋简体"/>
          <w:color w:val="000000"/>
          <w:kern w:val="0"/>
          <w:sz w:val="36"/>
          <w:szCs w:val="36"/>
        </w:rPr>
        <w:t>3年度）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pStyle w:val="2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outlineLvl w:val="9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　　　　项目名称：2022年工会经费差额部分资金项目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　　　　　实施单位（公章）：霍尔果斯市总工会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　　　　　主管部门（公章）：霍尔果斯市总工会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outlineLvl w:val="9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　　　　项目负责人（签章）：朱诗怡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outlineLvl w:val="9"/>
        <w:rPr>
          <w:rFonts w:ascii="宋体" w:hAnsi="宋体" w:eastAsia="宋体" w:cs="仿宋_GB2312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　　　　填报时间：</w:t>
      </w:r>
      <w:r>
        <w:rPr>
          <w:rFonts w:hint="eastAsia" w:ascii="宋体" w:hAnsi="宋体" w:eastAsia="宋体" w:cs="仿宋_GB2312"/>
          <w:color w:val="000000"/>
          <w:kern w:val="0"/>
          <w:sz w:val="32"/>
          <w:szCs w:val="32"/>
        </w:rPr>
        <w:t>2024年4月 15日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ascii="宋体" w:hAnsi="宋体" w:eastAsia="宋体" w:cs="Arial"/>
          <w:b/>
          <w:bCs/>
          <w:sz w:val="36"/>
          <w:szCs w:val="36"/>
        </w:rPr>
      </w:pPr>
      <w:r>
        <w:rPr>
          <w:rFonts w:ascii="宋体" w:hAnsi="宋体" w:eastAsia="宋体" w:cs="Arial"/>
          <w:b/>
          <w:bCs/>
          <w:sz w:val="36"/>
          <w:szCs w:val="36"/>
        </w:rPr>
        <w:br w:type="page"/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黑体"/>
          <w:bCs/>
          <w:sz w:val="32"/>
          <w:szCs w:val="32"/>
        </w:rPr>
      </w:pPr>
      <w:bookmarkStart w:id="0" w:name="_Toc68703827"/>
      <w:r>
        <w:rPr>
          <w:rFonts w:hint="eastAsia" w:eastAsia="黑体"/>
          <w:bCs/>
          <w:sz w:val="32"/>
          <w:szCs w:val="32"/>
        </w:rPr>
        <w:t>基本情况</w:t>
      </w:r>
      <w:bookmarkEnd w:id="0"/>
      <w:bookmarkStart w:id="1" w:name="_Toc68703828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r>
        <w:rPr>
          <w:rFonts w:hint="eastAsia" w:eastAsia="楷体_GB2312"/>
          <w:b/>
          <w:bCs/>
          <w:sz w:val="32"/>
          <w:szCs w:val="32"/>
        </w:rPr>
        <w:t>（一）项目概况</w:t>
      </w:r>
      <w:bookmarkEnd w:id="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  <w:sz w:val="32"/>
          <w:szCs w:val="32"/>
        </w:rPr>
        <w:t>　1.项目背景：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本项目依据《中华全国总工会办公厅关于加强基层工会经费收支管理的通知》（总工办发〔2014〕23号）、《中华全国总工会印发&lt;关于进一步加强工会资金存放管理的指导意见&gt;的通知》（</w:t>
      </w:r>
      <w:bookmarkStart w:id="2" w:name="_Hlk67566397"/>
      <w:r>
        <w:rPr>
          <w:rFonts w:hint="eastAsia" w:ascii="仿宋_GB2312" w:hAnsi="仿宋"/>
          <w:sz w:val="32"/>
          <w:szCs w:val="32"/>
        </w:rPr>
        <w:t>总工发〔2019〕21号</w:t>
      </w:r>
      <w:bookmarkEnd w:id="2"/>
      <w:r>
        <w:rPr>
          <w:rFonts w:hint="eastAsia" w:ascii="仿宋_GB2312" w:hAnsi="仿宋"/>
          <w:sz w:val="32"/>
          <w:szCs w:val="32"/>
        </w:rPr>
        <w:t>）、《新疆维吾尔自治区基层工会经费收支管理办法实施细则》等文件要求，结合项目开展情况，按照“谁申请资金，谁编制目标”的原则和规定的方法、程序，科学合理编制。绩效目标作为对预期指标的细化和量化描述，主要包括产出指标、效益指标和满意度指标。按照指向明确、细化量化、合理可行和相应匹配的要求，设定三级绩效目标（数量指标、质量指标、时效指标、成本指标、效益指标、满意度指标），以准确、清晰地反映财政资金在使用期所能达到的预期产出和效果。投入使用资金119.56万元，资金已全部使用完毕，按文件规定进行上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　2.主要内容及实施情况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sz w:val="32"/>
          <w:szCs w:val="32"/>
        </w:rPr>
        <w:t>主要内容：2022年霍尔果斯市财政局未足额上缴霍尔果斯市2022年度市机关干部工会经费</w:t>
      </w: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，现在对2022年度未足额缴纳的工会经费进行补缴。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</w:pPr>
      <w:r>
        <w:rPr>
          <w:rFonts w:hint="eastAsia" w:ascii="仿宋_GB2312"/>
          <w:sz w:val="32"/>
          <w:szCs w:val="32"/>
        </w:rPr>
        <w:t>实施情况：</w:t>
      </w:r>
      <w:r>
        <w:rPr>
          <w:sz w:val="32"/>
          <w:szCs w:val="32"/>
        </w:rPr>
        <w:t>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　3.资金投入和使用情况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资金投入情况：该项目年初预算数119.56万元，全年预算数119.56万元，实际总投入</w:t>
      </w:r>
      <w:r>
        <w:rPr>
          <w:sz w:val="32"/>
          <w:szCs w:val="32"/>
        </w:rPr>
        <w:t>119.56</w:t>
      </w:r>
      <w:r>
        <w:rPr>
          <w:rFonts w:hint="eastAsia"/>
          <w:sz w:val="32"/>
          <w:szCs w:val="32"/>
        </w:rPr>
        <w:t>万元，该项目资金已全部落实到位，资金来源为财政资金。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资金使用情况：该项目年初预算数</w:t>
      </w:r>
      <w:r>
        <w:rPr>
          <w:sz w:val="32"/>
          <w:szCs w:val="32"/>
        </w:rPr>
        <w:t>119.56</w:t>
      </w:r>
      <w:r>
        <w:rPr>
          <w:rFonts w:hint="eastAsia"/>
          <w:sz w:val="32"/>
          <w:szCs w:val="32"/>
        </w:rPr>
        <w:t>万元，全年预算数</w:t>
      </w:r>
      <w:r>
        <w:rPr>
          <w:sz w:val="32"/>
          <w:szCs w:val="32"/>
        </w:rPr>
        <w:t>119.56</w:t>
      </w:r>
      <w:r>
        <w:rPr>
          <w:rFonts w:hint="eastAsia"/>
          <w:sz w:val="32"/>
          <w:szCs w:val="32"/>
        </w:rPr>
        <w:t>万元，全年执行数</w:t>
      </w:r>
      <w:r>
        <w:rPr>
          <w:sz w:val="32"/>
          <w:szCs w:val="32"/>
        </w:rPr>
        <w:t>119.56</w:t>
      </w:r>
      <w:r>
        <w:rPr>
          <w:rFonts w:hint="eastAsia"/>
          <w:sz w:val="32"/>
          <w:szCs w:val="32"/>
        </w:rPr>
        <w:t>万元，预算执行率为100%，主要用于：上拨工会经费资金</w:t>
      </w:r>
      <w:r>
        <w:rPr>
          <w:sz w:val="32"/>
          <w:szCs w:val="32"/>
        </w:rPr>
        <w:t>119.56</w:t>
      </w:r>
      <w:r>
        <w:rPr>
          <w:rFonts w:hint="eastAsia"/>
          <w:sz w:val="32"/>
          <w:szCs w:val="32"/>
        </w:rPr>
        <w:t>万元。</w:t>
      </w:r>
      <w:bookmarkStart w:id="3" w:name="_Toc68703829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r>
        <w:rPr>
          <w:rFonts w:hint="eastAsia" w:eastAsia="楷体_GB2312"/>
          <w:b/>
          <w:bCs/>
          <w:sz w:val="32"/>
          <w:szCs w:val="32"/>
        </w:rPr>
        <w:t>（二）项目绩效目标</w:t>
      </w:r>
      <w:bookmarkEnd w:id="3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1.总体目标：根据文件要求，每年需要上缴40%工会经费，2022年由财政局划拨工会经费差额部分，确保资金及时足额上缴到位。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　2.阶段性目标：</w:t>
      </w:r>
      <w:bookmarkStart w:id="4" w:name="_Toc68703830"/>
      <w:r>
        <w:rPr>
          <w:rFonts w:hint="eastAsia"/>
          <w:sz w:val="32"/>
          <w:szCs w:val="32"/>
        </w:rPr>
        <w:t>完成2022年由财政局划拨工会经费差额部分，确保资金及时足额上缴到位，确保全市基层工会工会工作高效运行。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黑体"/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二、绩效评价工作开展情况</w:t>
      </w:r>
      <w:bookmarkEnd w:id="4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bookmarkStart w:id="5" w:name="_Toc68703831"/>
      <w:r>
        <w:rPr>
          <w:rFonts w:hint="eastAsia" w:eastAsia="楷体_GB2312"/>
          <w:b/>
          <w:bCs/>
          <w:sz w:val="32"/>
          <w:szCs w:val="32"/>
        </w:rPr>
        <w:t>（一）绩效评价目的、对象和范围</w:t>
      </w:r>
      <w:bookmarkEnd w:id="5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　1.绩效评价目的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t>项目在实施前向项目负责人提供财政支出绩效方面的资金管理信息，促进项目支出严格按照资金管理规定进行。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t>（2）项目绩效管理财政支出运行提供及时、有效的信息。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方正仿宋_GBK" w:cs="方正仿宋_GBK"/>
        </w:rPr>
      </w:pPr>
      <w:r>
        <w:t>综合来看，通过开展有效的财政支出绩效评价管理，</w:t>
      </w:r>
      <w:r>
        <w:rPr>
          <w:rFonts w:hint="eastAsia"/>
        </w:rPr>
        <w:t>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rFonts w:hint="eastAsia"/>
          <w:b/>
          <w:bCs/>
          <w:szCs w:val="30"/>
        </w:rPr>
        <w:t>　</w:t>
      </w:r>
      <w:r>
        <w:rPr>
          <w:rFonts w:hint="eastAsia"/>
          <w:sz w:val="32"/>
          <w:szCs w:val="32"/>
        </w:rPr>
        <w:t>2.绩效评价对象：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2022年工会经费差额部分资金项目所包含的全部项目内容。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　3.绩效评价范围：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进行2022年工会经费差额部分资金项目评价，评价核心为资金的支出完成情况和效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楷体_GB2312" w:cs="Times New Roman"/>
          <w:b/>
          <w:bCs/>
          <w:sz w:val="32"/>
          <w:szCs w:val="32"/>
        </w:rPr>
      </w:pPr>
      <w:bookmarkStart w:id="6" w:name="_Toc68703832"/>
      <w:r>
        <w:rPr>
          <w:rFonts w:hint="eastAsia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</w:t>
      </w:r>
      <w:bookmarkEnd w:id="6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1.绩效评价原则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本次项目绩效评价遵循以下基本原则：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（1）科学公正。绩效评价应当运用科学合理的方法，按照规范的程序，对项目绩效进行客观、公正的反映。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</w:pPr>
      <w:r>
        <w:rPr>
          <w:rFonts w:ascii="Times New Roman" w:hAnsi="Times New Roman" w:eastAsia="仿宋_GB2312"/>
          <w:b w:val="0"/>
          <w:bCs w:val="0"/>
        </w:rPr>
        <w:t>（4）公开透明。绩效评价结果应依法依规公开，并自觉接受社会监督。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</w:rPr>
        <w:t>2、</w:t>
      </w:r>
      <w:r>
        <w:rPr>
          <w:rFonts w:hint="eastAsia"/>
          <w:sz w:val="32"/>
          <w:szCs w:val="32"/>
        </w:rPr>
        <w:t>评价指标体系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（1）确定评价指标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（2）确定权重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</w:t>
      </w:r>
      <w:r>
        <w:rPr>
          <w:color w:val="000000"/>
          <w:spacing w:val="17"/>
          <w:w w:val="98"/>
          <w:sz w:val="32"/>
          <w:szCs w:val="32"/>
        </w:rPr>
        <w:t>重为20分，项目产出权重为40分，项目效益权重为20分。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（3）确定指标标准值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outlineLvl w:val="9"/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</w:rPr>
        <w:t>具体评价指标体系详情见附件1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3、评价方法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/>
          <w:spacing w:val="17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bCs/>
          <w:color w:val="FF0000"/>
          <w:sz w:val="32"/>
          <w:szCs w:val="32"/>
        </w:rPr>
      </w:pPr>
      <w:r>
        <w:rPr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（1）比较法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通过对绩效目标与实施效果、历史与当期情况，综合分析绩效目标实现程度。对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最终验收情况与年度绩效目标对比、预算资金执行情况等相关因素进行比较。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（2）因素分析法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outlineLvl w:val="9"/>
        <w:rPr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通过综合分析影响绩效目标实现、实施效果的内外因素，评价绩效目标实现程度。通过对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的开展情况、项目产出数量、成本控制、资金拨付文件及自评报告等相关资料的收集和审核，综合分析各因素对绩效目标实现的影响。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</w:pPr>
      <w:r>
        <w:rPr>
          <w:rFonts w:hint="eastAsia"/>
        </w:rPr>
        <w:t>　　</w:t>
      </w:r>
      <w:r>
        <w:rPr>
          <w:rFonts w:hint="eastAsia"/>
          <w:sz w:val="32"/>
          <w:szCs w:val="32"/>
        </w:rPr>
        <w:t>4.评价标准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绩效评价标准通常包括计划标准、行业标准、历史标准等，用于对绩效指标完成情况进行比较、分析、评价。本次评价主要采用了计划标准。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</w:t>
      </w:r>
      <w:r>
        <w:rPr>
          <w:rFonts w:hint="eastAsia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指以预先制定的目标、计划、预算、定额等作为评价标准。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bookmarkStart w:id="7" w:name="_Toc68703833"/>
      <w:r>
        <w:rPr>
          <w:rFonts w:hint="eastAsia" w:eastAsia="楷体_GB2312"/>
          <w:b/>
          <w:bCs/>
          <w:sz w:val="32"/>
          <w:szCs w:val="32"/>
        </w:rPr>
        <w:t>（三）绩效评价工作过程</w:t>
      </w:r>
      <w:bookmarkEnd w:id="7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1.前期准备：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2.组织实施：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3.分析评价：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bookmarkStart w:id="8" w:name="_Toc68703834"/>
      <w:r>
        <w:rPr>
          <w:rFonts w:hint="eastAsia"/>
          <w:bCs/>
          <w:sz w:val="32"/>
          <w:szCs w:val="32"/>
        </w:rPr>
        <w:t>根据收集梳理的资料围绕项目立项、资金落实、业务管理、财务管理、项目产出、项目效益等内容，对照已确定的绩效评价</w:t>
      </w:r>
      <w:r>
        <w:rPr>
          <w:rFonts w:hint="eastAsia"/>
          <w:bCs/>
          <w:w w:val="102"/>
          <w:sz w:val="32"/>
          <w:szCs w:val="32"/>
        </w:rPr>
        <w:t>指标进行详细全面的分析评价，逐项打分并形成绩效评价最终结果。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黑体"/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三、综合评价情况及评价结论</w:t>
      </w:r>
      <w:bookmarkEnd w:id="8"/>
      <w:r>
        <w:rPr>
          <w:rFonts w:eastAsia="黑体"/>
          <w:sz w:val="32"/>
          <w:szCs w:val="32"/>
        </w:rPr>
        <w:t>（附相关评分表）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bookmarkStart w:id="9" w:name="_Toc68703835"/>
      <w:r>
        <w:rPr>
          <w:rFonts w:hint="eastAsia" w:eastAsia="楷体_GB2312"/>
          <w:b/>
          <w:bCs/>
          <w:sz w:val="32"/>
          <w:szCs w:val="32"/>
        </w:rPr>
        <w:t>（一）综合评价情况</w:t>
      </w:r>
      <w:bookmarkEnd w:id="9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/>
          <w:kern w:val="28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  <w:rPr>
          <w:rFonts w:ascii="Times New Roman" w:hAnsi="Times New Roman" w:eastAsia="楷体_GB2312" w:cs="Times New Roman"/>
        </w:rPr>
      </w:pPr>
      <w:bookmarkStart w:id="10" w:name="_Toc68703836"/>
      <w:r>
        <w:rPr>
          <w:rFonts w:hint="eastAsia" w:ascii="Times New Roman" w:hAnsi="Times New Roman" w:eastAsia="楷体_GB2312" w:cs="Times New Roman"/>
        </w:rPr>
        <w:t>（二）评价结论</w:t>
      </w:r>
      <w:bookmarkEnd w:id="10"/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both"/>
        <w:textAlignment w:val="auto"/>
        <w:outlineLvl w:val="9"/>
      </w:pPr>
      <w:r>
        <w:rPr>
          <w:rFonts w:hint="eastAsia" w:ascii="Times New Roman" w:hAnsi="Times New Roman" w:eastAsia="仿宋_GB2312"/>
          <w:b w:val="0"/>
          <w:bCs w:val="0"/>
        </w:rPr>
        <w:t>　　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kern w:val="28"/>
          <w:sz w:val="32"/>
          <w:szCs w:val="32"/>
        </w:rPr>
      </w:pPr>
      <w:r>
        <w:rPr>
          <w:rFonts w:hint="eastAsia"/>
          <w:szCs w:val="30"/>
        </w:rPr>
        <w:t>　　　　　　　　</w:t>
      </w:r>
      <w:r>
        <w:rPr>
          <w:rFonts w:hint="eastAsia"/>
          <w:kern w:val="28"/>
          <w:sz w:val="32"/>
          <w:szCs w:val="32"/>
        </w:rPr>
        <w:t>表1综合评分表</w:t>
      </w:r>
    </w:p>
    <w:tbl>
      <w:tblPr>
        <w:tblStyle w:val="11"/>
        <w:tblW w:w="75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2168"/>
        <w:gridCol w:w="22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一级指标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权重分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eastAsia="宋体"/>
                <w:color w:val="000000"/>
                <w:sz w:val="22"/>
              </w:rPr>
            </w:pPr>
            <w:r>
              <w:rPr>
                <w:rFonts w:hint="eastAsia" w:eastAsia="宋体"/>
                <w:color w:val="000000"/>
                <w:sz w:val="22"/>
              </w:rPr>
              <w:t>项目决策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eastAsia="宋体"/>
                <w:color w:val="000000"/>
                <w:sz w:val="22"/>
              </w:rPr>
            </w:pPr>
            <w:r>
              <w:rPr>
                <w:rFonts w:hint="eastAsia" w:eastAsia="宋体"/>
                <w:color w:val="000000"/>
                <w:sz w:val="22"/>
              </w:rPr>
              <w:t>项目过程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eastAsia="宋体"/>
                <w:color w:val="000000"/>
                <w:sz w:val="22"/>
              </w:rPr>
            </w:pPr>
            <w:r>
              <w:rPr>
                <w:rFonts w:hint="eastAsia" w:eastAsia="宋体"/>
                <w:color w:val="000000"/>
                <w:sz w:val="22"/>
              </w:rPr>
              <w:t>项目产出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eastAsia="宋体"/>
                <w:color w:val="000000"/>
                <w:sz w:val="22"/>
              </w:rPr>
            </w:pPr>
            <w:r>
              <w:rPr>
                <w:rFonts w:hint="eastAsia" w:eastAsia="宋体"/>
                <w:color w:val="000000"/>
                <w:sz w:val="22"/>
              </w:rPr>
              <w:t>项目效益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cs="宋体"/>
                <w:b/>
                <w:bCs/>
                <w:color w:val="000000"/>
                <w:sz w:val="22"/>
              </w:rPr>
            </w:pPr>
            <w:r>
              <w:rPr>
                <w:rFonts w:hint="eastAsia" w:cs="宋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100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黑体"/>
          <w:bCs/>
          <w:sz w:val="32"/>
          <w:szCs w:val="32"/>
        </w:rPr>
      </w:pPr>
      <w:bookmarkStart w:id="11" w:name="_Toc68703837"/>
      <w:r>
        <w:rPr>
          <w:rFonts w:hint="eastAsia" w:eastAsia="黑体"/>
          <w:bCs/>
          <w:sz w:val="32"/>
          <w:szCs w:val="32"/>
        </w:rPr>
        <w:t>四、绩效评价指标分析</w:t>
      </w:r>
      <w:bookmarkEnd w:id="1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bookmarkStart w:id="12" w:name="_Toc68703838"/>
      <w:r>
        <w:rPr>
          <w:rFonts w:hint="eastAsia" w:eastAsia="楷体_GB2312"/>
          <w:b/>
          <w:bCs/>
          <w:sz w:val="32"/>
          <w:szCs w:val="32"/>
        </w:rPr>
        <w:t>（一）项目决策情况</w:t>
      </w:r>
      <w:bookmarkEnd w:id="12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　　项目决策类指标包括项目立项、绩效目标和资金投入三方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面的内容，由6个三级指标构成，权重分值为40分，实际得分40分，得</w:t>
      </w:r>
      <w:r>
        <w:rPr>
          <w:rFonts w:hint="eastAsia"/>
          <w:sz w:val="32"/>
          <w:szCs w:val="32"/>
        </w:rPr>
        <w:t>分率为100%。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</w:rPr>
        <w:t>1.项目立项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（1）立项依据充分性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2.立项程序规范性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项目申请、设立过程符合相关要求，</w:t>
      </w:r>
      <w:r>
        <w:rPr>
          <w:rFonts w:hint="eastAsia" w:ascii="仿宋_GB2312" w:hAnsi="仿宋_GB2312" w:cs="仿宋_GB2312"/>
          <w:sz w:val="32"/>
          <w:szCs w:val="32"/>
          <w:lang w:eastAsia="zh-Hans"/>
        </w:rPr>
        <w:t>严格按照审批流程准备符合要求的文件、材料；</w:t>
      </w:r>
      <w:r>
        <w:rPr>
          <w:rFonts w:hint="eastAsia" w:ascii="仿宋_GB2312" w:hAnsi="仿宋_GB2312" w:cs="仿宋_GB2312"/>
          <w:sz w:val="32"/>
          <w:szCs w:val="32"/>
        </w:rPr>
        <w:t>根据决算依据编制工作计划和经费预算，经过与部门项目分管领导沟通、筛选确定经费预算计划，确定最终预算方案。项目的审批文件、材料符合相关要求，项目事前经过必要的绩效评估、集体决策，保障了程序的规范性。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</w:rPr>
        <w:t>2.绩效目标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（1）绩效目标合理性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Hans"/>
        </w:rPr>
        <w:t>年初结合实际工作内容</w:t>
      </w:r>
      <w:r>
        <w:rPr>
          <w:rFonts w:hint="eastAsia" w:ascii="仿宋_GB2312" w:hAnsi="仿宋_GB2312" w:cs="仿宋_GB2312"/>
          <w:sz w:val="32"/>
          <w:szCs w:val="32"/>
        </w:rPr>
        <w:t>设定绩效目标</w:t>
      </w:r>
      <w:r>
        <w:rPr>
          <w:rFonts w:hint="eastAsia" w:ascii="仿宋_GB2312" w:hAnsi="仿宋_GB2312" w:cs="仿宋_GB2312"/>
          <w:sz w:val="32"/>
          <w:szCs w:val="32"/>
          <w:lang w:eastAsia="zh-Hans"/>
        </w:rPr>
        <w:t>，绩效目标</w:t>
      </w:r>
      <w:r>
        <w:rPr>
          <w:rFonts w:hint="eastAsia" w:ascii="仿宋_GB2312" w:hAnsi="仿宋_GB2312" w:cs="仿宋_GB2312"/>
          <w:sz w:val="32"/>
          <w:szCs w:val="32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bookmarkStart w:id="13" w:name="_Hlk68699917"/>
      <w:r>
        <w:rPr>
          <w:rFonts w:hint="eastAsia" w:ascii="仿宋_GB2312" w:hAnsi="仿宋_GB2312" w:cs="仿宋_GB2312"/>
          <w:sz w:val="32"/>
          <w:szCs w:val="32"/>
        </w:rPr>
        <w:t>（2）绩效指标明确性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bookmarkEnd w:id="13"/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</w:rPr>
        <w:t>3.资金投入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（1）预算编制科学性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预算编制经过科学论证，提供充分的测算依据佐证资料，预算内容与项目内容相匹配。项目投资额与工作任务相匹配。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（2）资金分配合理性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资金分配额度与项目单位实际工作内容相适应，资金分配额度合理，资金分配依据充分。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both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（二）项目过程情况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</w:rPr>
        <w:t>1.资金管理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（1）资金到位率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本项目总投资119.56万元，财政资金及时足额到位，到位率100%，预算资金按计划进度执行。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（2）预算执行率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预算编制较为详细，项目资金支出总体能够按照预算执行，预算资金支出</w:t>
      </w:r>
      <w:r>
        <w:rPr>
          <w:rFonts w:ascii="仿宋_GB2312" w:hAnsi="仿宋_GB2312" w:cs="仿宋_GB2312"/>
          <w:sz w:val="32"/>
          <w:szCs w:val="32"/>
        </w:rPr>
        <w:t>119.56</w:t>
      </w:r>
      <w:r>
        <w:rPr>
          <w:rFonts w:hint="eastAsia" w:ascii="仿宋_GB2312" w:hAnsi="仿宋_GB2312" w:cs="仿宋_GB2312"/>
          <w:sz w:val="32"/>
          <w:szCs w:val="32"/>
        </w:rPr>
        <w:t>万元，预算执行率为100%。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（3）资金使用合规性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</w:rPr>
        <w:t>2.组织实施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（1）管理制度健全性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（2）制度执行有效性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pStyle w:val="6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bookmarkStart w:id="14" w:name="_Toc68703840"/>
      <w:r>
        <w:rPr>
          <w:rFonts w:hint="eastAsia" w:eastAsia="楷体_GB2312"/>
          <w:b/>
          <w:bCs/>
          <w:sz w:val="32"/>
          <w:szCs w:val="32"/>
        </w:rPr>
        <w:t>（三）项目产出情况</w:t>
      </w:r>
      <w:bookmarkEnd w:id="14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项目产出类指标包括产出数量、产出质量、产出时效、产出成本四方面的内容，由5个三级指标构成，权重分为40分，实际得分40分，得分率为100%。具体产出指标完成情况如下：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cs="仿宋_GB2312"/>
          <w:sz w:val="32"/>
          <w:szCs w:val="32"/>
        </w:rPr>
        <w:instrText xml:space="preserve"> = 1 \* GB3 </w:instrText>
      </w:r>
      <w:r>
        <w:rPr>
          <w:rFonts w:hint="eastAsia" w:ascii="仿宋_GB2312" w:hAnsi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cs="仿宋_GB2312"/>
          <w:sz w:val="32"/>
          <w:szCs w:val="32"/>
        </w:rPr>
        <w:t>①</w:t>
      </w:r>
      <w:r>
        <w:rPr>
          <w:rFonts w:hint="eastAsia" w:ascii="仿宋_GB2312" w:hAnsi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cs="仿宋_GB2312"/>
          <w:sz w:val="32"/>
          <w:szCs w:val="32"/>
        </w:rPr>
        <w:t>数量指标：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指标1：划拨工会经费单位次数，指标值：=1次，实际完成值：1次，指标完成率100%。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cs="仿宋_GB2312"/>
          <w:sz w:val="32"/>
          <w:szCs w:val="32"/>
        </w:rPr>
        <w:t>②</w:t>
      </w:r>
      <w:r>
        <w:rPr>
          <w:rFonts w:hint="eastAsia" w:ascii="仿宋_GB2312" w:hAnsi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cs="仿宋_GB2312"/>
          <w:sz w:val="32"/>
          <w:szCs w:val="32"/>
        </w:rPr>
        <w:t>质量指标：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指标1：工会经费上缴准确率，指标值：</w:t>
      </w:r>
      <w:r>
        <w:rPr>
          <w:sz w:val="32"/>
          <w:szCs w:val="32"/>
        </w:rPr>
        <w:t>=100%</w:t>
      </w:r>
      <w:r>
        <w:rPr>
          <w:rFonts w:hint="eastAsia"/>
          <w:sz w:val="32"/>
          <w:szCs w:val="32"/>
        </w:rPr>
        <w:t>，实际完成值：</w:t>
      </w:r>
      <w:r>
        <w:rPr>
          <w:sz w:val="32"/>
          <w:szCs w:val="32"/>
        </w:rPr>
        <w:t>100%</w:t>
      </w:r>
      <w:r>
        <w:rPr>
          <w:rFonts w:hint="eastAsia"/>
          <w:sz w:val="32"/>
          <w:szCs w:val="32"/>
        </w:rPr>
        <w:t>，指标完成率100%</w:t>
      </w:r>
      <w:r>
        <w:rPr>
          <w:rFonts w:hint="eastAsia"/>
          <w:color w:val="FF0000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cs="仿宋_GB2312"/>
          <w:sz w:val="32"/>
          <w:szCs w:val="32"/>
        </w:rPr>
        <w:instrText xml:space="preserve"> = 3 \* GB3 </w:instrText>
      </w:r>
      <w:r>
        <w:rPr>
          <w:rFonts w:hint="eastAsia" w:ascii="仿宋_GB2312" w:hAnsi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cs="仿宋_GB2312"/>
          <w:sz w:val="32"/>
          <w:szCs w:val="32"/>
        </w:rPr>
        <w:t>③</w:t>
      </w:r>
      <w:r>
        <w:rPr>
          <w:rFonts w:hint="eastAsia" w:ascii="仿宋_GB2312" w:hAnsi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cs="仿宋_GB2312"/>
          <w:sz w:val="32"/>
          <w:szCs w:val="32"/>
        </w:rPr>
        <w:t>时效指标：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指标1：工会经费上缴完成率，指标值：=100%，实际完成值：100%，指标完成率100%。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指标2：工会经费上缴及时率，指标值：=100%，实际完成值：100%，指标完成率100%。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cs="仿宋_GB2312"/>
          <w:sz w:val="32"/>
          <w:szCs w:val="32"/>
        </w:rPr>
        <w:t>②</w:t>
      </w:r>
      <w:r>
        <w:rPr>
          <w:rFonts w:hint="eastAsia" w:ascii="仿宋_GB2312" w:hAnsi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cs="仿宋_GB2312"/>
          <w:sz w:val="32"/>
          <w:szCs w:val="32"/>
        </w:rPr>
        <w:t>成本指标：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</w:pPr>
      <w:r>
        <w:rPr>
          <w:rFonts w:hint="eastAsia" w:ascii="仿宋_GB2312" w:hAnsi="仿宋_GB2312" w:cs="仿宋_GB2312"/>
          <w:sz w:val="32"/>
          <w:szCs w:val="32"/>
        </w:rPr>
        <w:t>指标1：上拨工会经费资金，指标值：&lt;=119.56万元，实际完成值：119.56万元，指标完成率100%。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  <w:rPr>
          <w:rFonts w:ascii="Times New Roman" w:hAnsi="Times New Roman" w:eastAsia="楷体_GB2312" w:cs="Times New Roman"/>
        </w:rPr>
      </w:pPr>
      <w:bookmarkStart w:id="15" w:name="_Toc68703841"/>
      <w:r>
        <w:rPr>
          <w:rFonts w:hint="eastAsia" w:ascii="Times New Roman" w:hAnsi="Times New Roman" w:eastAsia="楷体_GB2312" w:cs="Times New Roman"/>
        </w:rPr>
        <w:t>（四）项目效益情况</w:t>
      </w:r>
      <w:bookmarkEnd w:id="15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</w:pPr>
      <w:r>
        <w:rPr>
          <w:rFonts w:hint="eastAsia" w:ascii="仿宋_GB2312" w:hAnsi="仿宋_GB2312" w:cs="仿宋_GB2312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1.实施效益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效益指标：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指标1：确保全市基层工会工会工作高效运行，指标值：持续保障，实际完成值：持续保障，指标完成率100%。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2.满意度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满意度指标：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指标1：职工满意度，指标值：&gt;=98%，实际完成值：97.98%，指标完成率99.98%。偏差原因：未及时缴纳全部工会经费，造成基层工会资金使用出现困难。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黑体"/>
          <w:sz w:val="32"/>
          <w:szCs w:val="32"/>
          <w:lang w:eastAsia="zh-Hans"/>
        </w:rPr>
      </w:pPr>
      <w:r>
        <w:rPr>
          <w:rFonts w:hint="eastAsia" w:eastAsia="黑体"/>
          <w:sz w:val="32"/>
          <w:szCs w:val="32"/>
          <w:lang w:eastAsia="zh-Hans"/>
        </w:rPr>
        <w:t>五、预算执行进度与绩效指标总体完成率偏差</w:t>
      </w:r>
    </w:p>
    <w:p>
      <w:pPr>
        <w:pStyle w:val="2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r>
        <w:rPr>
          <w:rFonts w:hint="eastAsia"/>
        </w:rPr>
        <w:t>2022年工会经费差额部分项目年初预算</w:t>
      </w:r>
      <w:r>
        <w:t>119.56</w:t>
      </w:r>
      <w:r>
        <w:rPr>
          <w:rFonts w:hint="eastAsia"/>
        </w:rPr>
        <w:t>万元，全年预算</w:t>
      </w:r>
      <w:r>
        <w:t>119.56</w:t>
      </w:r>
      <w:r>
        <w:rPr>
          <w:rFonts w:hint="eastAsia"/>
        </w:rPr>
        <w:t>万元，实际支出</w:t>
      </w:r>
      <w:r>
        <w:t>119.56</w:t>
      </w:r>
      <w:r>
        <w:rPr>
          <w:rFonts w:hint="eastAsia"/>
        </w:rPr>
        <w:t>万元，预算执行率为100%，项目绩效指标总体完成率为100%，</w:t>
      </w:r>
      <w:r>
        <w:rPr>
          <w:rFonts w:hint="eastAsia"/>
          <w:lang w:eastAsia="zh-Hans"/>
        </w:rPr>
        <w:t>总体</w:t>
      </w:r>
      <w:r>
        <w:rPr>
          <w:rFonts w:hint="eastAsia"/>
        </w:rPr>
        <w:t>偏差率为0%。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黑体"/>
          <w:bCs/>
          <w:sz w:val="32"/>
          <w:szCs w:val="32"/>
        </w:rPr>
      </w:pPr>
      <w:bookmarkStart w:id="16" w:name="_Toc68703842"/>
      <w:r>
        <w:rPr>
          <w:rFonts w:hint="eastAsia" w:eastAsia="黑体"/>
          <w:bCs/>
          <w:sz w:val="32"/>
          <w:szCs w:val="32"/>
        </w:rPr>
        <w:t>六、主要经验及做法、存在的问题及原因分析</w:t>
      </w:r>
      <w:bookmarkEnd w:id="16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eastAsia="楷体_GB2312"/>
          <w:b/>
          <w:bCs/>
          <w:sz w:val="32"/>
          <w:szCs w:val="32"/>
        </w:rPr>
      </w:pPr>
      <w:bookmarkStart w:id="17" w:name="_Toc68703843"/>
      <w:r>
        <w:rPr>
          <w:rFonts w:hint="eastAsia" w:eastAsia="楷体_GB2312"/>
          <w:b/>
          <w:bCs/>
          <w:sz w:val="32"/>
          <w:szCs w:val="32"/>
        </w:rPr>
        <w:t>（一）主要经验及做法</w:t>
      </w:r>
      <w:bookmarkEnd w:id="17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t>为确保</w:t>
      </w:r>
      <w:r>
        <w:rPr>
          <w:rFonts w:hint="eastAsia"/>
          <w:sz w:val="32"/>
          <w:szCs w:val="32"/>
        </w:rPr>
        <w:t>2022年工会经费差额部分</w:t>
      </w:r>
      <w:r>
        <w:rPr>
          <w:sz w:val="32"/>
          <w:szCs w:val="32"/>
        </w:rPr>
        <w:t>项目顺利进行，提前做好规划，将所列计划</w:t>
      </w:r>
      <w:r>
        <w:rPr>
          <w:rFonts w:hint="eastAsia"/>
          <w:sz w:val="32"/>
          <w:szCs w:val="32"/>
        </w:rPr>
        <w:t>多次和财政局沟通协商</w:t>
      </w:r>
      <w:r>
        <w:rPr>
          <w:sz w:val="32"/>
          <w:szCs w:val="32"/>
        </w:rPr>
        <w:t>。在实施过程中做好监督检查，严格按照项目管理规范进行，在项目资金使用过程中，严格落实把关，让项目资金落于实处。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left"/>
        <w:textAlignment w:val="auto"/>
        <w:outlineLvl w:val="9"/>
      </w:pPr>
      <w:r>
        <w:rPr>
          <w:rFonts w:ascii="Times New Roman" w:hAnsi="Times New Roman" w:eastAsia="仿宋_GB2312"/>
          <w:b w:val="0"/>
          <w:bCs w:val="0"/>
          <w:kern w:val="2"/>
        </w:rPr>
        <w:t>严格坚持关口前移，从事后监督管理转向事前审核，事中监督和事后检查稽核相结合的监督制度上来，形成多环节全过程的监督管理格局，尽量早发现问题，早解决问题。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楷体_GB2312" w:cs="Times New Roman"/>
          <w:b/>
          <w:bCs/>
          <w:sz w:val="32"/>
          <w:szCs w:val="32"/>
        </w:rPr>
      </w:pPr>
      <w:bookmarkStart w:id="18" w:name="_Toc68703844"/>
      <w:r>
        <w:rPr>
          <w:rFonts w:hint="eastAsia" w:ascii="Times New Roman" w:hAnsi="Times New Roman" w:eastAsia="楷体_GB2312" w:cs="Times New Roman"/>
          <w:b/>
          <w:bCs/>
          <w:sz w:val="32"/>
          <w:szCs w:val="32"/>
        </w:rPr>
        <w:t>（二）存在的问题及原因分析</w:t>
      </w:r>
      <w:bookmarkEnd w:id="18"/>
      <w:r>
        <w:rPr>
          <w:rFonts w:hint="eastAsia" w:ascii="Times New Roman" w:hAnsi="Times New Roman" w:eastAsia="楷体_GB2312" w:cs="Times New Roman"/>
          <w:b/>
          <w:bCs/>
          <w:sz w:val="32"/>
          <w:szCs w:val="32"/>
        </w:rPr>
        <w:t>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  <w:rPr>
          <w:b w:val="0"/>
          <w:bCs w:val="0"/>
          <w:color w:val="FF0000"/>
          <w:kern w:val="2"/>
          <w:sz w:val="32"/>
          <w:szCs w:val="32"/>
        </w:rPr>
      </w:pPr>
      <w:bookmarkStart w:id="19" w:name="_Toc68703845"/>
      <w:r>
        <w:rPr>
          <w:rFonts w:hint="eastAsia" w:eastAsia="黑体"/>
          <w:b w:val="0"/>
          <w:kern w:val="2"/>
          <w:sz w:val="32"/>
          <w:szCs w:val="32"/>
        </w:rPr>
        <w:t>七、有关建议</w:t>
      </w:r>
      <w:bookmarkEnd w:id="19"/>
      <w:r>
        <w:rPr>
          <w:rFonts w:hint="eastAsia" w:eastAsia="黑体"/>
          <w:b w:val="0"/>
          <w:kern w:val="2"/>
          <w:sz w:val="32"/>
          <w:szCs w:val="32"/>
        </w:rPr>
        <w:t>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cs="仿宋_GB2312"/>
          <w:sz w:val="32"/>
          <w:szCs w:val="32"/>
        </w:rPr>
      </w:pPr>
      <w:bookmarkStart w:id="20" w:name="_Toc68703846"/>
      <w:r>
        <w:rPr>
          <w:rFonts w:hint="eastAsia" w:ascii="仿宋_GB2312" w:hAnsi="仿宋_GB2312" w:cs="仿宋_GB2312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22"/>
          <w:szCs w:val="28"/>
        </w:rPr>
      </w:pPr>
      <w:r>
        <w:rPr>
          <w:rFonts w:hint="eastAsia" w:ascii="仿宋_GB2312" w:hAnsi="仿宋_GB2312" w:cs="仿宋_GB2312"/>
          <w:sz w:val="32"/>
          <w:szCs w:val="32"/>
        </w:rPr>
        <w:t>2.进一步完善项目评价过程中有关数据和资料的收集、整理、审核及分析。项目启动时同步做好档案的归纳与整理，及时整理、收集、汇总，健全档案资料。项目后续管理有待进一步加强和跟踪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eastAsia" w:ascii="仿宋_GB2312" w:hAnsi="仿宋_GB2312" w:cs="仿宋_GB2312"/>
          <w:sz w:val="36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  <w:rPr>
          <w:rFonts w:hint="eastAsia" w:ascii="Times New Roman" w:hAnsi="Times New Roman" w:eastAsia="黑体" w:cs="Times New Roman"/>
          <w:b w:val="0"/>
          <w:kern w:val="2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kern w:val="2"/>
          <w:sz w:val="32"/>
          <w:szCs w:val="32"/>
        </w:rPr>
        <w:t>八、其他需要说明的问题</w:t>
      </w:r>
      <w:bookmarkEnd w:id="20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color w:val="FF0000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</w:t>
      </w:r>
      <w:r>
        <w:rPr>
          <w:rFonts w:hint="eastAsia" w:ascii="仿宋_GB2312" w:hAnsi="仿宋_GB2312" w:cs="仿宋_GB2312"/>
          <w:sz w:val="32"/>
          <w:szCs w:val="32"/>
          <w:lang w:eastAsia="zh-Hans"/>
        </w:rPr>
        <w:t>本项目无其他需说明的问题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</w:pPr>
    </w:p>
    <w:p/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both"/>
        <w:textAlignment w:val="auto"/>
        <w:outlineLvl w:val="9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  <w:bookmarkStart w:id="23" w:name="_GoBack"/>
      <w:bookmarkEnd w:id="23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tbl>
      <w:tblPr>
        <w:tblW w:w="10480" w:type="dxa"/>
        <w:jc w:val="center"/>
        <w:tblInd w:w="-8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777"/>
        <w:gridCol w:w="784"/>
        <w:gridCol w:w="933"/>
        <w:gridCol w:w="1045"/>
        <w:gridCol w:w="488"/>
        <w:gridCol w:w="1107"/>
        <w:gridCol w:w="980"/>
        <w:gridCol w:w="621"/>
        <w:gridCol w:w="563"/>
        <w:gridCol w:w="634"/>
        <w:gridCol w:w="463"/>
        <w:gridCol w:w="514"/>
        <w:gridCol w:w="7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4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4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(2023年度)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892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2022年工会经费差额部分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43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霍尔果斯市总工会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9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霍尔果斯市总工会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</w:t>
            </w: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其中：当年财政拨款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</w:t>
            </w: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9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9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其他资金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9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5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456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根据文件要求，每年需要上缴40%工会经费，2022年由财政局划拨工会经费差额部分，确保资金及时足额上缴到位。</w:t>
            </w:r>
          </w:p>
        </w:tc>
        <w:tc>
          <w:tcPr>
            <w:tcW w:w="456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完成2022年由财政局划拨工会经费差额部分，确保资金及时足额上缴到位，确保全市基层工会工会工作高效运行。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46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11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09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30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6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年度绩效指标完成情况</w:t>
            </w:r>
          </w:p>
        </w:tc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划拨工会经费单位次数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1次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工会经费上缴准确率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工会经费上缴完成率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工会经费上缴及时率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上拨工会经费资金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&lt;=119.56万元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119.56万元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确保全市基层工会工会工作高效运行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持续保障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持续保障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职工满意度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&gt;=98%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97.98%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根据实际满意度填报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89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100.00分</w:t>
            </w:r>
          </w:p>
        </w:tc>
        <w:tc>
          <w:tcPr>
            <w:tcW w:w="13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bCs/>
          <w:sz w:val="32"/>
          <w:szCs w:val="32"/>
        </w:rPr>
        <w:sectPr>
          <w:headerReference r:id="rId3" w:type="default"/>
          <w:pgSz w:w="11906" w:h="16838"/>
          <w:pgMar w:top="2098" w:right="1531" w:bottom="1984" w:left="1531" w:header="737" w:footer="851" w:gutter="0"/>
          <w:cols w:space="720" w:num="1"/>
          <w:docGrid w:type="lines" w:linePitch="408" w:charSpace="0"/>
        </w:sectPr>
      </w:pPr>
    </w:p>
    <w:p>
      <w:pPr>
        <w:pStyle w:val="21"/>
        <w:spacing w:line="500" w:lineRule="exact"/>
        <w:ind w:firstLine="562"/>
        <w:jc w:val="center"/>
        <w:rPr>
          <w:rFonts w:hint="eastAsia" w:ascii="Times New Roman" w:hAnsi="Times New Roman" w:cs="Times New Roman"/>
          <w:b/>
          <w:bCs/>
          <w:kern w:val="0"/>
          <w:sz w:val="28"/>
          <w:szCs w:val="40"/>
        </w:rPr>
      </w:pPr>
      <w:bookmarkStart w:id="21" w:name="_Toc26499_WPSOffice_Level2"/>
      <w:bookmarkStart w:id="22" w:name="_Toc30064_WPSOffice_Level1"/>
      <w:r>
        <w:rPr>
          <w:rFonts w:hint="eastAsia" w:ascii="Times New Roman" w:hAnsi="Times New Roman" w:cs="Times New Roman"/>
          <w:b/>
          <w:bCs/>
          <w:kern w:val="0"/>
          <w:sz w:val="28"/>
          <w:szCs w:val="40"/>
        </w:rPr>
        <w:t>2022年工会经费差额部分项目绩效评价指标体系及综合评分表</w:t>
      </w:r>
      <w:bookmarkEnd w:id="21"/>
      <w:bookmarkEnd w:id="22"/>
    </w:p>
    <w:tbl>
      <w:tblPr>
        <w:tblW w:w="15260" w:type="dxa"/>
        <w:jc w:val="center"/>
        <w:tblInd w:w="-10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4"/>
        <w:gridCol w:w="2150"/>
        <w:gridCol w:w="2557"/>
        <w:gridCol w:w="6410"/>
        <w:gridCol w:w="1374"/>
        <w:gridCol w:w="13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2022年工会经费差额部分项目支出绩效评价指标体系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21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6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指标解释</w:t>
            </w:r>
          </w:p>
        </w:tc>
        <w:tc>
          <w:tcPr>
            <w:tcW w:w="13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决策　（20）</w:t>
            </w: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项目立项(6)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立项依据充分性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项目立项是否符合法律法规、相关政策、发展规划以及部门职责，用以反映和考核项目立项依据情况。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立项程序规范性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项目申请、设立过程是否符合相关要求，用以反映和考核项目立项的规范情况。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绩效目标(3)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绩效目标合理性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项目所设定的绩效目标是否依据充分，是否符合客观实际，用以反映和考核项目绩效目标与项目实施的相符情况。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绩效目标（3）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绩效指标明确性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依据绩效目标设定的绩效指标是否清晰、细化、可衡量等，用以反映和考核项目绩效目标的明细化情况。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资金投入（8）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预算编制科学性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项目预算编制是否经过科学论证、有明确标准，资金额度与年度目标是否相适应，用以反映和考核项目预算编制的科学性、合理性情况。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资金分配合理性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项目预算资金分配是否有测算依据，与补助单位或地方实际是否相适应，用以反映和考核项目预算资金分配的科学性、合理性情况。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过程（20）</w:t>
            </w: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资金管理(8)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资金到位率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实际到位资金与预算资金的比率，用以反映和考核资金落实情况对项目实施的总体保障程度。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预算执行率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项目预算资金是否按照计划执行，用以反映或考核项目预算执行情况。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资金管理(4)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资金使用合规性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项目资金使用是否符合相关的财务管理制度规定，用以反映和考核项目资金的规范运行情况。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组织实施（8）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管理制度健全性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项目实施单位的财务和业务管理制度是否健全，用以反映和考核财务和业务管理制度对项目顺利实施的保障情况。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制度执行有效性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项目实施是否符合相关管理规定，用以反映和考核相关管理制度的有效执行情况。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产出（40）</w:t>
            </w: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产出数量(10)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实际完成率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项目实施的实际产出数与计划产出数的比率，用以反映和考核项目产出数量目标的实现程度。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产出质量(10)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质量达标率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项目完成的质量达标产出数与实际产出数的比率，用以反映和考核项目产出质量目标的实现程度。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产出时效(10)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完成及时性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项目实际完成时间与计划完成时间的比较，用以反映和考核项目产出时效目标的实现程度。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产出成本(10)</w:t>
            </w:r>
          </w:p>
        </w:tc>
        <w:tc>
          <w:tcPr>
            <w:tcW w:w="255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成本节约率</w:t>
            </w:r>
          </w:p>
        </w:tc>
        <w:tc>
          <w:tcPr>
            <w:tcW w:w="6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完成项目计划工作目标的实际节约成本与计划成本的比率，用以反映和考核项目的成本节约程度。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效益（20）</w:t>
            </w:r>
          </w:p>
        </w:tc>
        <w:tc>
          <w:tcPr>
            <w:tcW w:w="21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项目效益（20）</w:t>
            </w:r>
          </w:p>
        </w:tc>
        <w:tc>
          <w:tcPr>
            <w:tcW w:w="2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实施效益</w:t>
            </w:r>
          </w:p>
        </w:tc>
        <w:tc>
          <w:tcPr>
            <w:tcW w:w="6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项目实施所产生的效益。</w:t>
            </w:r>
          </w:p>
        </w:tc>
        <w:tc>
          <w:tcPr>
            <w:tcW w:w="13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20.00 </w:t>
            </w:r>
          </w:p>
        </w:tc>
        <w:tc>
          <w:tcPr>
            <w:tcW w:w="1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满意度</w:t>
            </w:r>
          </w:p>
        </w:tc>
        <w:tc>
          <w:tcPr>
            <w:tcW w:w="6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社会公众或服务对象对项目实施效果的满意程度。</w:t>
            </w:r>
          </w:p>
        </w:tc>
        <w:tc>
          <w:tcPr>
            <w:tcW w:w="13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51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13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1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</w:tbl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outlineLvl w:val="9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sectPr>
      <w:pgSz w:w="16838" w:h="11906" w:orient="landscape"/>
      <w:pgMar w:top="1531" w:right="1928" w:bottom="1531" w:left="170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红豆小标宋简体">
    <w:altName w:val="宋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F60FE1"/>
    <w:multiLevelType w:val="singleLevel"/>
    <w:tmpl w:val="DEF60FE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DFF5F47"/>
    <w:multiLevelType w:val="singleLevel"/>
    <w:tmpl w:val="FDFF5F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2717433"/>
    <w:multiLevelType w:val="singleLevel"/>
    <w:tmpl w:val="427174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MjBjOWQ4Yjk3OGJkODQ1MTcyMjJkMTU1N2U0YWYifQ=="/>
  </w:docVars>
  <w:rsids>
    <w:rsidRoot w:val="007D49C5"/>
    <w:rsid w:val="00081222"/>
    <w:rsid w:val="000D63FA"/>
    <w:rsid w:val="00193C2C"/>
    <w:rsid w:val="00314C33"/>
    <w:rsid w:val="004A4DF9"/>
    <w:rsid w:val="004D14A5"/>
    <w:rsid w:val="005313A1"/>
    <w:rsid w:val="00585430"/>
    <w:rsid w:val="00593DCE"/>
    <w:rsid w:val="005B64E8"/>
    <w:rsid w:val="00614288"/>
    <w:rsid w:val="00670592"/>
    <w:rsid w:val="0070350C"/>
    <w:rsid w:val="00792CFE"/>
    <w:rsid w:val="007D49C5"/>
    <w:rsid w:val="008175E0"/>
    <w:rsid w:val="008A5B4B"/>
    <w:rsid w:val="008C631D"/>
    <w:rsid w:val="00A114ED"/>
    <w:rsid w:val="00AA3C25"/>
    <w:rsid w:val="00AE21CB"/>
    <w:rsid w:val="00AF010F"/>
    <w:rsid w:val="00AF242B"/>
    <w:rsid w:val="00AF2962"/>
    <w:rsid w:val="00B06D6D"/>
    <w:rsid w:val="00B24331"/>
    <w:rsid w:val="00BB59CE"/>
    <w:rsid w:val="00BC2002"/>
    <w:rsid w:val="00BC5124"/>
    <w:rsid w:val="00C66395"/>
    <w:rsid w:val="00E54F05"/>
    <w:rsid w:val="00E837BE"/>
    <w:rsid w:val="00ED7B41"/>
    <w:rsid w:val="00F426E0"/>
    <w:rsid w:val="00FF493D"/>
    <w:rsid w:val="01427F24"/>
    <w:rsid w:val="01536131"/>
    <w:rsid w:val="01583141"/>
    <w:rsid w:val="021D4E32"/>
    <w:rsid w:val="027C3466"/>
    <w:rsid w:val="03101CA5"/>
    <w:rsid w:val="04826D2E"/>
    <w:rsid w:val="05253FFE"/>
    <w:rsid w:val="06EE06AA"/>
    <w:rsid w:val="07723089"/>
    <w:rsid w:val="07C80EFB"/>
    <w:rsid w:val="09EC7123"/>
    <w:rsid w:val="0C085D6A"/>
    <w:rsid w:val="0F2A6BF7"/>
    <w:rsid w:val="0F4E618A"/>
    <w:rsid w:val="109627EE"/>
    <w:rsid w:val="13116A10"/>
    <w:rsid w:val="13515DF9"/>
    <w:rsid w:val="15A20FDE"/>
    <w:rsid w:val="15EE79C1"/>
    <w:rsid w:val="17136327"/>
    <w:rsid w:val="181871E2"/>
    <w:rsid w:val="18D771F0"/>
    <w:rsid w:val="19166846"/>
    <w:rsid w:val="19427712"/>
    <w:rsid w:val="1B324BB2"/>
    <w:rsid w:val="1BD45C69"/>
    <w:rsid w:val="1E0740D4"/>
    <w:rsid w:val="1E672DC4"/>
    <w:rsid w:val="1F2111C5"/>
    <w:rsid w:val="1FA53BA4"/>
    <w:rsid w:val="20E92B23"/>
    <w:rsid w:val="21DC5877"/>
    <w:rsid w:val="22721D38"/>
    <w:rsid w:val="22AC2218"/>
    <w:rsid w:val="268A3AF4"/>
    <w:rsid w:val="2729052F"/>
    <w:rsid w:val="28C14634"/>
    <w:rsid w:val="2C5C1A8E"/>
    <w:rsid w:val="2CE33F70"/>
    <w:rsid w:val="2DC738F9"/>
    <w:rsid w:val="2EC724D4"/>
    <w:rsid w:val="2EE30257"/>
    <w:rsid w:val="2FA128B2"/>
    <w:rsid w:val="31102C85"/>
    <w:rsid w:val="33A17636"/>
    <w:rsid w:val="347B0F20"/>
    <w:rsid w:val="34DA27CE"/>
    <w:rsid w:val="36411DC5"/>
    <w:rsid w:val="36B72533"/>
    <w:rsid w:val="371706BF"/>
    <w:rsid w:val="37555A58"/>
    <w:rsid w:val="38883C0B"/>
    <w:rsid w:val="3C12216A"/>
    <w:rsid w:val="3D6A7D83"/>
    <w:rsid w:val="3FE200A5"/>
    <w:rsid w:val="4057649F"/>
    <w:rsid w:val="41E0022F"/>
    <w:rsid w:val="437729C4"/>
    <w:rsid w:val="450B6AE4"/>
    <w:rsid w:val="45D329D6"/>
    <w:rsid w:val="45DA5490"/>
    <w:rsid w:val="467F664E"/>
    <w:rsid w:val="46827EEC"/>
    <w:rsid w:val="46DD15C6"/>
    <w:rsid w:val="474433F3"/>
    <w:rsid w:val="49663AF5"/>
    <w:rsid w:val="4B236E10"/>
    <w:rsid w:val="4C2832E3"/>
    <w:rsid w:val="4DF47921"/>
    <w:rsid w:val="4E173610"/>
    <w:rsid w:val="51402E7D"/>
    <w:rsid w:val="53642E53"/>
    <w:rsid w:val="538F3290"/>
    <w:rsid w:val="54873A1A"/>
    <w:rsid w:val="55450A62"/>
    <w:rsid w:val="56743CC2"/>
    <w:rsid w:val="56796849"/>
    <w:rsid w:val="568F383B"/>
    <w:rsid w:val="58523BC2"/>
    <w:rsid w:val="5CF80AB0"/>
    <w:rsid w:val="5D555EEF"/>
    <w:rsid w:val="5D9562FF"/>
    <w:rsid w:val="5DA95371"/>
    <w:rsid w:val="60C83BFC"/>
    <w:rsid w:val="60EA6962"/>
    <w:rsid w:val="625B69E4"/>
    <w:rsid w:val="62C751AC"/>
    <w:rsid w:val="63A31776"/>
    <w:rsid w:val="6445282D"/>
    <w:rsid w:val="66F81DD8"/>
    <w:rsid w:val="66FB3677"/>
    <w:rsid w:val="67AC4971"/>
    <w:rsid w:val="685A2776"/>
    <w:rsid w:val="686F7714"/>
    <w:rsid w:val="69C64B5E"/>
    <w:rsid w:val="6A862BA8"/>
    <w:rsid w:val="6B00125C"/>
    <w:rsid w:val="6DFC1C65"/>
    <w:rsid w:val="6EE40E94"/>
    <w:rsid w:val="6F5E0C47"/>
    <w:rsid w:val="701557A9"/>
    <w:rsid w:val="702F60D5"/>
    <w:rsid w:val="714125CE"/>
    <w:rsid w:val="71F6680B"/>
    <w:rsid w:val="72676064"/>
    <w:rsid w:val="74077656"/>
    <w:rsid w:val="74CE23CA"/>
    <w:rsid w:val="74E8719F"/>
    <w:rsid w:val="75FA041F"/>
    <w:rsid w:val="760F49BD"/>
    <w:rsid w:val="766E3D97"/>
    <w:rsid w:val="76DD4B47"/>
    <w:rsid w:val="76E870A0"/>
    <w:rsid w:val="7AE40DD7"/>
    <w:rsid w:val="7CA0289E"/>
    <w:rsid w:val="7D733B0F"/>
    <w:rsid w:val="7FC7754B"/>
    <w:rsid w:val="7FDC0581"/>
    <w:rsid w:val="7FEC59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0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character" w:styleId="13">
    <w:name w:val="Strong"/>
    <w:qFormat/>
    <w:uiPriority w:val="0"/>
    <w:rPr>
      <w:b/>
      <w:bCs/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标题 1 字符"/>
    <w:basedOn w:val="12"/>
    <w:link w:val="3"/>
    <w:qFormat/>
    <w:uiPriority w:val="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4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9">
    <w:name w:val="页眉 字符"/>
    <w:basedOn w:val="12"/>
    <w:link w:val="8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20">
    <w:name w:val="页脚 字符"/>
    <w:basedOn w:val="12"/>
    <w:link w:val="7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闻政-正文段落文字"/>
    <w:basedOn w:val="1"/>
    <w:qFormat/>
    <w:uiPriority w:val="3"/>
    <w:pPr>
      <w:spacing w:line="560" w:lineRule="exact"/>
      <w:ind w:firstLine="640"/>
    </w:pPr>
    <w:rPr>
      <w:rFonts w:ascii="仿宋_GB2312" w:hAnsi="仿宋_GB2312" w:cs="仿宋_GB2312"/>
      <w:color w:val="000000" w:themeColor="text1"/>
      <w:sz w:val="32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1458</Words>
  <Characters>8314</Characters>
  <Lines>69</Lines>
  <Paragraphs>19</Paragraphs>
  <TotalTime>22</TotalTime>
  <ScaleCrop>false</ScaleCrop>
  <LinksUpToDate>false</LinksUpToDate>
  <CharactersWithSpaces>9753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2024-04-16T10:59:00Z</dcterms:created>
  <dc:creator>翘楚</dc:creator>
  <cp:lastModifiedBy>Administrator</cp:lastModifiedBy>
  <dcterms:modified xsi:type="dcterms:W3CDTF">2024-06-12T05:37:18Z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474120B5BAEA43AFB94531B1C8881849</vt:lpwstr>
  </property>
</Properties>
</file>