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color w:val="auto"/>
          <w:sz w:val="48"/>
          <w:szCs w:val="48"/>
          <w:highlight w:val="none"/>
        </w:rPr>
      </w:pPr>
    </w:p>
    <w:p>
      <w:pPr>
        <w:pageBreakBefore w:val="0"/>
        <w:kinsoku/>
        <w:wordWrap/>
        <w:overflowPunct/>
        <w:topLinePunct w:val="0"/>
        <w:autoSpaceDE/>
        <w:autoSpaceDN/>
        <w:bidi w:val="0"/>
        <w:adjustRightInd/>
        <w:snapToGrid/>
        <w:spacing w:line="560" w:lineRule="exact"/>
        <w:ind w:left="0"/>
        <w:jc w:val="center"/>
        <w:outlineLvl w:val="9"/>
        <w:rPr>
          <w:rFonts w:eastAsia="方正小标宋_GBK"/>
          <w:color w:val="auto"/>
          <w:kern w:val="0"/>
          <w:sz w:val="48"/>
          <w:szCs w:val="48"/>
          <w:highlight w:val="none"/>
        </w:rPr>
      </w:pPr>
      <w:r>
        <w:rPr>
          <w:rFonts w:hint="eastAsia" w:eastAsia="方正小标宋_GBK"/>
          <w:color w:val="auto"/>
          <w:kern w:val="0"/>
          <w:sz w:val="48"/>
          <w:szCs w:val="48"/>
          <w:highlight w:val="none"/>
          <w:lang w:eastAsia="zh-CN"/>
        </w:rPr>
        <w:t>霍尔果斯市接待费</w:t>
      </w:r>
      <w:r>
        <w:rPr>
          <w:rFonts w:eastAsia="方正小标宋_GBK"/>
          <w:color w:val="auto"/>
          <w:kern w:val="0"/>
          <w:sz w:val="48"/>
          <w:szCs w:val="48"/>
          <w:highlight w:val="none"/>
        </w:rPr>
        <w:t>资金项目支出</w:t>
      </w:r>
    </w:p>
    <w:p>
      <w:pPr>
        <w:pageBreakBefore w:val="0"/>
        <w:kinsoku/>
        <w:wordWrap/>
        <w:overflowPunct/>
        <w:topLinePunct w:val="0"/>
        <w:autoSpaceDE/>
        <w:autoSpaceDN/>
        <w:bidi w:val="0"/>
        <w:adjustRightInd/>
        <w:snapToGrid/>
        <w:spacing w:line="560" w:lineRule="exact"/>
        <w:ind w:left="0"/>
        <w:jc w:val="center"/>
        <w:outlineLvl w:val="9"/>
        <w:rPr>
          <w:rFonts w:eastAsia="方正小标宋_GBK"/>
          <w:color w:val="auto"/>
          <w:kern w:val="0"/>
          <w:sz w:val="48"/>
          <w:szCs w:val="48"/>
          <w:highlight w:val="none"/>
        </w:rPr>
      </w:pPr>
      <w:r>
        <w:rPr>
          <w:rFonts w:eastAsia="方正小标宋_GBK"/>
          <w:color w:val="auto"/>
          <w:kern w:val="0"/>
          <w:sz w:val="48"/>
          <w:szCs w:val="48"/>
          <w:highlight w:val="none"/>
        </w:rPr>
        <w:t>绩效评价报告</w:t>
      </w: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color w:val="auto"/>
          <w:sz w:val="48"/>
          <w:szCs w:val="48"/>
          <w:highlight w:val="none"/>
        </w:rPr>
      </w:pPr>
    </w:p>
    <w:p>
      <w:pPr>
        <w:pageBreakBefore w:val="0"/>
        <w:widowControl/>
        <w:kinsoku/>
        <w:wordWrap/>
        <w:overflowPunct/>
        <w:topLinePunct w:val="0"/>
        <w:autoSpaceDE/>
        <w:autoSpaceDN/>
        <w:bidi w:val="0"/>
        <w:adjustRightInd/>
        <w:snapToGrid/>
        <w:spacing w:line="560" w:lineRule="exact"/>
        <w:ind w:left="0"/>
        <w:jc w:val="center"/>
        <w:outlineLvl w:val="9"/>
        <w:rPr>
          <w:rFonts w:ascii="仿宋_GB2312" w:hAnsi="仿宋_GB2312" w:cs="仿宋_GB2312"/>
          <w:b/>
          <w:color w:val="auto"/>
          <w:kern w:val="0"/>
          <w:sz w:val="50"/>
          <w:szCs w:val="50"/>
          <w:highlight w:val="none"/>
          <w:lang w:bidi="en-US"/>
        </w:rPr>
      </w:pPr>
      <w:r>
        <w:rPr>
          <w:rFonts w:hint="eastAsia" w:ascii="红豆小标宋简体" w:hAnsi="红豆小标宋简体" w:eastAsia="红豆小标宋简体" w:cs="红豆小标宋简体"/>
          <w:color w:val="auto"/>
          <w:kern w:val="0"/>
          <w:sz w:val="36"/>
          <w:szCs w:val="36"/>
          <w:highlight w:val="none"/>
        </w:rPr>
        <w:t>（2</w:t>
      </w:r>
      <w:r>
        <w:rPr>
          <w:rFonts w:ascii="红豆小标宋简体" w:hAnsi="红豆小标宋简体" w:eastAsia="红豆小标宋简体" w:cs="红豆小标宋简体"/>
          <w:color w:val="auto"/>
          <w:kern w:val="0"/>
          <w:sz w:val="36"/>
          <w:szCs w:val="36"/>
          <w:highlight w:val="none"/>
        </w:rPr>
        <w:t>02</w:t>
      </w:r>
      <w:r>
        <w:rPr>
          <w:rFonts w:hint="eastAsia" w:ascii="红豆小标宋简体" w:hAnsi="红豆小标宋简体" w:eastAsia="红豆小标宋简体" w:cs="红豆小标宋简体"/>
          <w:color w:val="auto"/>
          <w:kern w:val="0"/>
          <w:sz w:val="36"/>
          <w:szCs w:val="36"/>
          <w:highlight w:val="none"/>
          <w:lang w:val="en-US" w:eastAsia="zh-CN"/>
        </w:rPr>
        <w:t>3</w:t>
      </w:r>
      <w:r>
        <w:rPr>
          <w:rFonts w:hint="eastAsia" w:ascii="红豆小标宋简体" w:hAnsi="红豆小标宋简体" w:eastAsia="红豆小标宋简体" w:cs="红豆小标宋简体"/>
          <w:color w:val="auto"/>
          <w:kern w:val="0"/>
          <w:sz w:val="36"/>
          <w:szCs w:val="36"/>
          <w:highlight w:val="none"/>
        </w:rPr>
        <w:t>年度）</w:t>
      </w: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color w:val="auto"/>
          <w:kern w:val="0"/>
          <w:sz w:val="50"/>
          <w:szCs w:val="50"/>
          <w:highlight w:val="none"/>
          <w:lang w:bidi="en-US"/>
        </w:rPr>
      </w:pPr>
    </w:p>
    <w:p>
      <w:pPr>
        <w:pStyle w:val="2"/>
        <w:rPr>
          <w:rFonts w:ascii="仿宋_GB2312" w:hAnsi="仿宋_GB2312" w:cs="仿宋_GB2312"/>
          <w:b/>
          <w:color w:val="auto"/>
          <w:kern w:val="0"/>
          <w:sz w:val="50"/>
          <w:szCs w:val="50"/>
          <w:highlight w:val="none"/>
          <w:lang w:bidi="en-US"/>
        </w:rPr>
      </w:pPr>
    </w:p>
    <w:p>
      <w:pPr>
        <w:rPr>
          <w:rFonts w:ascii="仿宋_GB2312" w:hAnsi="仿宋_GB2312" w:cs="仿宋_GB2312"/>
          <w:b/>
          <w:color w:val="auto"/>
          <w:kern w:val="0"/>
          <w:sz w:val="50"/>
          <w:szCs w:val="50"/>
          <w:highlight w:val="none"/>
          <w:lang w:bidi="en-US"/>
        </w:rPr>
      </w:pPr>
    </w:p>
    <w:p>
      <w:pPr>
        <w:pStyle w:val="2"/>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color w:val="auto"/>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firstLine="321" w:firstLineChars="100"/>
        <w:jc w:val="both"/>
        <w:outlineLvl w:val="9"/>
        <w:rPr>
          <w:rFonts w:hint="eastAsia"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项目名称：</w:t>
      </w:r>
      <w:r>
        <w:rPr>
          <w:rFonts w:hint="eastAsia" w:ascii="宋体" w:hAnsi="宋体" w:eastAsia="宋体" w:cs="仿宋_GB2312"/>
          <w:b/>
          <w:bCs/>
          <w:color w:val="auto"/>
          <w:kern w:val="0"/>
          <w:sz w:val="32"/>
          <w:szCs w:val="32"/>
          <w:highlight w:val="none"/>
          <w:lang w:eastAsia="zh-CN"/>
        </w:rPr>
        <w:t>霍尔果斯市接待费</w:t>
      </w:r>
    </w:p>
    <w:p>
      <w:pPr>
        <w:pageBreakBefore w:val="0"/>
        <w:kinsoku/>
        <w:wordWrap/>
        <w:overflowPunct/>
        <w:topLinePunct w:val="0"/>
        <w:autoSpaceDE/>
        <w:autoSpaceDN/>
        <w:bidi w:val="0"/>
        <w:adjustRightInd/>
        <w:snapToGrid/>
        <w:spacing w:line="560" w:lineRule="exact"/>
        <w:ind w:left="0"/>
        <w:jc w:val="both"/>
        <w:outlineLvl w:val="9"/>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eastAsia="zh-CN"/>
        </w:rPr>
        <w:t>中共霍尔果斯市委员会办公室</w:t>
      </w:r>
    </w:p>
    <w:p>
      <w:pPr>
        <w:pageBreakBefore w:val="0"/>
        <w:kinsoku/>
        <w:wordWrap/>
        <w:overflowPunct/>
        <w:topLinePunct w:val="0"/>
        <w:autoSpaceDE/>
        <w:autoSpaceDN/>
        <w:bidi w:val="0"/>
        <w:adjustRightInd/>
        <w:snapToGrid/>
        <w:spacing w:line="560" w:lineRule="exact"/>
        <w:ind w:left="0"/>
        <w:jc w:val="both"/>
        <w:outlineLvl w:val="9"/>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bCs/>
          <w:color w:val="auto"/>
          <w:kern w:val="0"/>
          <w:sz w:val="32"/>
          <w:szCs w:val="32"/>
          <w:highlight w:val="none"/>
          <w:lang w:eastAsia="zh-CN"/>
        </w:rPr>
        <w:t>中共霍尔果斯市委员会办公室</w:t>
      </w:r>
    </w:p>
    <w:p>
      <w:pPr>
        <w:pageBreakBefore w:val="0"/>
        <w:kinsoku/>
        <w:wordWrap/>
        <w:overflowPunct/>
        <w:topLinePunct w:val="0"/>
        <w:autoSpaceDE/>
        <w:autoSpaceDN/>
        <w:bidi w:val="0"/>
        <w:adjustRightInd/>
        <w:snapToGrid/>
        <w:spacing w:line="560" w:lineRule="exact"/>
        <w:ind w:left="0" w:firstLine="321" w:firstLineChars="100"/>
        <w:jc w:val="both"/>
        <w:outlineLvl w:val="9"/>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bCs/>
          <w:color w:val="auto"/>
          <w:kern w:val="0"/>
          <w:sz w:val="32"/>
          <w:szCs w:val="32"/>
          <w:highlight w:val="none"/>
          <w:lang w:eastAsia="zh-CN"/>
        </w:rPr>
        <w:t>孙晓萱</w:t>
      </w:r>
    </w:p>
    <w:p>
      <w:pPr>
        <w:pageBreakBefore w:val="0"/>
        <w:kinsoku/>
        <w:wordWrap/>
        <w:overflowPunct/>
        <w:topLinePunct w:val="0"/>
        <w:autoSpaceDE/>
        <w:autoSpaceDN/>
        <w:bidi w:val="0"/>
        <w:adjustRightInd/>
        <w:snapToGrid/>
        <w:spacing w:line="560" w:lineRule="exact"/>
        <w:ind w:left="0" w:firstLine="321" w:firstLineChars="100"/>
        <w:jc w:val="both"/>
        <w:outlineLvl w:val="9"/>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填报时间</w:t>
      </w:r>
      <w:r>
        <w:rPr>
          <w:rFonts w:hint="eastAsia" w:ascii="宋体" w:hAnsi="宋体" w:eastAsia="宋体" w:cs="仿宋_GB2312"/>
          <w:b/>
          <w:bCs/>
          <w:color w:val="auto"/>
          <w:kern w:val="0"/>
          <w:sz w:val="32"/>
          <w:szCs w:val="32"/>
          <w:highlight w:val="none"/>
          <w:lang w:eastAsia="zh-CN"/>
        </w:rPr>
        <w:t>：202</w:t>
      </w:r>
      <w:r>
        <w:rPr>
          <w:rFonts w:hint="eastAsia" w:ascii="宋体" w:hAnsi="宋体" w:eastAsia="宋体" w:cs="仿宋_GB2312"/>
          <w:b/>
          <w:bCs/>
          <w:color w:val="auto"/>
          <w:kern w:val="0"/>
          <w:sz w:val="32"/>
          <w:szCs w:val="32"/>
          <w:highlight w:val="none"/>
          <w:lang w:val="en-US" w:eastAsia="zh-CN"/>
        </w:rPr>
        <w:t>4</w:t>
      </w:r>
      <w:r>
        <w:rPr>
          <w:rFonts w:hint="eastAsia" w:ascii="宋体" w:hAnsi="宋体" w:eastAsia="宋体" w:cs="仿宋_GB2312"/>
          <w:b/>
          <w:bCs/>
          <w:color w:val="auto"/>
          <w:kern w:val="0"/>
          <w:sz w:val="32"/>
          <w:szCs w:val="32"/>
          <w:highlight w:val="none"/>
          <w:lang w:eastAsia="zh-CN"/>
        </w:rPr>
        <w:t xml:space="preserve">年 </w:t>
      </w:r>
      <w:r>
        <w:rPr>
          <w:rFonts w:hint="eastAsia" w:ascii="宋体" w:hAnsi="宋体" w:eastAsia="宋体" w:cs="仿宋_GB2312"/>
          <w:b/>
          <w:bCs/>
          <w:color w:val="auto"/>
          <w:kern w:val="0"/>
          <w:sz w:val="32"/>
          <w:szCs w:val="32"/>
          <w:highlight w:val="none"/>
          <w:lang w:val="en-US" w:eastAsia="zh-CN"/>
        </w:rPr>
        <w:t>4</w:t>
      </w:r>
      <w:r>
        <w:rPr>
          <w:rFonts w:hint="eastAsia" w:ascii="宋体" w:hAnsi="宋体" w:eastAsia="宋体" w:cs="仿宋_GB2312"/>
          <w:b/>
          <w:bCs/>
          <w:color w:val="auto"/>
          <w:kern w:val="0"/>
          <w:sz w:val="32"/>
          <w:szCs w:val="32"/>
          <w:highlight w:val="none"/>
          <w:lang w:eastAsia="zh-CN"/>
        </w:rPr>
        <w:t xml:space="preserve"> 月  </w:t>
      </w:r>
      <w:r>
        <w:rPr>
          <w:rFonts w:hint="eastAsia" w:ascii="宋体" w:hAnsi="宋体" w:eastAsia="宋体" w:cs="仿宋_GB2312"/>
          <w:b/>
          <w:bCs/>
          <w:color w:val="auto"/>
          <w:kern w:val="0"/>
          <w:sz w:val="32"/>
          <w:szCs w:val="32"/>
          <w:highlight w:val="none"/>
          <w:lang w:val="en-US" w:eastAsia="zh-CN"/>
        </w:rPr>
        <w:t>1</w:t>
      </w:r>
      <w:r>
        <w:rPr>
          <w:rFonts w:hint="eastAsia" w:ascii="宋体" w:hAnsi="宋体" w:eastAsia="宋体" w:cs="仿宋_GB2312"/>
          <w:b/>
          <w:bCs/>
          <w:color w:val="auto"/>
          <w:kern w:val="0"/>
          <w:sz w:val="32"/>
          <w:szCs w:val="32"/>
          <w:highlight w:val="none"/>
          <w:lang w:eastAsia="zh-CN"/>
        </w:rPr>
        <w:t xml:space="preserve"> 日</w:t>
      </w:r>
    </w:p>
    <w:p>
      <w:pPr>
        <w:pageBreakBefore w:val="0"/>
        <w:widowControl/>
        <w:kinsoku/>
        <w:wordWrap/>
        <w:overflowPunct/>
        <w:topLinePunct w:val="0"/>
        <w:autoSpaceDE/>
        <w:autoSpaceDN/>
        <w:bidi w:val="0"/>
        <w:adjustRightInd/>
        <w:snapToGrid/>
        <w:spacing w:line="560" w:lineRule="exact"/>
        <w:ind w:left="0"/>
        <w:jc w:val="left"/>
        <w:outlineLvl w:val="9"/>
        <w:rPr>
          <w:rFonts w:ascii="宋体" w:hAnsi="宋体" w:eastAsia="宋体" w:cs="Arial"/>
          <w:b/>
          <w:bCs/>
          <w:color w:val="auto"/>
          <w:sz w:val="36"/>
          <w:szCs w:val="36"/>
          <w:highlight w:val="none"/>
        </w:rPr>
      </w:pPr>
      <w:r>
        <w:rPr>
          <w:rFonts w:ascii="宋体" w:hAnsi="宋体" w:eastAsia="宋体" w:cs="Arial"/>
          <w:b/>
          <w:bCs/>
          <w:color w:val="auto"/>
          <w:sz w:val="36"/>
          <w:szCs w:val="36"/>
          <w:highlight w:val="none"/>
        </w:rPr>
        <w:br w:type="page"/>
      </w:r>
    </w:p>
    <w:p>
      <w:pPr>
        <w:pageBreakBefore w:val="0"/>
        <w:numPr>
          <w:ilvl w:val="0"/>
          <w:numId w:val="0"/>
        </w:numPr>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bCs/>
          <w:color w:val="auto"/>
          <w:sz w:val="32"/>
          <w:szCs w:val="32"/>
          <w:highlight w:val="none"/>
        </w:rPr>
      </w:pPr>
      <w:bookmarkStart w:id="0" w:name="_Toc68703827"/>
      <w:r>
        <w:rPr>
          <w:rFonts w:hint="eastAsia" w:eastAsia="黑体" w:cs="Times New Roman"/>
          <w:bCs/>
          <w:color w:val="auto"/>
          <w:sz w:val="32"/>
          <w:szCs w:val="32"/>
          <w:highlight w:val="none"/>
          <w:lang w:eastAsia="zh-CN"/>
        </w:rPr>
        <w:t>一、</w:t>
      </w:r>
      <w:r>
        <w:rPr>
          <w:rFonts w:hint="eastAsia" w:ascii="Times New Roman" w:hAnsi="Times New Roman" w:eastAsia="黑体" w:cs="Times New Roman"/>
          <w:bCs/>
          <w:color w:val="auto"/>
          <w:sz w:val="32"/>
          <w:szCs w:val="32"/>
          <w:highlight w:val="none"/>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（一）</w:t>
      </w:r>
      <w:r>
        <w:rPr>
          <w:rFonts w:hint="eastAsia"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left="0" w:firstLine="320" w:firstLineChars="1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val="0"/>
          <w:bCs w:val="0"/>
          <w:color w:val="auto"/>
          <w:sz w:val="32"/>
          <w:szCs w:val="32"/>
          <w:highlight w:val="none"/>
          <w:lang w:val="en-US" w:eastAsia="zh-CN"/>
        </w:rPr>
        <w:t>　</w:t>
      </w:r>
      <w:r>
        <w:rPr>
          <w:rFonts w:hint="eastAsia" w:ascii="Times New Roman" w:hAnsi="Times New Roman" w:eastAsia="仿宋_GB2312" w:cs="Times New Roman"/>
          <w:b/>
          <w:bCs/>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auto"/>
          <w:sz w:val="32"/>
          <w:szCs w:val="32"/>
          <w:highlight w:val="none"/>
        </w:rPr>
      </w:pPr>
      <w:r>
        <w:rPr>
          <w:rFonts w:hint="eastAsia" w:eastAsia="仿宋_GB2312"/>
          <w:color w:val="auto"/>
          <w:sz w:val="32"/>
          <w:szCs w:val="32"/>
          <w:highlight w:val="none"/>
        </w:rPr>
        <w:t>根据上级要求和我市党委对“高质量建设霍尔果斯”的要求，我市将每年用于申请一部分金额用于保障和完成霍尔果斯全年接待任务。保证每次公务接待均要按照科学周密的接待方案，遵循厉行节约的原则和作风建设要求，落实责任，分工明确，确保细致全面地完成接待任务。</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auto"/>
          <w:sz w:val="32"/>
          <w:szCs w:val="32"/>
          <w:highlight w:val="none"/>
        </w:rPr>
      </w:pPr>
      <w:r>
        <w:rPr>
          <w:rFonts w:hint="eastAsia" w:eastAsia="仿宋_GB2312"/>
          <w:color w:val="auto"/>
          <w:sz w:val="32"/>
          <w:szCs w:val="32"/>
          <w:highlight w:val="none"/>
        </w:rPr>
        <w:t>增加政府间的沟通和协调公务接待是各国政府之间加强联系协调关系的重要方式,可以促进国家之间的意识形态交流,增进相互之间的了解和信任。</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auto"/>
          <w:sz w:val="32"/>
          <w:szCs w:val="32"/>
          <w:highlight w:val="none"/>
        </w:rPr>
      </w:pPr>
      <w:r>
        <w:rPr>
          <w:rFonts w:hint="eastAsia" w:eastAsia="仿宋_GB2312"/>
          <w:color w:val="auto"/>
          <w:sz w:val="32"/>
          <w:szCs w:val="32"/>
          <w:highlight w:val="none"/>
        </w:rPr>
        <w:t>展示国家的形象和实力公务接待不仅仅可以展示一个国家的文化底蕴、生态环境和政治制度,更可以通过会议、访问、签约等形式,展现一个国家的经济实力、科技实力和国际影响力。</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outlineLvl w:val="9"/>
        <w:rPr>
          <w:rFonts w:eastAsia="仿宋_GB2312"/>
          <w:color w:val="auto"/>
          <w:sz w:val="32"/>
          <w:szCs w:val="32"/>
          <w:highlight w:val="none"/>
        </w:rPr>
      </w:pPr>
      <w:r>
        <w:rPr>
          <w:rFonts w:hint="eastAsia" w:eastAsia="仿宋_GB2312"/>
          <w:color w:val="auto"/>
          <w:sz w:val="32"/>
          <w:szCs w:val="32"/>
          <w:highlight w:val="none"/>
        </w:rPr>
        <w:t>促进国际贸易</w:t>
      </w:r>
      <w:r>
        <w:rPr>
          <w:rFonts w:hint="eastAsia"/>
          <w:color w:val="auto"/>
          <w:sz w:val="32"/>
          <w:szCs w:val="32"/>
          <w:highlight w:val="none"/>
          <w:lang w:eastAsia="zh-CN"/>
        </w:rPr>
        <w:t>、</w:t>
      </w:r>
      <w:r>
        <w:rPr>
          <w:rFonts w:hint="eastAsia" w:eastAsia="仿宋_GB2312"/>
          <w:color w:val="auto"/>
          <w:sz w:val="32"/>
          <w:szCs w:val="32"/>
          <w:highlight w:val="none"/>
        </w:rPr>
        <w:t>投资和合作公务接待有助于各国政府和商业机构之间的合作和交流,扩大企业的国际视野和市场空间,促进贸易投资和技术合作。</w:t>
      </w:r>
    </w:p>
    <w:p>
      <w:pPr>
        <w:pageBreakBefore w:val="0"/>
        <w:widowControl w:val="0"/>
        <w:numPr>
          <w:ilvl w:val="0"/>
          <w:numId w:val="0"/>
        </w:numPr>
        <w:kinsoku/>
        <w:wordWrap/>
        <w:overflowPunct/>
        <w:topLinePunct w:val="0"/>
        <w:autoSpaceDE/>
        <w:autoSpaceDN/>
        <w:bidi w:val="0"/>
        <w:adjustRightInd/>
        <w:snapToGrid/>
        <w:spacing w:line="560" w:lineRule="exact"/>
        <w:ind w:left="0" w:firstLine="320" w:firstLineChars="100"/>
        <w:textAlignment w:val="auto"/>
        <w:outlineLvl w:val="9"/>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w:t>
      </w:r>
      <w:r>
        <w:rPr>
          <w:rFonts w:hint="eastAsia" w:ascii="Times New Roman" w:hAnsi="Times New Roman" w:eastAsia="仿宋_GB2312" w:cs="Times New Roman"/>
          <w:b/>
          <w:bCs/>
          <w:kern w:val="2"/>
          <w:sz w:val="32"/>
          <w:szCs w:val="32"/>
          <w:lang w:val="en-US" w:eastAsia="zh-CN" w:bidi="ar-SA"/>
        </w:rPr>
        <w:t>2.</w:t>
      </w:r>
      <w:r>
        <w:rPr>
          <w:rFonts w:hint="eastAsia" w:ascii="Times New Roman" w:hAnsi="Times New Roman" w:cs="Times New Roman"/>
          <w:b/>
          <w:bCs/>
          <w:kern w:val="2"/>
          <w:sz w:val="32"/>
          <w:szCs w:val="32"/>
          <w:lang w:val="en-US" w:eastAsia="zh-CN" w:bidi="ar-SA"/>
        </w:rPr>
        <w:t>项目</w:t>
      </w:r>
      <w:r>
        <w:rPr>
          <w:rFonts w:hint="eastAsia" w:ascii="Times New Roman" w:hAnsi="Times New Roman" w:eastAsia="仿宋_GB2312" w:cs="Times New Roman"/>
          <w:b/>
          <w:bCs/>
          <w:kern w:val="2"/>
          <w:sz w:val="32"/>
          <w:szCs w:val="32"/>
          <w:lang w:val="en-US" w:eastAsia="zh-CN" w:bidi="ar-SA"/>
        </w:rPr>
        <w:t>主要内容</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eastAsia="仿宋_GB2312"/>
          <w:color w:val="auto"/>
          <w:sz w:val="32"/>
          <w:szCs w:val="32"/>
          <w:highlight w:val="none"/>
          <w:lang w:eastAsia="zh-CN"/>
        </w:rPr>
      </w:pPr>
      <w:r>
        <w:rPr>
          <w:rFonts w:hint="eastAsia" w:ascii="仿宋_GB2312"/>
          <w:color w:val="auto"/>
          <w:sz w:val="32"/>
          <w:szCs w:val="32"/>
          <w:highlight w:val="none"/>
        </w:rPr>
        <w:t>主要内容：</w:t>
      </w:r>
      <w:r>
        <w:rPr>
          <w:rFonts w:hint="eastAsia" w:ascii="仿宋_GB2312"/>
          <w:color w:val="auto"/>
          <w:sz w:val="32"/>
          <w:szCs w:val="32"/>
          <w:highlight w:val="none"/>
          <w:lang w:eastAsia="zh-CN"/>
        </w:rPr>
        <w:t>霍尔果斯市接待费，</w:t>
      </w:r>
      <w:r>
        <w:rPr>
          <w:rFonts w:hint="eastAsia" w:eastAsia="仿宋_GB2312"/>
          <w:color w:val="auto"/>
          <w:sz w:val="32"/>
          <w:szCs w:val="32"/>
          <w:highlight w:val="none"/>
        </w:rPr>
        <w:t>我市将每年用于申请一部分金额用于保障和完成霍尔果斯全年接待任务。保证每次公务接待均要按照科学周密的接待方案，遵循厉行节约的原则和作风建设要求，落实责任，分工明确，确保细致全面地完成接待任务。</w:t>
      </w:r>
    </w:p>
    <w:p>
      <w:pPr>
        <w:pageBreakBefore w:val="0"/>
        <w:kinsoku/>
        <w:wordWrap/>
        <w:overflowPunct/>
        <w:topLinePunct w:val="0"/>
        <w:autoSpaceDE/>
        <w:autoSpaceDN/>
        <w:bidi w:val="0"/>
        <w:adjustRightInd/>
        <w:snapToGrid/>
        <w:spacing w:line="560" w:lineRule="exact"/>
        <w:ind w:left="0" w:firstLine="640" w:firstLineChars="200"/>
        <w:outlineLvl w:val="9"/>
        <w:rPr>
          <w:color w:val="auto"/>
          <w:highlight w:val="none"/>
        </w:rPr>
      </w:pPr>
      <w:r>
        <w:rPr>
          <w:rFonts w:hint="eastAsia" w:ascii="仿宋_GB2312"/>
          <w:color w:val="auto"/>
          <w:sz w:val="32"/>
          <w:szCs w:val="32"/>
          <w:highlight w:val="none"/>
        </w:rPr>
        <w:t>实施情况：</w:t>
      </w:r>
      <w:r>
        <w:rPr>
          <w:rFonts w:eastAsia="仿宋_GB2312"/>
          <w:color w:val="auto"/>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cs="Times New Roman"/>
          <w:b w:val="0"/>
          <w:bCs w:val="0"/>
          <w:color w:val="auto"/>
          <w:sz w:val="32"/>
          <w:szCs w:val="32"/>
          <w:highlight w:val="none"/>
          <w:lang w:eastAsia="zh-CN"/>
        </w:rPr>
      </w:pPr>
      <w:r>
        <w:rPr>
          <w:rFonts w:eastAsia="仿宋_GB2312"/>
          <w:b/>
          <w:bCs/>
          <w:sz w:val="32"/>
          <w:szCs w:val="32"/>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auto"/>
          <w:sz w:val="32"/>
          <w:szCs w:val="32"/>
          <w:highlight w:val="none"/>
        </w:rPr>
      </w:pPr>
      <w:r>
        <w:rPr>
          <w:rFonts w:hint="eastAsia"/>
          <w:color w:val="auto"/>
          <w:sz w:val="32"/>
          <w:szCs w:val="32"/>
          <w:highlight w:val="none"/>
          <w:lang w:eastAsia="zh-CN"/>
        </w:rPr>
        <w:t>（</w:t>
      </w:r>
      <w:r>
        <w:rPr>
          <w:rFonts w:hint="eastAsia"/>
          <w:color w:val="auto"/>
          <w:sz w:val="32"/>
          <w:szCs w:val="32"/>
          <w:highlight w:val="none"/>
          <w:lang w:val="en-US" w:eastAsia="zh-CN"/>
        </w:rPr>
        <w:t>1）</w:t>
      </w:r>
      <w:r>
        <w:rPr>
          <w:rFonts w:hint="eastAsia"/>
          <w:color w:val="auto"/>
          <w:sz w:val="32"/>
          <w:szCs w:val="32"/>
          <w:highlight w:val="none"/>
        </w:rPr>
        <w:t>资金投入情况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color w:val="auto"/>
          <w:sz w:val="32"/>
          <w:szCs w:val="32"/>
          <w:highlight w:val="none"/>
        </w:rPr>
      </w:pPr>
      <w:r>
        <w:rPr>
          <w:rFonts w:hint="eastAsia"/>
          <w:color w:val="auto"/>
          <w:sz w:val="32"/>
          <w:szCs w:val="32"/>
          <w:highlight w:val="none"/>
        </w:rPr>
        <w:t>该项目年初预算数</w:t>
      </w:r>
      <w:r>
        <w:rPr>
          <w:rFonts w:hint="eastAsia"/>
          <w:color w:val="auto"/>
          <w:sz w:val="32"/>
          <w:szCs w:val="32"/>
          <w:highlight w:val="none"/>
          <w:lang w:val="en-US" w:eastAsia="zh-CN"/>
        </w:rPr>
        <w:t>94.48</w:t>
      </w:r>
      <w:r>
        <w:rPr>
          <w:rFonts w:hint="eastAsia"/>
          <w:color w:val="auto"/>
          <w:sz w:val="32"/>
          <w:szCs w:val="32"/>
          <w:highlight w:val="none"/>
        </w:rPr>
        <w:t>万元，全年预算数</w:t>
      </w:r>
      <w:r>
        <w:rPr>
          <w:rFonts w:hint="eastAsia"/>
          <w:color w:val="auto"/>
          <w:sz w:val="32"/>
          <w:szCs w:val="32"/>
          <w:highlight w:val="none"/>
          <w:lang w:val="en-US" w:eastAsia="zh-CN"/>
        </w:rPr>
        <w:t>94.48</w:t>
      </w:r>
      <w:r>
        <w:rPr>
          <w:rFonts w:hint="eastAsia"/>
          <w:color w:val="auto"/>
          <w:sz w:val="32"/>
          <w:szCs w:val="32"/>
          <w:highlight w:val="none"/>
        </w:rPr>
        <w:t>万元，实际总投入</w:t>
      </w:r>
      <w:r>
        <w:rPr>
          <w:rFonts w:hint="eastAsia"/>
          <w:color w:val="auto"/>
          <w:sz w:val="32"/>
          <w:szCs w:val="32"/>
          <w:highlight w:val="none"/>
          <w:lang w:val="en-US" w:eastAsia="zh-CN"/>
        </w:rPr>
        <w:t>94.48</w:t>
      </w:r>
      <w:r>
        <w:rPr>
          <w:rFonts w:hint="eastAsia"/>
          <w:color w:val="auto"/>
          <w:sz w:val="32"/>
          <w:szCs w:val="32"/>
          <w:highlight w:val="none"/>
        </w:rPr>
        <w:t>万元，该项目资金已全部落实到位</w:t>
      </w:r>
      <w:r>
        <w:rPr>
          <w:rFonts w:hint="eastAsia"/>
          <w:color w:val="auto"/>
          <w:sz w:val="32"/>
          <w:szCs w:val="32"/>
          <w:highlight w:val="none"/>
          <w:lang w:val="en-US" w:eastAsia="zh-CN"/>
        </w:rPr>
        <w:t>94.48</w:t>
      </w:r>
      <w:r>
        <w:rPr>
          <w:rFonts w:hint="eastAsia"/>
          <w:color w:val="auto"/>
          <w:sz w:val="32"/>
          <w:szCs w:val="32"/>
          <w:highlight w:val="none"/>
        </w:rPr>
        <w:t>万元，资金来源为</w:t>
      </w:r>
      <w:r>
        <w:rPr>
          <w:rFonts w:hint="eastAsia"/>
          <w:color w:val="auto"/>
          <w:sz w:val="32"/>
          <w:szCs w:val="32"/>
          <w:highlight w:val="none"/>
          <w:lang w:val="en-US" w:eastAsia="zh-CN"/>
        </w:rPr>
        <w:t>年初部门预算</w:t>
      </w:r>
      <w:r>
        <w:rPr>
          <w:rFonts w:hint="eastAsia"/>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auto"/>
          <w:sz w:val="32"/>
          <w:szCs w:val="32"/>
          <w:highlight w:val="none"/>
        </w:rPr>
      </w:pPr>
      <w:r>
        <w:rPr>
          <w:rFonts w:hint="eastAsia"/>
          <w:color w:val="auto"/>
          <w:sz w:val="32"/>
          <w:szCs w:val="32"/>
          <w:highlight w:val="none"/>
          <w:lang w:eastAsia="zh-CN"/>
        </w:rPr>
        <w:t>（</w:t>
      </w:r>
      <w:r>
        <w:rPr>
          <w:rFonts w:hint="eastAsia"/>
          <w:color w:val="auto"/>
          <w:sz w:val="32"/>
          <w:szCs w:val="32"/>
          <w:highlight w:val="none"/>
          <w:lang w:val="en-US" w:eastAsia="zh-CN"/>
        </w:rPr>
        <w:t>2）</w:t>
      </w:r>
      <w:r>
        <w:rPr>
          <w:rFonts w:hint="eastAsia"/>
          <w:color w:val="auto"/>
          <w:sz w:val="32"/>
          <w:szCs w:val="32"/>
          <w:highlight w:val="none"/>
        </w:rPr>
        <w:t>资金使用情况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auto"/>
          <w:sz w:val="32"/>
          <w:szCs w:val="32"/>
          <w:highlight w:val="none"/>
        </w:rPr>
      </w:pPr>
      <w:r>
        <w:rPr>
          <w:rFonts w:hint="eastAsia"/>
          <w:color w:val="auto"/>
          <w:sz w:val="32"/>
          <w:szCs w:val="32"/>
          <w:highlight w:val="none"/>
        </w:rPr>
        <w:t>该项目年初预算数</w:t>
      </w:r>
      <w:r>
        <w:rPr>
          <w:rFonts w:hint="eastAsia"/>
          <w:color w:val="auto"/>
          <w:sz w:val="32"/>
          <w:szCs w:val="32"/>
          <w:highlight w:val="none"/>
          <w:lang w:val="en-US" w:eastAsia="zh-CN"/>
        </w:rPr>
        <w:t>94.48</w:t>
      </w:r>
      <w:r>
        <w:rPr>
          <w:rFonts w:hint="eastAsia"/>
          <w:color w:val="auto"/>
          <w:sz w:val="32"/>
          <w:szCs w:val="32"/>
          <w:highlight w:val="none"/>
        </w:rPr>
        <w:t>万元，全年预算数</w:t>
      </w:r>
      <w:r>
        <w:rPr>
          <w:rFonts w:hint="eastAsia"/>
          <w:color w:val="auto"/>
          <w:sz w:val="32"/>
          <w:szCs w:val="32"/>
          <w:highlight w:val="none"/>
          <w:lang w:val="en-US" w:eastAsia="zh-CN"/>
        </w:rPr>
        <w:t>94.48</w:t>
      </w:r>
      <w:r>
        <w:rPr>
          <w:rFonts w:hint="eastAsia"/>
          <w:color w:val="auto"/>
          <w:sz w:val="32"/>
          <w:szCs w:val="32"/>
          <w:highlight w:val="none"/>
        </w:rPr>
        <w:t>万元，全年执行数</w:t>
      </w:r>
      <w:r>
        <w:rPr>
          <w:rFonts w:hint="eastAsia"/>
          <w:color w:val="auto"/>
          <w:sz w:val="32"/>
          <w:szCs w:val="32"/>
          <w:highlight w:val="none"/>
          <w:lang w:val="en-US" w:eastAsia="zh-CN"/>
        </w:rPr>
        <w:t>94.48</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bookmarkStart w:id="2" w:name="_Toc68703829"/>
      <w:r>
        <w:rPr>
          <w:rFonts w:hint="eastAsia"/>
          <w:color w:val="auto"/>
          <w:sz w:val="32"/>
          <w:szCs w:val="32"/>
          <w:highlight w:val="none"/>
          <w:lang w:eastAsia="zh-CN"/>
        </w:rPr>
        <w:t>接待来访霍尔果斯市的干部职工。</w:t>
      </w:r>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0" w:firstLine="64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left="0" w:firstLine="640"/>
        <w:textAlignment w:val="auto"/>
        <w:outlineLvl w:val="9"/>
        <w:rPr>
          <w:rFonts w:hint="eastAsia"/>
          <w:color w:val="auto"/>
          <w:sz w:val="32"/>
          <w:szCs w:val="32"/>
          <w:highlight w:val="none"/>
        </w:rPr>
      </w:pPr>
      <w:r>
        <w:rPr>
          <w:rFonts w:hint="eastAsia"/>
          <w:color w:val="auto"/>
          <w:sz w:val="32"/>
          <w:szCs w:val="32"/>
          <w:highlight w:val="none"/>
        </w:rPr>
        <w:t>公务接待费用全部用在“全市接待费用”科目中，规避超出预算值。</w:t>
      </w:r>
    </w:p>
    <w:p>
      <w:pPr>
        <w:pageBreakBefore w:val="0"/>
        <w:numPr>
          <w:ilvl w:val="0"/>
          <w:numId w:val="0"/>
        </w:numPr>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cs="Times New Roman"/>
          <w:b w:val="0"/>
          <w:bCs w:val="0"/>
          <w:color w:val="auto"/>
          <w:sz w:val="32"/>
          <w:szCs w:val="32"/>
          <w:highlight w:val="none"/>
          <w:lang w:val="en-US" w:eastAsia="zh-CN"/>
        </w:rPr>
        <w:t>2.</w:t>
      </w:r>
      <w:r>
        <w:rPr>
          <w:rFonts w:hint="eastAsia" w:ascii="Times New Roman" w:hAnsi="Times New Roman" w:eastAsia="仿宋_GB2312" w:cs="Times New Roman"/>
          <w:b w:val="0"/>
          <w:bCs w:val="0"/>
          <w:color w:val="auto"/>
          <w:sz w:val="32"/>
          <w:szCs w:val="32"/>
          <w:highlight w:val="none"/>
          <w:lang w:val="en-US" w:eastAsia="zh-CN"/>
        </w:rPr>
        <w:t>阶段性目标：</w:t>
      </w:r>
      <w:bookmarkStart w:id="3" w:name="_Toc68703830"/>
    </w:p>
    <w:p>
      <w:pPr>
        <w:keepNext w:val="0"/>
        <w:keepLines w:val="0"/>
        <w:pageBreakBefore w:val="0"/>
        <w:widowControl w:val="0"/>
        <w:kinsoku/>
        <w:wordWrap/>
        <w:overflowPunct/>
        <w:topLinePunct w:val="0"/>
        <w:autoSpaceDE/>
        <w:autoSpaceDN/>
        <w:bidi w:val="0"/>
        <w:adjustRightInd/>
        <w:snapToGrid/>
        <w:spacing w:line="560" w:lineRule="exact"/>
        <w:ind w:left="0" w:firstLine="640"/>
        <w:textAlignment w:val="auto"/>
        <w:outlineLvl w:val="9"/>
        <w:rPr>
          <w:rFonts w:hint="eastAsia" w:ascii="Times New Roman" w:hAnsi="Times New Roman" w:eastAsia="黑体" w:cs="Times New Roman"/>
          <w:bCs/>
          <w:color w:val="auto"/>
          <w:sz w:val="32"/>
          <w:szCs w:val="32"/>
          <w:highlight w:val="none"/>
          <w:lang w:val="en-US" w:eastAsia="zh-CN"/>
        </w:rPr>
      </w:pPr>
      <w:r>
        <w:rPr>
          <w:rFonts w:hint="eastAsia"/>
          <w:color w:val="auto"/>
          <w:sz w:val="32"/>
          <w:szCs w:val="32"/>
          <w:highlight w:val="none"/>
        </w:rPr>
        <w:t>根据上级要求和我市党委对“高质量建设霍尔果斯”的要求，我市将每年用于申请一部分金额用于保障和完成霍尔果斯全年接待任务。保证每次公务接待均要按照科学周密的接待方案，遵循厉行节约的原则和作风建设要求，落实责任，分工明确，确保细致全面地完成接待任务。</w:t>
      </w:r>
    </w:p>
    <w:p>
      <w:pPr>
        <w:pageBreakBefore w:val="0"/>
        <w:numPr>
          <w:ilvl w:val="0"/>
          <w:numId w:val="0"/>
        </w:numPr>
        <w:kinsoku/>
        <w:wordWrap/>
        <w:overflowPunct/>
        <w:topLinePunct w:val="0"/>
        <w:autoSpaceDE/>
        <w:autoSpaceDN/>
        <w:bidi w:val="0"/>
        <w:adjustRightInd/>
        <w:snapToGrid/>
        <w:spacing w:line="560" w:lineRule="exact"/>
        <w:ind w:left="0" w:leftChars="0" w:firstLine="320" w:firstLineChars="100"/>
        <w:outlineLvl w:val="9"/>
        <w:rPr>
          <w:rFonts w:hint="eastAsia" w:ascii="Times New Roman" w:hAnsi="Times New Roman" w:eastAsia="黑体" w:cs="Times New Roman"/>
          <w:bCs/>
          <w:color w:val="auto"/>
          <w:sz w:val="32"/>
          <w:szCs w:val="32"/>
          <w:highlight w:val="none"/>
          <w:lang w:val="en-US" w:eastAsia="zh-CN"/>
        </w:rPr>
      </w:pPr>
      <w:r>
        <w:rPr>
          <w:rFonts w:hint="eastAsia" w:ascii="Times New Roman" w:hAnsi="Times New Roman" w:eastAsia="黑体" w:cs="Times New Roman"/>
          <w:bCs/>
          <w:color w:val="auto"/>
          <w:sz w:val="32"/>
          <w:szCs w:val="32"/>
          <w:highlight w:val="none"/>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楷体_GB2312" w:cs="Times New Roman"/>
          <w:b/>
          <w:bCs/>
          <w:color w:val="auto"/>
          <w:sz w:val="32"/>
          <w:szCs w:val="32"/>
          <w:highlight w:val="none"/>
          <w:lang w:eastAsia="zh-CN"/>
        </w:rPr>
      </w:pPr>
      <w:bookmarkStart w:id="4" w:name="_Toc68703831"/>
      <w:r>
        <w:rPr>
          <w:rFonts w:hint="eastAsia"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left="0" w:firstLine="320" w:firstLineChars="1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1.绩效评价目的</w:t>
      </w:r>
    </w:p>
    <w:p>
      <w:pPr>
        <w:pageBreakBefore w:val="0"/>
        <w:kinsoku/>
        <w:wordWrap/>
        <w:overflowPunct/>
        <w:topLinePunct w:val="0"/>
        <w:autoSpaceDE/>
        <w:autoSpaceDN/>
        <w:bidi w:val="0"/>
        <w:adjustRightInd/>
        <w:snapToGrid/>
        <w:spacing w:line="560" w:lineRule="exact"/>
        <w:ind w:left="0" w:firstLine="640" w:firstLineChars="200"/>
        <w:outlineLvl w:val="9"/>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left="0" w:firstLine="640" w:firstLineChars="200"/>
        <w:outlineLvl w:val="9"/>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outlineLvl w:val="9"/>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0"/>
        <w:pageBreakBefore w:val="0"/>
        <w:kinsoku/>
        <w:wordWrap/>
        <w:overflowPunct/>
        <w:topLinePunct w:val="0"/>
        <w:autoSpaceDE/>
        <w:autoSpaceDN/>
        <w:bidi w:val="0"/>
        <w:adjustRightInd/>
        <w:snapToGrid/>
        <w:spacing w:line="560" w:lineRule="exact"/>
        <w:ind w:left="0" w:firstLine="640" w:firstLineChars="200"/>
        <w:outlineLvl w:val="9"/>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bCs/>
          <w:color w:val="auto"/>
          <w:sz w:val="30"/>
          <w:szCs w:val="30"/>
          <w:highlight w:val="none"/>
          <w:lang w:val="en-US" w:eastAsia="zh-CN"/>
        </w:rPr>
        <w:t>　</w:t>
      </w:r>
      <w:r>
        <w:rPr>
          <w:rFonts w:hint="eastAsia" w:cs="Times New Roman"/>
          <w:b/>
          <w:bCs/>
          <w:color w:val="auto"/>
          <w:sz w:val="30"/>
          <w:szCs w:val="30"/>
          <w:highlight w:val="none"/>
          <w:lang w:val="en-US" w:eastAsia="zh-CN"/>
        </w:rPr>
        <w:t xml:space="preserve">  </w:t>
      </w:r>
      <w:r>
        <w:rPr>
          <w:rFonts w:hint="eastAsia" w:ascii="Times New Roman" w:hAnsi="Times New Roman" w:eastAsia="仿宋_GB2312" w:cs="Times New Roman"/>
          <w:b w:val="0"/>
          <w:bCs w:val="0"/>
          <w:color w:val="auto"/>
          <w:sz w:val="32"/>
          <w:szCs w:val="32"/>
          <w:highlight w:val="none"/>
          <w:lang w:val="en-US" w:eastAsia="zh-CN"/>
        </w:rPr>
        <w:t>2.绩效评价对象：</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eastAsia="zh-CN"/>
        </w:rPr>
        <w:t>霍尔果斯市接待费</w:t>
      </w:r>
      <w:r>
        <w:rPr>
          <w:rFonts w:hint="eastAsia" w:ascii="仿宋_GB2312" w:hAnsi="仿宋_GB2312" w:eastAsia="仿宋_GB2312" w:cs="仿宋_GB2312"/>
          <w:color w:val="auto"/>
          <w:sz w:val="32"/>
          <w:szCs w:val="32"/>
          <w:highlight w:val="none"/>
        </w:rPr>
        <w:t>项目所包含的全部项目内容。</w:t>
      </w:r>
    </w:p>
    <w:p>
      <w:pPr>
        <w:pageBreakBefore w:val="0"/>
        <w:kinsoku/>
        <w:wordWrap/>
        <w:overflowPunct/>
        <w:topLinePunct w:val="0"/>
        <w:autoSpaceDE/>
        <w:autoSpaceDN/>
        <w:bidi w:val="0"/>
        <w:adjustRightInd/>
        <w:snapToGrid/>
        <w:spacing w:line="560" w:lineRule="exact"/>
        <w:ind w:left="0"/>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w:t>
      </w:r>
      <w:r>
        <w:rPr>
          <w:rFonts w:hint="eastAsia" w:cs="Times New Roman"/>
          <w:b w:val="0"/>
          <w:bCs w:val="0"/>
          <w:color w:val="auto"/>
          <w:sz w:val="32"/>
          <w:szCs w:val="32"/>
          <w:highlight w:val="none"/>
          <w:lang w:val="en-US" w:eastAsia="zh-CN"/>
        </w:rPr>
        <w:t xml:space="preserve">  </w:t>
      </w:r>
      <w:r>
        <w:rPr>
          <w:rFonts w:hint="eastAsia" w:ascii="Times New Roman" w:hAnsi="Times New Roman" w:eastAsia="仿宋_GB2312" w:cs="Times New Roman"/>
          <w:b w:val="0"/>
          <w:bCs w:val="0"/>
          <w:color w:val="auto"/>
          <w:sz w:val="32"/>
          <w:szCs w:val="32"/>
          <w:highlight w:val="none"/>
          <w:lang w:val="en-US" w:eastAsia="zh-CN"/>
        </w:rPr>
        <w:t>3.绩效评价范围：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highlight w:val="none"/>
          <w:lang w:eastAsia="zh-CN"/>
        </w:rPr>
        <w:t>霍尔果斯市接待费</w:t>
      </w:r>
      <w:r>
        <w:rPr>
          <w:rFonts w:hint="eastAsia"/>
          <w:color w:val="auto"/>
          <w:sz w:val="32"/>
          <w:szCs w:val="32"/>
          <w:highlight w:val="none"/>
        </w:rPr>
        <w:t>评价，评价核心为资金的支出完成情况和效果。</w:t>
      </w:r>
    </w:p>
    <w:p>
      <w:pPr>
        <w:pageBreakBefore w:val="0"/>
        <w:widowControl w:val="0"/>
        <w:kinsoku/>
        <w:wordWrap/>
        <w:overflowPunct/>
        <w:topLinePunct w:val="0"/>
        <w:autoSpaceDE/>
        <w:autoSpaceDN/>
        <w:bidi w:val="0"/>
        <w:adjustRightInd/>
        <w:snapToGrid/>
        <w:spacing w:before="0" w:after="0" w:line="560" w:lineRule="exact"/>
        <w:ind w:left="0"/>
        <w:textAlignment w:val="auto"/>
        <w:outlineLvl w:val="9"/>
        <w:rPr>
          <w:rFonts w:hint="eastAsia" w:ascii="楷体" w:hAnsi="楷体" w:eastAsia="楷体" w:cs="楷体"/>
          <w:b/>
          <w:bCs/>
          <w:color w:val="auto"/>
          <w:kern w:val="2"/>
          <w:sz w:val="32"/>
          <w:szCs w:val="32"/>
          <w:highlight w:val="none"/>
          <w:lang w:val="en-US" w:eastAsia="zh-CN" w:bidi="ar-SA"/>
        </w:rPr>
      </w:pPr>
      <w:bookmarkStart w:id="5" w:name="_Toc68703832"/>
      <w:r>
        <w:rPr>
          <w:rFonts w:hint="eastAsia" w:ascii="楷体" w:hAnsi="楷体" w:eastAsia="楷体" w:cs="楷体"/>
          <w:b/>
          <w:bCs/>
          <w:color w:val="auto"/>
          <w:kern w:val="2"/>
          <w:sz w:val="32"/>
          <w:szCs w:val="32"/>
          <w:highlight w:val="none"/>
          <w:lang w:val="en-US" w:eastAsia="zh-CN" w:bidi="ar-SA"/>
        </w:rPr>
        <w:t>（二）绩效评价原则、评价指标体系</w:t>
      </w:r>
      <w:r>
        <w:rPr>
          <w:rFonts w:hint="eastAsia" w:ascii="楷体" w:hAnsi="楷体" w:eastAsia="楷体" w:cs="楷体"/>
          <w:b/>
          <w:bCs/>
          <w:color w:val="auto"/>
          <w:sz w:val="32"/>
          <w:szCs w:val="32"/>
          <w:highlight w:val="none"/>
        </w:rPr>
        <w:t>（详情见表1）</w:t>
      </w:r>
      <w:r>
        <w:rPr>
          <w:rFonts w:hint="eastAsia" w:ascii="楷体" w:hAnsi="楷体" w:eastAsia="楷体" w:cs="楷体"/>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绩效评价原则</w:t>
      </w:r>
    </w:p>
    <w:p>
      <w:pPr>
        <w:pageBreakBefore w:val="0"/>
        <w:kinsoku/>
        <w:wordWrap/>
        <w:overflowPunct/>
        <w:topLinePunct w:val="0"/>
        <w:autoSpaceDE/>
        <w:autoSpaceDN/>
        <w:bidi w:val="0"/>
        <w:adjustRightInd/>
        <w:snapToGrid/>
        <w:spacing w:line="560" w:lineRule="exact"/>
        <w:ind w:left="0" w:firstLine="640" w:firstLineChars="200"/>
        <w:outlineLvl w:val="9"/>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firstLine="600" w:firstLineChars="200"/>
        <w:jc w:val="left"/>
        <w:outlineLvl w:val="9"/>
        <w:rPr>
          <w:rFonts w:hint="eastAsia"/>
          <w:color w:val="auto"/>
          <w:sz w:val="32"/>
          <w:szCs w:val="32"/>
          <w:highlight w:val="none"/>
        </w:rPr>
      </w:pPr>
      <w:r>
        <w:rPr>
          <w:rFonts w:hint="eastAsia"/>
          <w:color w:val="auto"/>
          <w:highlight w:val="none"/>
        </w:rPr>
        <w:t>2、</w:t>
      </w:r>
      <w:r>
        <w:rPr>
          <w:rFonts w:hint="eastAsia"/>
          <w:color w:val="auto"/>
          <w:sz w:val="32"/>
          <w:szCs w:val="32"/>
          <w:highlight w:val="none"/>
        </w:rPr>
        <w:t>评价指标体系</w:t>
      </w:r>
    </w:p>
    <w:p>
      <w:pPr>
        <w:pageBreakBefore w:val="0"/>
        <w:kinsoku/>
        <w:wordWrap/>
        <w:overflowPunct/>
        <w:topLinePunct w:val="0"/>
        <w:autoSpaceDE/>
        <w:autoSpaceDN/>
        <w:bidi w:val="0"/>
        <w:adjustRightInd/>
        <w:snapToGrid/>
        <w:spacing w:line="560" w:lineRule="exact"/>
        <w:ind w:left="0" w:firstLine="708" w:firstLineChars="200"/>
        <w:outlineLvl w:val="9"/>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w:t>
      </w:r>
      <w:r>
        <w:rPr>
          <w:rFonts w:eastAsia="仿宋_GB2312"/>
          <w:color w:val="auto"/>
          <w:spacing w:val="17"/>
          <w:w w:val="98"/>
          <w:sz w:val="32"/>
          <w:szCs w:val="32"/>
          <w:highlight w:val="none"/>
        </w:rPr>
        <w:t>重为20分，项目产出权重为40分，项目效益权重为20分。</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outlineLvl w:val="9"/>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outlineLvl w:val="9"/>
        <w:rPr>
          <w:rFonts w:hint="eastAsia"/>
          <w:color w:val="auto"/>
          <w:highlight w:val="none"/>
        </w:rPr>
      </w:pPr>
      <w:r>
        <w:rPr>
          <w:rFonts w:ascii="Times New Roman" w:hAnsi="Times New Roman" w:eastAsia="仿宋_GB2312"/>
          <w:b w:val="0"/>
          <w:bCs w:val="0"/>
          <w:color w:val="auto"/>
          <w:spacing w:val="17"/>
          <w:highlight w:val="none"/>
        </w:rPr>
        <w:t>具体评价指标体系详情见附件1</w:t>
      </w:r>
    </w:p>
    <w:p>
      <w:pPr>
        <w:pStyle w:val="6"/>
        <w:pageBreakBefore w:val="0"/>
        <w:kinsoku/>
        <w:wordWrap/>
        <w:overflowPunct/>
        <w:topLinePunct w:val="0"/>
        <w:autoSpaceDE/>
        <w:autoSpaceDN/>
        <w:bidi w:val="0"/>
        <w:adjustRightInd/>
        <w:snapToGrid/>
        <w:spacing w:line="560" w:lineRule="exact"/>
        <w:ind w:left="0" w:firstLine="640" w:firstLineChars="200"/>
        <w:outlineLvl w:val="9"/>
        <w:rPr>
          <w:rFonts w:hint="eastAsia"/>
          <w:color w:val="auto"/>
          <w:sz w:val="32"/>
          <w:szCs w:val="32"/>
          <w:highlight w:val="none"/>
        </w:rPr>
      </w:pPr>
      <w:r>
        <w:rPr>
          <w:rFonts w:hint="eastAsia"/>
          <w:color w:val="auto"/>
          <w:sz w:val="32"/>
          <w:szCs w:val="32"/>
          <w:highlight w:val="none"/>
        </w:rPr>
        <w:t>3、评价方法</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outlineLvl w:val="9"/>
        <w:rPr>
          <w:rFonts w:hint="eastAsia" w:eastAsia="仿宋_GB2312"/>
          <w:bCs/>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（1）比较法</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708" w:firstLineChars="200"/>
        <w:outlineLvl w:val="9"/>
        <w:rPr>
          <w:rFonts w:eastAsia="仿宋_GB2312"/>
          <w:color w:val="auto"/>
          <w:spacing w:val="17"/>
          <w:sz w:val="32"/>
          <w:szCs w:val="32"/>
          <w:highlight w:val="none"/>
        </w:rPr>
      </w:pPr>
      <w:r>
        <w:rPr>
          <w:rFonts w:eastAsia="仿宋_GB2312"/>
          <w:color w:val="auto"/>
          <w:spacing w:val="17"/>
          <w:sz w:val="32"/>
          <w:szCs w:val="32"/>
          <w:highlight w:val="none"/>
        </w:rPr>
        <w:t>（2）因素分析法</w:t>
      </w:r>
    </w:p>
    <w:p>
      <w:pPr>
        <w:pageBreakBefore w:val="0"/>
        <w:kinsoku/>
        <w:wordWrap/>
        <w:overflowPunct/>
        <w:topLinePunct w:val="0"/>
        <w:autoSpaceDE/>
        <w:autoSpaceDN/>
        <w:bidi w:val="0"/>
        <w:adjustRightInd/>
        <w:snapToGrid/>
        <w:spacing w:line="560" w:lineRule="exact"/>
        <w:ind w:left="0" w:firstLine="708" w:firstLineChars="200"/>
        <w:outlineLvl w:val="9"/>
        <w:rPr>
          <w:rFonts w:hint="eastAsia" w:eastAsia="仿宋_GB2312"/>
          <w:bCs/>
          <w:color w:val="auto"/>
          <w:sz w:val="32"/>
          <w:szCs w:val="32"/>
          <w:highlight w:val="none"/>
          <w:lang w:eastAsia="zh-CN"/>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jc w:val="left"/>
        <w:textAlignment w:val="auto"/>
        <w:outlineLvl w:val="9"/>
        <w:rPr>
          <w:rFonts w:hint="eastAsia"/>
          <w:color w:val="auto"/>
          <w:highlight w:val="none"/>
        </w:rPr>
      </w:pPr>
      <w:r>
        <w:rPr>
          <w:rFonts w:hint="eastAsia"/>
          <w:color w:val="auto"/>
          <w:highlight w:val="none"/>
          <w:lang w:eastAsia="zh-CN"/>
        </w:rPr>
        <w:t>　　</w:t>
      </w:r>
      <w:r>
        <w:rPr>
          <w:rFonts w:hint="eastAsia"/>
          <w:color w:val="auto"/>
          <w:sz w:val="32"/>
          <w:szCs w:val="32"/>
          <w:highlight w:val="none"/>
        </w:rPr>
        <w:t>4</w:t>
      </w:r>
      <w:r>
        <w:rPr>
          <w:rFonts w:hint="eastAsia"/>
          <w:color w:val="auto"/>
          <w:sz w:val="32"/>
          <w:szCs w:val="32"/>
          <w:highlight w:val="none"/>
          <w:lang w:val="en-US" w:eastAsia="zh-CN"/>
        </w:rPr>
        <w:t>.</w:t>
      </w:r>
      <w:r>
        <w:rPr>
          <w:rFonts w:hint="eastAsia"/>
          <w:color w:val="auto"/>
          <w:sz w:val="32"/>
          <w:szCs w:val="32"/>
          <w:highlight w:val="none"/>
        </w:rPr>
        <w:t>评价标准</w:t>
      </w:r>
    </w:p>
    <w:p>
      <w:pPr>
        <w:pageBreakBefore w:val="0"/>
        <w:kinsoku/>
        <w:wordWrap/>
        <w:overflowPunct/>
        <w:topLinePunct w:val="0"/>
        <w:autoSpaceDE/>
        <w:autoSpaceDN/>
        <w:bidi w:val="0"/>
        <w:adjustRightInd/>
        <w:snapToGrid/>
        <w:spacing w:line="560" w:lineRule="exact"/>
        <w:ind w:left="0" w:firstLine="640"/>
        <w:outlineLvl w:val="9"/>
        <w:rPr>
          <w:rFonts w:hint="eastAsia"/>
          <w:bCs/>
          <w:color w:val="auto"/>
          <w:sz w:val="32"/>
          <w:szCs w:val="32"/>
          <w:highlight w:val="none"/>
        </w:rPr>
      </w:pPr>
      <w:r>
        <w:rPr>
          <w:rFonts w:hint="eastAsia"/>
          <w:bCs/>
          <w:color w:val="auto"/>
          <w:sz w:val="32"/>
          <w:szCs w:val="32"/>
          <w:highlight w:val="none"/>
        </w:rPr>
        <w:t>绩效评价标准通常包括计划标准、行业标准、历史标准等，用于对绩效指标完成情况进行比较、分析、评价。本次评价主要采用了</w:t>
      </w:r>
      <w:r>
        <w:rPr>
          <w:rFonts w:hint="eastAsia"/>
          <w:bCs/>
          <w:color w:val="auto"/>
          <w:sz w:val="32"/>
          <w:szCs w:val="32"/>
          <w:highlight w:val="none"/>
          <w:lang w:val="en-US" w:eastAsia="zh-CN"/>
        </w:rPr>
        <w:t>计划</w:t>
      </w:r>
      <w:r>
        <w:rPr>
          <w:rFonts w:hint="eastAsia"/>
          <w:bCs/>
          <w:color w:val="auto"/>
          <w:sz w:val="32"/>
          <w:szCs w:val="32"/>
          <w:highlight w:val="none"/>
        </w:rPr>
        <w:t>标准</w:t>
      </w:r>
      <w:r>
        <w:rPr>
          <w:rFonts w:hint="eastAsia"/>
          <w:bCs/>
          <w:color w:val="auto"/>
          <w:sz w:val="32"/>
          <w:szCs w:val="32"/>
          <w:highlight w:val="none"/>
          <w:lang w:eastAsia="zh-CN"/>
        </w:rPr>
        <w:t>、历史标准</w:t>
      </w:r>
      <w:r>
        <w:rPr>
          <w:rFonts w:hint="eastAsia"/>
          <w:bCs/>
          <w:color w:val="auto"/>
          <w:sz w:val="32"/>
          <w:szCs w:val="32"/>
          <w:highlight w:val="none"/>
        </w:rPr>
        <w:t>。</w:t>
      </w:r>
      <w:bookmarkStart w:id="6" w:name="_Toc68703833"/>
    </w:p>
    <w:p>
      <w:pPr>
        <w:pageBreakBefore w:val="0"/>
        <w:kinsoku/>
        <w:wordWrap/>
        <w:overflowPunct/>
        <w:topLinePunct w:val="0"/>
        <w:autoSpaceDE/>
        <w:autoSpaceDN/>
        <w:bidi w:val="0"/>
        <w:adjustRightInd/>
        <w:snapToGrid/>
        <w:spacing w:line="560" w:lineRule="exact"/>
        <w:ind w:left="0" w:firstLine="640"/>
        <w:outlineLvl w:val="9"/>
        <w:rPr>
          <w:rFonts w:hint="eastAsia"/>
          <w:bCs/>
          <w:color w:val="auto"/>
          <w:sz w:val="32"/>
          <w:szCs w:val="32"/>
          <w:highlight w:val="none"/>
        </w:rPr>
      </w:pPr>
      <w:r>
        <w:rPr>
          <w:rFonts w:hint="eastAsia"/>
          <w:bCs/>
          <w:color w:val="auto"/>
          <w:sz w:val="32"/>
          <w:szCs w:val="32"/>
          <w:highlight w:val="none"/>
        </w:rPr>
        <w:t>计划标准</w:t>
      </w:r>
      <w:r>
        <w:rPr>
          <w:rFonts w:hint="eastAsia"/>
          <w:bCs/>
          <w:color w:val="auto"/>
          <w:sz w:val="32"/>
          <w:szCs w:val="32"/>
          <w:highlight w:val="none"/>
          <w:lang w:eastAsia="zh-CN"/>
        </w:rPr>
        <w:t>：</w:t>
      </w:r>
      <w:r>
        <w:rPr>
          <w:rFonts w:hint="eastAsia"/>
          <w:bCs/>
          <w:color w:val="auto"/>
          <w:sz w:val="32"/>
          <w:szCs w:val="32"/>
          <w:highlight w:val="none"/>
        </w:rPr>
        <w:t>指以预先制定的目标、计划、预算、定额等作为评价标准。</w:t>
      </w:r>
    </w:p>
    <w:p>
      <w:pPr>
        <w:pageBreakBefore w:val="0"/>
        <w:kinsoku/>
        <w:wordWrap/>
        <w:overflowPunct/>
        <w:topLinePunct w:val="0"/>
        <w:autoSpaceDE/>
        <w:autoSpaceDN/>
        <w:bidi w:val="0"/>
        <w:adjustRightInd/>
        <w:snapToGrid/>
        <w:spacing w:line="560" w:lineRule="exact"/>
        <w:ind w:left="0" w:firstLine="640"/>
        <w:outlineLvl w:val="9"/>
        <w:rPr>
          <w:rFonts w:hint="eastAsia"/>
          <w:bCs/>
          <w:color w:val="auto"/>
          <w:sz w:val="32"/>
          <w:szCs w:val="32"/>
          <w:highlight w:val="none"/>
        </w:rPr>
      </w:pPr>
      <w:r>
        <w:rPr>
          <w:rFonts w:hint="eastAsia"/>
          <w:bCs/>
          <w:color w:val="auto"/>
          <w:sz w:val="32"/>
          <w:szCs w:val="32"/>
          <w:highlight w:val="none"/>
        </w:rPr>
        <w:t>历史标准</w:t>
      </w:r>
      <w:r>
        <w:rPr>
          <w:rFonts w:hint="eastAsia"/>
          <w:bCs/>
          <w:color w:val="auto"/>
          <w:sz w:val="32"/>
          <w:szCs w:val="32"/>
          <w:highlight w:val="none"/>
          <w:lang w:eastAsia="zh-CN"/>
        </w:rPr>
        <w:t>：</w:t>
      </w:r>
      <w:r>
        <w:rPr>
          <w:rFonts w:hint="eastAsia"/>
          <w:bCs/>
          <w:color w:val="auto"/>
          <w:sz w:val="32"/>
          <w:szCs w:val="32"/>
          <w:highlight w:val="none"/>
        </w:rPr>
        <w:t>指参照历史数据制定的评价标准，为体现绩效改进的原则，在可实现的条件下应当确定相对较高的评价标准。</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eastAsia="仿宋_GB2312"/>
          <w:bCs/>
          <w:color w:val="auto"/>
          <w:sz w:val="32"/>
          <w:szCs w:val="32"/>
          <w:highlight w:val="none"/>
        </w:rPr>
      </w:pPr>
      <w:r>
        <w:rPr>
          <w:rFonts w:hint="eastAsia" w:eastAsia="仿宋_GB2312"/>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color w:val="auto"/>
          <w:sz w:val="32"/>
          <w:szCs w:val="32"/>
          <w:highlight w:val="none"/>
        </w:rPr>
      </w:pPr>
      <w:r>
        <w:rPr>
          <w:rFonts w:hint="eastAsia"/>
          <w:color w:val="auto"/>
          <w:sz w:val="32"/>
          <w:szCs w:val="32"/>
          <w:highlight w:val="none"/>
        </w:rPr>
        <w:t>2</w:t>
      </w:r>
      <w:r>
        <w:rPr>
          <w:rFonts w:hint="eastAsia"/>
          <w:color w:val="auto"/>
          <w:sz w:val="32"/>
          <w:szCs w:val="32"/>
          <w:highlight w:val="none"/>
          <w:lang w:val="en-US" w:eastAsia="zh-CN"/>
        </w:rPr>
        <w:t>.</w:t>
      </w:r>
      <w:r>
        <w:rPr>
          <w:rFonts w:hint="eastAsia"/>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eastAsia="仿宋_GB2312"/>
          <w:bCs/>
          <w:color w:val="auto"/>
          <w:sz w:val="32"/>
          <w:szCs w:val="32"/>
          <w:highlight w:val="none"/>
        </w:rPr>
      </w:pPr>
      <w:r>
        <w:rPr>
          <w:rFonts w:hint="eastAsia" w:eastAsia="仿宋_GB2312"/>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color w:val="auto"/>
          <w:sz w:val="32"/>
          <w:szCs w:val="32"/>
          <w:highlight w:val="none"/>
        </w:rPr>
      </w:pPr>
      <w:r>
        <w:rPr>
          <w:rFonts w:hint="eastAsia"/>
          <w:color w:val="auto"/>
          <w:sz w:val="32"/>
          <w:szCs w:val="32"/>
          <w:highlight w:val="none"/>
        </w:rPr>
        <w:t>3</w:t>
      </w:r>
      <w:r>
        <w:rPr>
          <w:rFonts w:hint="eastAsia"/>
          <w:color w:val="auto"/>
          <w:sz w:val="32"/>
          <w:szCs w:val="32"/>
          <w:highlight w:val="none"/>
          <w:lang w:val="en-US" w:eastAsia="zh-CN"/>
        </w:rPr>
        <w:t>.</w:t>
      </w:r>
      <w:r>
        <w:rPr>
          <w:rFonts w:hint="eastAsia"/>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color w:val="auto"/>
          <w:sz w:val="32"/>
          <w:szCs w:val="32"/>
          <w:highlight w:val="none"/>
        </w:rPr>
      </w:pPr>
      <w:bookmarkStart w:id="7" w:name="_Toc68703834"/>
      <w:r>
        <w:rPr>
          <w:rFonts w:hint="eastAsia" w:eastAsia="仿宋_GB2312"/>
          <w:bCs/>
          <w:color w:val="auto"/>
          <w:sz w:val="32"/>
          <w:szCs w:val="32"/>
          <w:highlight w:val="none"/>
        </w:rPr>
        <w:t>根据收集梳理的资料围绕项目立项、资金落实、业务管理、财务管理、项目产出、项目效益等内容，对照已确定的绩效评价</w:t>
      </w:r>
      <w:r>
        <w:rPr>
          <w:rFonts w:hint="eastAsia" w:eastAsia="仿宋_GB2312"/>
          <w:bCs/>
          <w:color w:val="auto"/>
          <w:w w:val="102"/>
          <w:sz w:val="32"/>
          <w:szCs w:val="32"/>
          <w:highlight w:val="none"/>
        </w:rPr>
        <w:t>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val="en-US" w:eastAsia="zh-CN"/>
        </w:rPr>
        <w:t>三、</w:t>
      </w:r>
      <w:r>
        <w:rPr>
          <w:rFonts w:hint="eastAsia" w:ascii="Times New Roman" w:hAnsi="Times New Roman" w:eastAsia="黑体" w:cs="Times New Roman"/>
          <w:bCs/>
          <w:color w:val="auto"/>
          <w:sz w:val="32"/>
          <w:szCs w:val="32"/>
          <w:highlight w:val="none"/>
          <w:lang w:val="en-US" w:eastAsia="zh-CN"/>
        </w:rPr>
        <w:t>综合评价情况及评价结论</w:t>
      </w:r>
      <w:bookmarkEnd w:id="7"/>
      <w:r>
        <w:rPr>
          <w:rFonts w:eastAsia="黑体"/>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bookmarkStart w:id="8" w:name="_Toc68703835"/>
      <w:r>
        <w:rPr>
          <w:rFonts w:hint="eastAsia"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auto"/>
          <w:sz w:val="32"/>
          <w:szCs w:val="32"/>
          <w:highlight w:val="none"/>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bookmarkStart w:id="9" w:name="_Toc68703836"/>
      <w:r>
        <w:rPr>
          <w:rFonts w:hint="eastAsia" w:ascii="Times New Roman" w:hAnsi="Times New Roman" w:eastAsia="楷体_GB2312" w:cs="Times New Roman"/>
          <w:b/>
          <w:bCs/>
          <w:color w:val="auto"/>
          <w:kern w:val="2"/>
          <w:sz w:val="32"/>
          <w:szCs w:val="32"/>
          <w:highlight w:val="none"/>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ind w:left="0"/>
        <w:jc w:val="both"/>
        <w:textAlignment w:val="auto"/>
        <w:outlineLvl w:val="9"/>
        <w:rPr>
          <w:rFonts w:hint="eastAsia"/>
          <w:color w:val="auto"/>
          <w:highlight w:val="none"/>
        </w:rPr>
      </w:pPr>
      <w:r>
        <w:rPr>
          <w:rFonts w:hint="eastAsia" w:ascii="Times New Roman" w:hAnsi="Times New Roman" w:eastAsia="仿宋_GB2312"/>
          <w:b w:val="0"/>
          <w:bCs w:val="0"/>
          <w:color w:val="auto"/>
          <w:highlight w:val="none"/>
          <w:lang w:eastAsia="zh-CN"/>
        </w:rPr>
        <w:t>　　</w:t>
      </w:r>
      <w:r>
        <w:rPr>
          <w:rFonts w:hint="eastAsia" w:ascii="Times New Roman" w:hAnsi="Times New Roman" w:eastAsia="仿宋_GB2312"/>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%。具体打分情况详见：附件1综合评分表</w:t>
      </w:r>
      <w:r>
        <w:rPr>
          <w:rFonts w:hint="eastAsia" w:ascii="Times New Roman" w:hAnsi="Times New Roman" w:eastAsia="仿宋_GB2312"/>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00" w:firstLineChars="200"/>
        <w:textAlignment w:val="auto"/>
        <w:outlineLvl w:val="9"/>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color w:val="auto"/>
          <w:sz w:val="30"/>
          <w:szCs w:val="30"/>
          <w:highlight w:val="none"/>
          <w:lang w:eastAsia="zh-CN"/>
        </w:rPr>
        <w:t>　　　　　　　　</w:t>
      </w:r>
      <w:r>
        <w:rPr>
          <w:rFonts w:hint="eastAsia"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b/>
                <w:bCs/>
                <w:color w:val="auto"/>
                <w:sz w:val="22"/>
                <w:highlight w:val="none"/>
              </w:rPr>
            </w:pPr>
            <w:r>
              <w:rPr>
                <w:rFonts w:hint="eastAsia"/>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eastAsia="宋体"/>
                <w:color w:val="auto"/>
                <w:sz w:val="22"/>
                <w:highlight w:val="none"/>
              </w:rPr>
            </w:pPr>
            <w:r>
              <w:rPr>
                <w:rFonts w:hint="eastAsia" w:eastAsia="宋体"/>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eastAsia="宋体"/>
                <w:color w:val="auto"/>
                <w:sz w:val="22"/>
                <w:highlight w:val="none"/>
              </w:rPr>
            </w:pPr>
            <w:r>
              <w:rPr>
                <w:rFonts w:hint="eastAsia" w:eastAsia="宋体"/>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eastAsia="宋体"/>
                <w:color w:val="auto"/>
                <w:sz w:val="22"/>
                <w:highlight w:val="none"/>
              </w:rPr>
            </w:pPr>
            <w:r>
              <w:rPr>
                <w:rFonts w:hint="eastAsia" w:eastAsia="宋体"/>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eastAsia="宋体"/>
                <w:color w:val="auto"/>
                <w:sz w:val="22"/>
                <w:highlight w:val="none"/>
              </w:rPr>
            </w:pPr>
            <w:r>
              <w:rPr>
                <w:rFonts w:hint="eastAsia" w:eastAsia="宋体"/>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jc w:val="center"/>
              <w:textAlignment w:val="auto"/>
              <w:outlineLvl w:val="9"/>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r>
    </w:tbl>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bCs/>
          <w:color w:val="auto"/>
          <w:sz w:val="32"/>
          <w:szCs w:val="32"/>
          <w:highlight w:val="none"/>
          <w:lang w:val="en-US" w:eastAsia="zh-CN"/>
        </w:rPr>
      </w:pPr>
      <w:bookmarkStart w:id="10" w:name="_Toc68703837"/>
      <w:r>
        <w:rPr>
          <w:rFonts w:hint="eastAsia" w:ascii="Times New Roman" w:hAnsi="Times New Roman" w:eastAsia="黑体" w:cs="Times New Roman"/>
          <w:bCs/>
          <w:color w:val="auto"/>
          <w:sz w:val="32"/>
          <w:szCs w:val="32"/>
          <w:highlight w:val="none"/>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楷体_GB2312" w:cs="Times New Roman"/>
          <w:b/>
          <w:bCs/>
          <w:color w:val="auto"/>
          <w:kern w:val="2"/>
          <w:sz w:val="32"/>
          <w:szCs w:val="32"/>
          <w:highlight w:val="none"/>
          <w:lang w:val="en-US" w:eastAsia="zh-CN" w:bidi="ar-SA"/>
        </w:rPr>
      </w:pPr>
      <w:bookmarkStart w:id="11" w:name="_Toc68703838"/>
      <w:r>
        <w:rPr>
          <w:rFonts w:hint="eastAsia"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left="0"/>
        <w:jc w:val="left"/>
        <w:textAlignment w:val="auto"/>
        <w:outlineLvl w:val="9"/>
        <w:rPr>
          <w:rFonts w:hint="eastAsia"/>
          <w:color w:val="auto"/>
          <w:highlight w:val="none"/>
          <w:lang w:val="en-US" w:eastAsia="zh-CN"/>
        </w:rPr>
      </w:pPr>
      <w:r>
        <w:rPr>
          <w:rFonts w:hint="eastAsia"/>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项目立项</w:t>
      </w:r>
    </w:p>
    <w:p>
      <w:pPr>
        <w:keepNext w:val="0"/>
        <w:keepLines w:val="0"/>
        <w:pageBreakBefore w:val="0"/>
        <w:widowControl w:val="0"/>
        <w:shd w:val="clear"/>
        <w:kinsoku/>
        <w:wordWrap/>
        <w:overflowPunct/>
        <w:topLinePunct w:val="0"/>
        <w:autoSpaceDE/>
        <w:autoSpaceDN/>
        <w:bidi w:val="0"/>
        <w:adjustRightInd/>
        <w:snapToGrid/>
        <w:spacing w:line="560" w:lineRule="exact"/>
        <w:ind w:left="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b w:val="0"/>
          <w:bCs w:val="0"/>
          <w:color w:val="auto"/>
          <w:sz w:val="32"/>
          <w:szCs w:val="32"/>
          <w:highlight w:val="none"/>
        </w:rPr>
      </w:pPr>
      <w:r>
        <w:rPr>
          <w:rFonts w:hint="eastAsia"/>
          <w:b w:val="0"/>
          <w:bCs w:val="0"/>
          <w:color w:val="auto"/>
          <w:sz w:val="32"/>
          <w:szCs w:val="32"/>
          <w:highlight w:val="none"/>
        </w:rPr>
        <w:t>2</w:t>
      </w:r>
      <w:r>
        <w:rPr>
          <w:rFonts w:hint="eastAsia"/>
          <w:b w:val="0"/>
          <w:bCs w:val="0"/>
          <w:color w:val="auto"/>
          <w:sz w:val="32"/>
          <w:szCs w:val="32"/>
          <w:highlight w:val="none"/>
          <w:lang w:val="en-US" w:eastAsia="zh-CN"/>
        </w:rPr>
        <w:t>.</w:t>
      </w:r>
      <w:r>
        <w:rPr>
          <w:rFonts w:hint="eastAsia"/>
          <w:b w:val="0"/>
          <w:bCs w:val="0"/>
          <w:color w:val="auto"/>
          <w:sz w:val="32"/>
          <w:szCs w:val="32"/>
          <w:highlight w:val="none"/>
        </w:rPr>
        <w:t>立项程序规范性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b w:val="0"/>
          <w:bCs w:val="0"/>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bookmarkStart w:id="12" w:name="_Hlk68699917"/>
      <w:r>
        <w:rPr>
          <w:rFonts w:hint="eastAsia" w:ascii="仿宋_GB2312" w:hAnsi="仿宋_GB2312" w:eastAsia="仿宋_GB2312" w:cs="仿宋_GB2312"/>
          <w:color w:val="auto"/>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资金投入</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left="0" w:firstLine="643" w:firstLineChars="200"/>
        <w:jc w:val="both"/>
        <w:outlineLvl w:val="9"/>
        <w:rPr>
          <w:rFonts w:ascii="楷体" w:hAnsi="楷体" w:eastAsia="楷体" w:cs="楷体"/>
          <w:color w:val="auto"/>
          <w:highlight w:val="none"/>
        </w:rPr>
      </w:pPr>
      <w:r>
        <w:rPr>
          <w:rFonts w:hint="eastAsia" w:ascii="楷体" w:hAnsi="楷体" w:eastAsia="楷体" w:cs="楷体"/>
          <w:color w:val="auto"/>
          <w:highlight w:val="none"/>
          <w:lang w:eastAsia="zh-CN"/>
        </w:rPr>
        <w:t>（二）</w:t>
      </w:r>
      <w:r>
        <w:rPr>
          <w:rFonts w:hint="eastAsia" w:ascii="楷体" w:hAnsi="楷体" w:eastAsia="楷体" w:cs="楷体"/>
          <w:color w:val="auto"/>
          <w:highlight w:val="none"/>
        </w:rPr>
        <w:t>项目过程情况</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个三级指标构成，权重分值为20分，实际得分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ascii="仿宋_GB2312" w:hAnsi="仿宋_GB2312" w:cs="仿宋_GB2312"/>
          <w:color w:val="auto"/>
          <w:sz w:val="32"/>
          <w:szCs w:val="32"/>
          <w:highlight w:val="none"/>
          <w:lang w:val="en-US" w:eastAsia="zh-CN"/>
        </w:rPr>
        <w:t>94.48</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94.48</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0"/>
        </w:numPr>
        <w:kinsoku/>
        <w:wordWrap/>
        <w:overflowPunct/>
        <w:topLinePunct w:val="0"/>
        <w:autoSpaceDE/>
        <w:autoSpaceDN/>
        <w:bidi w:val="0"/>
        <w:adjustRightInd/>
        <w:snapToGrid/>
        <w:spacing w:line="560" w:lineRule="exact"/>
        <w:ind w:left="0"/>
        <w:outlineLvl w:val="9"/>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color w:val="auto"/>
          <w:sz w:val="32"/>
          <w:szCs w:val="32"/>
          <w:highlight w:val="none"/>
          <w:lang w:eastAsia="zh-CN"/>
        </w:rPr>
      </w:pPr>
      <w:r>
        <w:rPr>
          <w:rFonts w:hint="eastAsia"/>
          <w:color w:val="auto"/>
          <w:sz w:val="32"/>
          <w:szCs w:val="32"/>
          <w:highlight w:val="none"/>
        </w:rPr>
        <w:t>指标1：接待次数，指标值</w:t>
      </w:r>
      <w:r>
        <w:rPr>
          <w:rFonts w:hint="eastAsia"/>
          <w:color w:val="auto"/>
          <w:sz w:val="32"/>
          <w:szCs w:val="32"/>
          <w:highlight w:val="none"/>
          <w:lang w:eastAsia="zh-CN"/>
        </w:rPr>
        <w:t>：</w:t>
      </w:r>
      <w:r>
        <w:rPr>
          <w:rFonts w:hint="eastAsia"/>
          <w:color w:val="auto"/>
          <w:sz w:val="32"/>
          <w:szCs w:val="32"/>
          <w:highlight w:val="none"/>
        </w:rPr>
        <w:t>&gt;=300次，实际完成值</w:t>
      </w:r>
      <w:r>
        <w:rPr>
          <w:rFonts w:hint="eastAsia"/>
          <w:color w:val="auto"/>
          <w:sz w:val="32"/>
          <w:szCs w:val="32"/>
          <w:highlight w:val="none"/>
          <w:lang w:eastAsia="zh-CN"/>
        </w:rPr>
        <w:t>：</w:t>
      </w:r>
      <w:r>
        <w:rPr>
          <w:rFonts w:hint="eastAsia"/>
          <w:color w:val="auto"/>
          <w:sz w:val="32"/>
          <w:szCs w:val="32"/>
          <w:highlight w:val="none"/>
          <w:lang w:val="en-US" w:eastAsia="zh-CN"/>
        </w:rPr>
        <w:t>307次</w:t>
      </w:r>
      <w:r>
        <w:rPr>
          <w:rFonts w:hint="eastAsia"/>
          <w:color w:val="auto"/>
          <w:sz w:val="32"/>
          <w:szCs w:val="32"/>
          <w:highlight w:val="none"/>
        </w:rPr>
        <w:t>，指标完成率</w:t>
      </w:r>
      <w:r>
        <w:rPr>
          <w:rFonts w:hint="eastAsia"/>
          <w:color w:val="auto"/>
          <w:sz w:val="32"/>
          <w:szCs w:val="32"/>
          <w:highlight w:val="none"/>
          <w:lang w:val="en-US" w:eastAsia="zh-CN"/>
        </w:rPr>
        <w:t>102.33</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eastAsia="仿宋_GB2312"/>
          <w:color w:val="auto"/>
          <w:sz w:val="32"/>
          <w:szCs w:val="32"/>
          <w:highlight w:val="none"/>
          <w:lang w:eastAsia="zh-CN"/>
        </w:rPr>
      </w:pPr>
      <w:r>
        <w:rPr>
          <w:rFonts w:hint="eastAsia"/>
          <w:color w:val="auto"/>
          <w:sz w:val="32"/>
          <w:szCs w:val="32"/>
          <w:highlight w:val="none"/>
        </w:rPr>
        <w:t>指标2：接待人数，指标值：&gt;=12112人，实际完成值</w:t>
      </w:r>
      <w:r>
        <w:rPr>
          <w:rFonts w:hint="eastAsia"/>
          <w:color w:val="auto"/>
          <w:sz w:val="32"/>
          <w:szCs w:val="32"/>
          <w:highlight w:val="none"/>
          <w:lang w:eastAsia="zh-CN"/>
        </w:rPr>
        <w:t>：12284人</w:t>
      </w:r>
      <w:r>
        <w:rPr>
          <w:rFonts w:hint="eastAsia"/>
          <w:color w:val="auto"/>
          <w:sz w:val="32"/>
          <w:szCs w:val="32"/>
          <w:highlight w:val="none"/>
        </w:rPr>
        <w:t>，指标完成率</w:t>
      </w:r>
      <w:r>
        <w:rPr>
          <w:rFonts w:hint="eastAsia"/>
          <w:color w:val="auto"/>
          <w:sz w:val="32"/>
          <w:szCs w:val="32"/>
          <w:highlight w:val="none"/>
          <w:lang w:val="en-US" w:eastAsia="zh-CN"/>
        </w:rPr>
        <w:t>101.42</w:t>
      </w:r>
      <w:r>
        <w:rPr>
          <w:rFonts w:hint="eastAsia"/>
          <w:color w:val="auto"/>
          <w:sz w:val="32"/>
          <w:szCs w:val="32"/>
          <w:highlight w:val="none"/>
        </w:rPr>
        <w:t>%</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color w:val="auto"/>
          <w:sz w:val="32"/>
          <w:szCs w:val="32"/>
          <w:highlight w:val="none"/>
          <w:lang w:eastAsia="zh-CN"/>
        </w:rPr>
      </w:pPr>
      <w:r>
        <w:rPr>
          <w:rFonts w:hint="eastAsia"/>
          <w:color w:val="auto"/>
          <w:sz w:val="32"/>
          <w:szCs w:val="32"/>
          <w:highlight w:val="none"/>
        </w:rPr>
        <w:t>指标1：根据来访人员级别不同严格按照标准执行，指标值：=98%，实际完成值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102.04%</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r>
        <w:rPr>
          <w:rFonts w:hint="eastAsia" w:ascii="仿宋_GB2312" w:hAnsi="仿宋_GB2312" w:cs="仿宋_GB2312"/>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w:t>
      </w:r>
      <w:r>
        <w:rPr>
          <w:rFonts w:hint="eastAsia" w:ascii="仿宋_GB2312" w:hAnsi="仿宋_GB2312" w:eastAsia="仿宋_GB2312" w:cs="仿宋_GB2312"/>
          <w:color w:val="auto"/>
          <w:sz w:val="32"/>
          <w:szCs w:val="32"/>
          <w:highlight w:val="none"/>
        </w:rPr>
        <w:t>支付相关接待费用及时性</w:t>
      </w:r>
      <w:r>
        <w:rPr>
          <w:rFonts w:hint="eastAsia" w:ascii="仿宋_GB2312" w:hAnsi="仿宋_GB2312" w:cs="仿宋_GB2312"/>
          <w:color w:val="auto"/>
          <w:sz w:val="32"/>
          <w:szCs w:val="32"/>
          <w:highlight w:val="none"/>
          <w:lang w:eastAsia="zh-CN"/>
        </w:rPr>
        <w:t>，</w:t>
      </w:r>
      <w:r>
        <w:rPr>
          <w:rFonts w:hint="eastAsia"/>
          <w:color w:val="auto"/>
          <w:sz w:val="32"/>
          <w:szCs w:val="32"/>
          <w:highlight w:val="none"/>
        </w:rPr>
        <w:t>指标值：&gt;=98%</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102.04%</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bookmarkStart w:id="14" w:name="_Toc68703841"/>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4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成本指标：</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eastAsia="zh-CN"/>
        </w:rPr>
      </w:pPr>
      <w:r>
        <w:rPr>
          <w:rFonts w:hint="eastAsia"/>
          <w:color w:val="auto"/>
          <w:sz w:val="32"/>
          <w:szCs w:val="32"/>
          <w:highlight w:val="none"/>
        </w:rPr>
        <w:t>指标1：</w:t>
      </w:r>
      <w:r>
        <w:rPr>
          <w:rFonts w:hint="eastAsia" w:ascii="仿宋_GB2312" w:hAnsi="仿宋_GB2312" w:eastAsia="仿宋_GB2312" w:cs="仿宋_GB2312"/>
          <w:color w:val="auto"/>
          <w:sz w:val="32"/>
          <w:szCs w:val="32"/>
          <w:highlight w:val="none"/>
          <w:lang w:val="en-US" w:eastAsia="zh-CN"/>
        </w:rPr>
        <w:t>人均接待成本</w:t>
      </w:r>
      <w:r>
        <w:rPr>
          <w:rFonts w:hint="eastAsia" w:ascii="仿宋_GB2312" w:hAnsi="仿宋_GB2312" w:cs="仿宋_GB2312"/>
          <w:color w:val="auto"/>
          <w:sz w:val="32"/>
          <w:szCs w:val="32"/>
          <w:highlight w:val="none"/>
          <w:lang w:eastAsia="zh-CN"/>
        </w:rPr>
        <w:t>，</w:t>
      </w:r>
      <w:r>
        <w:rPr>
          <w:rFonts w:hint="eastAsia"/>
          <w:color w:val="auto"/>
          <w:sz w:val="32"/>
          <w:szCs w:val="32"/>
          <w:highlight w:val="none"/>
        </w:rPr>
        <w:t>指标值&lt;=78元</w:t>
      </w:r>
      <w:r>
        <w:rPr>
          <w:rFonts w:hint="eastAsia"/>
          <w:color w:val="auto"/>
          <w:sz w:val="32"/>
          <w:szCs w:val="32"/>
          <w:highlight w:val="none"/>
          <w:lang w:eastAsia="zh-CN"/>
        </w:rPr>
        <w:t>，</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76.91元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lang w:eastAsia="zh-CN"/>
        </w:rPr>
        <w:t>。</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个三级指标构成，权重分为20分，实际得分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经济效益指标：</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color w:val="auto"/>
          <w:sz w:val="32"/>
          <w:szCs w:val="32"/>
          <w:highlight w:val="none"/>
          <w:lang w:val="en-US" w:eastAsia="zh-CN"/>
        </w:rPr>
      </w:pPr>
      <w:r>
        <w:rPr>
          <w:rFonts w:hint="eastAsia" w:ascii="仿宋_GB2312" w:hAnsi="仿宋_GB2312" w:cs="仿宋_GB2312"/>
          <w:color w:val="auto"/>
          <w:sz w:val="32"/>
          <w:szCs w:val="32"/>
          <w:highlight w:val="none"/>
          <w:lang w:eastAsia="zh-CN"/>
        </w:rPr>
        <w:t>指标</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促进对外交流和对外知晓率</w:t>
      </w:r>
      <w:r>
        <w:rPr>
          <w:rFonts w:hint="eastAsia" w:ascii="仿宋_GB2312" w:hAnsi="仿宋_GB2312" w:cs="仿宋_GB2312"/>
          <w:color w:val="auto"/>
          <w:sz w:val="32"/>
          <w:szCs w:val="32"/>
          <w:highlight w:val="none"/>
          <w:lang w:eastAsia="zh-CN"/>
        </w:rPr>
        <w:t>，指标值：有效促进，实际完成值：有效促进，</w:t>
      </w:r>
      <w:r>
        <w:rPr>
          <w:rFonts w:hint="eastAsia"/>
          <w:color w:val="auto"/>
          <w:sz w:val="32"/>
          <w:szCs w:val="32"/>
          <w:highlight w:val="none"/>
        </w:rPr>
        <w:t>指标完成率100%</w:t>
      </w:r>
      <w:r>
        <w:rPr>
          <w:rFonts w:hint="eastAsia"/>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eastAsia="zh-CN"/>
        </w:rPr>
      </w:pPr>
      <w:r>
        <w:rPr>
          <w:rFonts w:hint="eastAsia"/>
          <w:color w:val="auto"/>
          <w:sz w:val="32"/>
          <w:szCs w:val="32"/>
          <w:highlight w:val="none"/>
          <w:lang w:eastAsia="zh-CN"/>
        </w:rPr>
        <w:t>指标</w:t>
      </w:r>
      <w:r>
        <w:rPr>
          <w:rFonts w:hint="eastAsia"/>
          <w:color w:val="auto"/>
          <w:sz w:val="32"/>
          <w:szCs w:val="32"/>
          <w:highlight w:val="none"/>
          <w:lang w:val="en-US" w:eastAsia="zh-CN"/>
        </w:rPr>
        <w:t>2：</w:t>
      </w:r>
      <w:r>
        <w:rPr>
          <w:rFonts w:hint="eastAsia"/>
          <w:color w:val="auto"/>
          <w:sz w:val="32"/>
          <w:szCs w:val="32"/>
          <w:highlight w:val="none"/>
          <w:lang w:eastAsia="zh-CN"/>
        </w:rPr>
        <w:t>提升霍尔果斯市知名度和影响力，</w:t>
      </w:r>
      <w:r>
        <w:rPr>
          <w:rFonts w:hint="eastAsia" w:ascii="仿宋_GB2312" w:hAnsi="仿宋_GB2312" w:cs="仿宋_GB2312"/>
          <w:color w:val="auto"/>
          <w:sz w:val="32"/>
          <w:szCs w:val="32"/>
          <w:highlight w:val="none"/>
          <w:lang w:eastAsia="zh-CN"/>
        </w:rPr>
        <w:t>指标值：有效促进，实际完成值：有效促进，</w:t>
      </w:r>
      <w:r>
        <w:rPr>
          <w:rFonts w:hint="eastAsia"/>
          <w:color w:val="auto"/>
          <w:sz w:val="32"/>
          <w:szCs w:val="32"/>
          <w:highlight w:val="none"/>
        </w:rPr>
        <w:t>指标完成率100%</w:t>
      </w:r>
      <w:r>
        <w:rPr>
          <w:rFonts w:hint="eastAsia"/>
          <w:color w:val="auto"/>
          <w:sz w:val="32"/>
          <w:szCs w:val="32"/>
          <w:highlight w:val="none"/>
          <w:lang w:eastAsia="zh-CN"/>
        </w:rPr>
        <w:t>。</w:t>
      </w:r>
      <w:r>
        <w:rPr>
          <w:rFonts w:hint="eastAsia"/>
          <w:color w:val="auto"/>
          <w:sz w:val="32"/>
          <w:szCs w:val="32"/>
          <w:highlight w:val="none"/>
          <w:lang w:eastAsia="zh-CN"/>
        </w:rPr>
        <w:tab/>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满意度指标：接待来访人员满意度</w:t>
      </w:r>
      <w:r>
        <w:rPr>
          <w:rFonts w:hint="eastAsia" w:ascii="仿宋_GB2312" w:hAnsi="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ab/>
      </w:r>
      <w:r>
        <w:rPr>
          <w:rFonts w:hint="eastAsia" w:ascii="仿宋_GB2312" w:hAnsi="仿宋_GB2312" w:cs="仿宋_GB2312"/>
          <w:color w:val="auto"/>
          <w:sz w:val="32"/>
          <w:szCs w:val="32"/>
          <w:highlight w:val="none"/>
          <w:lang w:val="en-US" w:eastAsia="zh-CN"/>
        </w:rPr>
        <w:t>&gt;=95%，实际完成值：100%，</w:t>
      </w:r>
      <w:r>
        <w:rPr>
          <w:rFonts w:hint="eastAsia"/>
          <w:color w:val="auto"/>
          <w:sz w:val="32"/>
          <w:szCs w:val="32"/>
          <w:highlight w:val="none"/>
        </w:rPr>
        <w:t>指标完成率10</w:t>
      </w:r>
      <w:r>
        <w:rPr>
          <w:rFonts w:hint="eastAsia"/>
          <w:color w:val="auto"/>
          <w:sz w:val="32"/>
          <w:szCs w:val="32"/>
          <w:highlight w:val="none"/>
          <w:lang w:val="en-US" w:eastAsia="zh-CN"/>
        </w:rPr>
        <w:t>5.26</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lang w:eastAsia="zh-CN"/>
        </w:rPr>
        <w:tab/>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pStyle w:val="20"/>
        <w:pageBreakBefore w:val="0"/>
        <w:kinsoku/>
        <w:wordWrap/>
        <w:overflowPunct/>
        <w:topLinePunct w:val="0"/>
        <w:autoSpaceDE/>
        <w:autoSpaceDN/>
        <w:bidi w:val="0"/>
        <w:adjustRightInd/>
        <w:snapToGrid/>
        <w:spacing w:line="560" w:lineRule="exact"/>
        <w:ind w:left="0" w:firstLine="640"/>
        <w:outlineLvl w:val="9"/>
        <w:rPr>
          <w:color w:val="auto"/>
          <w:highlight w:val="none"/>
        </w:rPr>
      </w:pPr>
      <w:r>
        <w:rPr>
          <w:rFonts w:hint="eastAsia" w:ascii="仿宋_GB2312" w:hAnsi="仿宋_GB2312" w:cs="仿宋_GB2312"/>
          <w:color w:val="auto"/>
          <w:kern w:val="2"/>
          <w:sz w:val="32"/>
          <w:szCs w:val="32"/>
          <w:highlight w:val="none"/>
          <w:lang w:val="en-US" w:eastAsia="zh-CN" w:bidi="ar-SA"/>
        </w:rPr>
        <w:t>霍尔果斯市接待费</w:t>
      </w:r>
      <w:r>
        <w:rPr>
          <w:rFonts w:hint="eastAsia" w:ascii="仿宋_GB2312" w:hAnsi="仿宋_GB2312" w:eastAsia="仿宋_GB2312" w:cs="仿宋_GB2312"/>
          <w:color w:val="auto"/>
          <w:kern w:val="2"/>
          <w:sz w:val="32"/>
          <w:szCs w:val="32"/>
          <w:highlight w:val="none"/>
          <w:lang w:val="en-US" w:eastAsia="zh-CN" w:bidi="ar-SA"/>
        </w:rPr>
        <w:t>项目年初预算</w:t>
      </w:r>
      <w:r>
        <w:rPr>
          <w:rFonts w:hint="eastAsia" w:ascii="仿宋_GB2312" w:hAnsi="仿宋_GB2312" w:cs="仿宋_GB2312"/>
          <w:color w:val="auto"/>
          <w:kern w:val="2"/>
          <w:sz w:val="32"/>
          <w:szCs w:val="32"/>
          <w:highlight w:val="none"/>
          <w:lang w:val="en-US" w:eastAsia="zh-CN" w:bidi="ar-SA"/>
        </w:rPr>
        <w:t>94.48</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kern w:val="2"/>
          <w:sz w:val="32"/>
          <w:szCs w:val="32"/>
          <w:highlight w:val="none"/>
          <w:lang w:val="en-US" w:eastAsia="zh-CN" w:bidi="ar-SA"/>
        </w:rPr>
        <w:t>94.48</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kern w:val="2"/>
          <w:sz w:val="32"/>
          <w:szCs w:val="32"/>
          <w:highlight w:val="none"/>
          <w:lang w:val="en-US" w:eastAsia="zh-CN" w:bidi="ar-SA"/>
        </w:rPr>
        <w:t>94.48</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100.97</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0.97</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cs="仿宋_GB2312"/>
          <w:color w:val="auto"/>
          <w:kern w:val="2"/>
          <w:sz w:val="32"/>
          <w:szCs w:val="32"/>
          <w:highlight w:val="none"/>
          <w:lang w:val="en-US" w:eastAsia="zh-CN" w:bidi="ar-SA"/>
        </w:rPr>
        <w:t>偏差原因：工作开展较好，完成率较高，改进措施：下一年度精准设置指标。</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Times New Roman" w:hAnsi="Times New Roman" w:eastAsia="黑体" w:cs="Times New Roman"/>
          <w:bCs/>
          <w:color w:val="auto"/>
          <w:sz w:val="32"/>
          <w:szCs w:val="32"/>
          <w:highlight w:val="none"/>
          <w:lang w:val="en-US" w:eastAsia="zh-CN"/>
        </w:rPr>
      </w:pPr>
      <w:bookmarkStart w:id="15" w:name="_Toc68703842"/>
      <w:r>
        <w:rPr>
          <w:rFonts w:hint="eastAsia" w:eastAsia="黑体" w:cs="Times New Roman"/>
          <w:bCs/>
          <w:color w:val="auto"/>
          <w:sz w:val="32"/>
          <w:szCs w:val="32"/>
          <w:highlight w:val="none"/>
          <w:lang w:val="en-US" w:eastAsia="zh-CN"/>
        </w:rPr>
        <w:t>六</w:t>
      </w:r>
      <w:r>
        <w:rPr>
          <w:rFonts w:hint="eastAsia" w:ascii="Times New Roman" w:hAnsi="Times New Roman" w:eastAsia="黑体" w:cs="Times New Roman"/>
          <w:bCs/>
          <w:color w:val="auto"/>
          <w:sz w:val="32"/>
          <w:szCs w:val="32"/>
          <w:highlight w:val="none"/>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ind w:left="0" w:firstLine="643" w:firstLineChars="200"/>
        <w:outlineLvl w:val="9"/>
        <w:rPr>
          <w:rFonts w:hint="eastAsia" w:ascii="Times New Roman" w:hAnsi="Times New Roman" w:eastAsia="楷体_GB2312" w:cs="Times New Roman"/>
          <w:b/>
          <w:bCs/>
          <w:color w:val="auto"/>
          <w:kern w:val="2"/>
          <w:sz w:val="32"/>
          <w:szCs w:val="32"/>
          <w:highlight w:val="none"/>
          <w:lang w:val="en-US" w:eastAsia="zh-CN" w:bidi="ar-SA"/>
        </w:rPr>
      </w:pPr>
      <w:bookmarkStart w:id="16" w:name="_Toc68703843"/>
      <w:r>
        <w:rPr>
          <w:rFonts w:hint="eastAsia" w:ascii="Times New Roman" w:hAnsi="Times New Roman" w:eastAsia="楷体_GB2312" w:cs="Times New Roman"/>
          <w:b/>
          <w:bCs/>
          <w:color w:val="auto"/>
          <w:kern w:val="2"/>
          <w:sz w:val="32"/>
          <w:szCs w:val="32"/>
          <w:highlight w:val="none"/>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left="0" w:firstLine="640" w:firstLineChars="200"/>
        <w:outlineLvl w:val="9"/>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outlineLvl w:val="9"/>
        <w:rPr>
          <w:color w:val="auto"/>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bookmarkStart w:id="17" w:name="_Toc68703844"/>
      <w:r>
        <w:rPr>
          <w:rFonts w:hint="eastAsia"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left="0" w:firstLine="640" w:firstLineChars="200"/>
        <w:outlineLvl w:val="9"/>
        <w:rPr>
          <w:color w:val="auto"/>
          <w:highlight w:val="none"/>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outlineLvl w:val="9"/>
        <w:rPr>
          <w:rFonts w:hint="eastAsia"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eastAsia" w:eastAsia="黑体" w:cs="Times New Roman"/>
          <w:b w:val="0"/>
          <w:bCs/>
          <w:color w:val="auto"/>
          <w:kern w:val="2"/>
          <w:sz w:val="32"/>
          <w:szCs w:val="32"/>
          <w:highlight w:val="none"/>
          <w:lang w:val="en-US" w:eastAsia="zh-CN" w:bidi="ar-SA"/>
        </w:rPr>
        <w:t>七</w:t>
      </w:r>
      <w:r>
        <w:rPr>
          <w:rFonts w:hint="eastAsia" w:ascii="Times New Roman" w:hAnsi="Times New Roman" w:eastAsia="黑体" w:cs="Times New Roman"/>
          <w:b w:val="0"/>
          <w:bCs/>
          <w:color w:val="auto"/>
          <w:kern w:val="2"/>
          <w:sz w:val="32"/>
          <w:szCs w:val="32"/>
          <w:highlight w:val="none"/>
          <w:lang w:val="en-US" w:eastAsia="zh-CN" w:bidi="ar-SA"/>
        </w:rPr>
        <w:t>、有关建议</w:t>
      </w:r>
      <w:bookmarkEnd w:id="18"/>
      <w:r>
        <w:rPr>
          <w:rFonts w:hint="eastAsia" w:ascii="Times New Roman" w:hAnsi="Times New Roman" w:eastAsia="黑体" w:cs="Times New Roman"/>
          <w:b w:val="0"/>
          <w:bCs/>
          <w:color w:val="auto"/>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kinsoku/>
        <w:wordWrap/>
        <w:overflowPunct/>
        <w:topLinePunct w:val="0"/>
        <w:autoSpaceDE/>
        <w:autoSpaceDN/>
        <w:bidi w:val="0"/>
        <w:adjustRightInd/>
        <w:snapToGrid/>
        <w:spacing w:line="560" w:lineRule="exact"/>
        <w:ind w:left="0" w:firstLine="640" w:firstLineChars="200"/>
        <w:outlineLvl w:val="9"/>
        <w:rPr>
          <w:color w:val="auto"/>
          <w:sz w:val="22"/>
          <w:szCs w:val="28"/>
          <w:highlight w:val="none"/>
        </w:rPr>
      </w:pPr>
      <w:r>
        <w:rPr>
          <w:rFonts w:hint="eastAsia" w:ascii="仿宋_GB2312" w:hAnsi="仿宋_GB2312" w:eastAsia="仿宋_GB2312" w:cs="仿宋_GB2312"/>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highlight w:val="none"/>
        </w:rPr>
        <w:t>。</w:t>
      </w:r>
    </w:p>
    <w:p>
      <w:pPr>
        <w:pageBreakBefore w:val="0"/>
        <w:shd w:val="clear"/>
        <w:kinsoku/>
        <w:wordWrap/>
        <w:overflowPunct/>
        <w:topLinePunct w:val="0"/>
        <w:autoSpaceDE/>
        <w:autoSpaceDN/>
        <w:bidi w:val="0"/>
        <w:adjustRightInd/>
        <w:snapToGrid/>
        <w:spacing w:line="560" w:lineRule="exact"/>
        <w:ind w:left="0" w:firstLine="640" w:firstLineChars="200"/>
        <w:outlineLvl w:val="9"/>
        <w:rPr>
          <w:color w:val="auto"/>
          <w:highlight w:val="none"/>
        </w:rPr>
      </w:pPr>
      <w:r>
        <w:rPr>
          <w:rFonts w:hint="eastAsia" w:ascii="仿宋_GB2312" w:hAnsi="仿宋_GB2312" w:eastAsia="仿宋_GB2312" w:cs="仿宋_GB2312"/>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outlineLvl w:val="9"/>
        <w:rPr>
          <w:rFonts w:hint="eastAsia" w:eastAsia="黑体" w:cs="Times New Roman"/>
          <w:b w:val="0"/>
          <w:bCs/>
          <w:color w:val="auto"/>
          <w:kern w:val="2"/>
          <w:sz w:val="32"/>
          <w:szCs w:val="32"/>
          <w:highlight w:val="none"/>
          <w:lang w:val="en-US" w:eastAsia="zh-CN" w:bidi="ar-SA"/>
        </w:rPr>
      </w:pPr>
      <w:bookmarkStart w:id="19" w:name="_Toc68703846"/>
      <w:r>
        <w:rPr>
          <w:rFonts w:hint="eastAsia" w:eastAsia="黑体" w:cs="Times New Roman"/>
          <w:b w:val="0"/>
          <w:bCs/>
          <w:color w:val="auto"/>
          <w:kern w:val="2"/>
          <w:sz w:val="32"/>
          <w:szCs w:val="32"/>
          <w:highlight w:val="none"/>
          <w:lang w:val="en-US" w:eastAsia="zh-CN" w:bidi="ar-SA"/>
        </w:rPr>
        <w:t>八、其他需要说明的问题</w:t>
      </w:r>
      <w:bookmarkEnd w:id="19"/>
    </w:p>
    <w:p>
      <w:pPr>
        <w:pStyle w:val="2"/>
        <w:pageBreakBefore w:val="0"/>
        <w:kinsoku/>
        <w:wordWrap/>
        <w:overflowPunct/>
        <w:topLinePunct w:val="0"/>
        <w:autoSpaceDE/>
        <w:autoSpaceDN/>
        <w:bidi w:val="0"/>
        <w:adjustRightInd/>
        <w:snapToGrid/>
        <w:spacing w:before="0" w:after="0" w:line="560" w:lineRule="exact"/>
        <w:ind w:left="0" w:firstLine="320" w:firstLineChars="100"/>
        <w:jc w:val="both"/>
        <w:outlineLvl w:val="9"/>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w:t>
      </w:r>
      <w:r>
        <w:rPr>
          <w:rFonts w:hint="eastAsia" w:ascii="仿宋_GB2312" w:hAnsi="仿宋_GB2312" w:eastAsia="仿宋_GB2312" w:cs="仿宋_GB2312"/>
          <w:b w:val="0"/>
          <w:bCs w:val="0"/>
          <w:color w:val="auto"/>
          <w:kern w:val="2"/>
          <w:sz w:val="32"/>
          <w:szCs w:val="32"/>
          <w:highlight w:val="none"/>
          <w:lang w:val="en-US" w:eastAsia="zh-Hans" w:bidi="ar-SA"/>
        </w:rPr>
        <w:t>本项目无其他需说明的问题</w:t>
      </w:r>
      <w:r>
        <w:rPr>
          <w:rFonts w:hint="eastAsia" w:ascii="仿宋_GB2312" w:hAnsi="仿宋_GB2312" w:eastAsia="仿宋_GB2312" w:cs="仿宋_GB2312"/>
          <w:b w:val="0"/>
          <w:bCs w:val="0"/>
          <w:color w:val="auto"/>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left="0"/>
        <w:outlineLvl w:val="9"/>
        <w:rPr>
          <w:rFonts w:hint="eastAsia" w:ascii="仿宋_GB2312" w:hAnsi="仿宋_GB2312" w:cs="仿宋_GB2312"/>
          <w:color w:val="auto"/>
          <w:sz w:val="32"/>
          <w:szCs w:val="32"/>
          <w:highlight w:val="none"/>
          <w:lang w:eastAsia="zh-CN"/>
        </w:rPr>
      </w:pPr>
    </w:p>
    <w:p>
      <w:pPr>
        <w:pStyle w:val="2"/>
        <w:pageBreakBefore w:val="0"/>
        <w:kinsoku/>
        <w:wordWrap/>
        <w:overflowPunct/>
        <w:topLinePunct w:val="0"/>
        <w:autoSpaceDE/>
        <w:autoSpaceDN/>
        <w:bidi w:val="0"/>
        <w:adjustRightInd/>
        <w:snapToGrid/>
        <w:spacing w:before="0" w:after="0" w:line="560" w:lineRule="exact"/>
        <w:ind w:left="0"/>
        <w:outlineLvl w:val="9"/>
        <w:rPr>
          <w:rFonts w:hint="eastAsia" w:ascii="仿宋_GB2312" w:hAnsi="仿宋_GB2312" w:cs="仿宋_GB2312"/>
          <w:color w:val="auto"/>
          <w:sz w:val="32"/>
          <w:szCs w:val="32"/>
          <w:highlight w:val="none"/>
          <w:lang w:eastAsia="zh-CN"/>
        </w:rPr>
      </w:pPr>
    </w:p>
    <w:p>
      <w:pPr>
        <w:rPr>
          <w:rFonts w:hint="eastAsia" w:ascii="仿宋_GB2312" w:hAnsi="仿宋_GB2312" w:cs="仿宋_GB2312"/>
          <w:color w:val="auto"/>
          <w:sz w:val="32"/>
          <w:szCs w:val="32"/>
          <w:highlight w:val="none"/>
          <w:lang w:eastAsia="zh-CN"/>
        </w:rPr>
      </w:pPr>
    </w:p>
    <w:p>
      <w:pPr>
        <w:pStyle w:val="2"/>
        <w:rPr>
          <w:rFonts w:hint="eastAsia" w:ascii="仿宋_GB2312" w:hAnsi="仿宋_GB2312" w:cs="仿宋_GB2312"/>
          <w:color w:val="auto"/>
          <w:sz w:val="32"/>
          <w:szCs w:val="32"/>
          <w:highlight w:val="none"/>
          <w:lang w:eastAsia="zh-CN"/>
        </w:rPr>
      </w:pPr>
    </w:p>
    <w:p>
      <w:pPr>
        <w:rPr>
          <w:rFonts w:hint="eastAsia" w:ascii="仿宋_GB2312" w:hAnsi="仿宋_GB2312" w:cs="仿宋_GB2312"/>
          <w:color w:val="auto"/>
          <w:sz w:val="32"/>
          <w:szCs w:val="32"/>
          <w:highlight w:val="none"/>
          <w:lang w:eastAsia="zh-CN"/>
        </w:rPr>
      </w:pPr>
    </w:p>
    <w:p>
      <w:pPr>
        <w:pStyle w:val="2"/>
        <w:rPr>
          <w:rFonts w:hint="eastAsia" w:ascii="仿宋_GB2312" w:hAnsi="仿宋_GB2312" w:cs="仿宋_GB2312"/>
          <w:color w:val="auto"/>
          <w:sz w:val="32"/>
          <w:szCs w:val="32"/>
          <w:highlight w:val="none"/>
          <w:lang w:eastAsia="zh-CN"/>
        </w:rPr>
      </w:pPr>
    </w:p>
    <w:p>
      <w:pPr>
        <w:rPr>
          <w:rFonts w:hint="eastAsia" w:ascii="仿宋_GB2312" w:hAnsi="仿宋_GB2312" w:cs="仿宋_GB2312"/>
          <w:color w:val="auto"/>
          <w:sz w:val="32"/>
          <w:szCs w:val="32"/>
          <w:highlight w:val="none"/>
          <w:lang w:eastAsia="zh-CN"/>
        </w:rPr>
      </w:pPr>
    </w:p>
    <w:p>
      <w:pPr>
        <w:pStyle w:val="2"/>
        <w:rPr>
          <w:rFonts w:hint="eastAsia" w:ascii="仿宋_GB2312" w:hAnsi="仿宋_GB2312" w:cs="仿宋_GB2312"/>
          <w:color w:val="auto"/>
          <w:sz w:val="32"/>
          <w:szCs w:val="32"/>
          <w:highlight w:val="none"/>
          <w:lang w:eastAsia="zh-CN"/>
        </w:rPr>
      </w:pPr>
    </w:p>
    <w:p>
      <w:pPr>
        <w:rPr>
          <w:rFonts w:hint="eastAsia" w:ascii="仿宋_GB2312" w:hAnsi="仿宋_GB2312" w:cs="仿宋_GB2312"/>
          <w:color w:val="auto"/>
          <w:sz w:val="32"/>
          <w:szCs w:val="32"/>
          <w:highlight w:val="none"/>
          <w:lang w:eastAsia="zh-CN"/>
        </w:rPr>
      </w:pPr>
    </w:p>
    <w:p>
      <w:pPr>
        <w:pStyle w:val="2"/>
        <w:rPr>
          <w:rFonts w:hint="eastAsia" w:ascii="仿宋_GB2312" w:hAnsi="仿宋_GB2312" w:cs="仿宋_GB2312"/>
          <w:color w:val="auto"/>
          <w:sz w:val="32"/>
          <w:szCs w:val="32"/>
          <w:highlight w:val="none"/>
          <w:lang w:eastAsia="zh-CN"/>
        </w:rPr>
      </w:pPr>
    </w:p>
    <w:p>
      <w:pPr>
        <w:rPr>
          <w:rFonts w:hint="eastAsia" w:ascii="仿宋_GB2312" w:hAnsi="仿宋_GB2312" w:cs="仿宋_GB2312"/>
          <w:color w:val="auto"/>
          <w:sz w:val="32"/>
          <w:szCs w:val="32"/>
          <w:highlight w:val="none"/>
          <w:lang w:eastAsia="zh-CN"/>
        </w:rPr>
      </w:pPr>
    </w:p>
    <w:p>
      <w:pPr>
        <w:rPr>
          <w:rFonts w:hint="eastAsia"/>
          <w:lang w:eastAsia="zh-CN"/>
        </w:rPr>
      </w:pPr>
    </w:p>
    <w:p>
      <w:pPr>
        <w:pageBreakBefore w:val="0"/>
        <w:kinsoku/>
        <w:wordWrap/>
        <w:overflowPunct/>
        <w:topLinePunct w:val="0"/>
        <w:autoSpaceDE/>
        <w:autoSpaceDN/>
        <w:bidi w:val="0"/>
        <w:adjustRightInd/>
        <w:snapToGrid/>
        <w:spacing w:line="560" w:lineRule="exact"/>
        <w:ind w:left="0"/>
        <w:outlineLvl w:val="9"/>
        <w:rPr>
          <w:color w:val="auto"/>
          <w:highlight w:val="none"/>
        </w:rPr>
      </w:pPr>
    </w:p>
    <w:tbl>
      <w:tblPr>
        <w:tblW w:w="10940" w:type="dxa"/>
        <w:jc w:val="center"/>
        <w:tblInd w:w="-10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632"/>
        <w:gridCol w:w="886"/>
        <w:gridCol w:w="1213"/>
        <w:gridCol w:w="386"/>
        <w:gridCol w:w="1376"/>
        <w:gridCol w:w="459"/>
        <w:gridCol w:w="948"/>
        <w:gridCol w:w="944"/>
        <w:gridCol w:w="508"/>
        <w:gridCol w:w="458"/>
        <w:gridCol w:w="516"/>
        <w:gridCol w:w="366"/>
        <w:gridCol w:w="415"/>
        <w:gridCol w:w="18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7" w:hRule="atLeast"/>
          <w:jc w:val="center"/>
        </w:trPr>
        <w:tc>
          <w:tcPr>
            <w:tcW w:w="1094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8" w:hRule="atLeast"/>
          <w:jc w:val="center"/>
        </w:trPr>
        <w:tc>
          <w:tcPr>
            <w:tcW w:w="1094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15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9422"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151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438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中国共产党霍尔果斯市委员会办公室</w:t>
            </w:r>
          </w:p>
        </w:tc>
        <w:tc>
          <w:tcPr>
            <w:tcW w:w="145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58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中国共产党霍尔果斯市委员会办公室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1518"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159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7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4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45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9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78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1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81"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37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94.48</w:t>
            </w:r>
          </w:p>
        </w:tc>
        <w:tc>
          <w:tcPr>
            <w:tcW w:w="14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94.48</w:t>
            </w:r>
          </w:p>
        </w:tc>
        <w:tc>
          <w:tcPr>
            <w:tcW w:w="145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94.48</w:t>
            </w:r>
          </w:p>
        </w:tc>
        <w:tc>
          <w:tcPr>
            <w:tcW w:w="9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78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1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37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94.48</w:t>
            </w:r>
          </w:p>
        </w:tc>
        <w:tc>
          <w:tcPr>
            <w:tcW w:w="14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94.48</w:t>
            </w:r>
          </w:p>
        </w:tc>
        <w:tc>
          <w:tcPr>
            <w:tcW w:w="145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8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37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4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45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8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9" w:hRule="atLeast"/>
          <w:jc w:val="center"/>
        </w:trPr>
        <w:tc>
          <w:tcPr>
            <w:tcW w:w="151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37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4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45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8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5268"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504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9"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268"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公务接待费用全部用在“全市接待费用”科目中，规避超出预算值。</w:t>
            </w:r>
          </w:p>
        </w:tc>
        <w:tc>
          <w:tcPr>
            <w:tcW w:w="504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公务接待费用全部用于全市接待费用中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8" w:hRule="atLeast"/>
          <w:jc w:val="center"/>
        </w:trPr>
        <w:tc>
          <w:tcPr>
            <w:tcW w:w="63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21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221"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94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94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96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88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2248"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21"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88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接待次数</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&gt;=300次</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307次</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根据实际接待次数填写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接待人数</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&gt;=12112人</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12284人</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根据实际接待人数填写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根据来访人员级别不同严格按照标准执行</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=98%</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严格按照管理办法标准执行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支付相关接待费用及时性</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&gt;=98%</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资金已足额及时支付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人均接待成本</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&lt;=78元</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76.91元</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促进对外交流和对外知晓率</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有效促进</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有效促进</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提升霍尔果斯市知名度和影响力</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有效提升</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有效提升</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8"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4" w:hRule="atLeast"/>
          <w:jc w:val="center"/>
        </w:trPr>
        <w:tc>
          <w:tcPr>
            <w:tcW w:w="63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21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22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接待来访人员满意度</w:t>
            </w:r>
          </w:p>
        </w:tc>
        <w:tc>
          <w:tcPr>
            <w:tcW w:w="94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9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8" w:hRule="atLeast"/>
          <w:jc w:val="center"/>
        </w:trPr>
        <w:tc>
          <w:tcPr>
            <w:tcW w:w="6844"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96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8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100分</w:t>
            </w:r>
          </w:p>
        </w:tc>
        <w:tc>
          <w:tcPr>
            <w:tcW w:w="224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ageBreakBefore w:val="0"/>
        <w:kinsoku/>
        <w:wordWrap/>
        <w:overflowPunct/>
        <w:topLinePunct w:val="0"/>
        <w:autoSpaceDE/>
        <w:autoSpaceDN/>
        <w:bidi w:val="0"/>
        <w:adjustRightInd/>
        <w:snapToGrid/>
        <w:spacing w:line="560" w:lineRule="exact"/>
        <w:ind w:left="0"/>
        <w:outlineLvl w:val="9"/>
        <w:rPr>
          <w:color w:val="auto"/>
          <w:highlight w:val="none"/>
        </w:rPr>
      </w:pPr>
    </w:p>
    <w:p>
      <w:pPr>
        <w:pageBreakBefore w:val="0"/>
        <w:kinsoku/>
        <w:wordWrap/>
        <w:overflowPunct/>
        <w:topLinePunct w:val="0"/>
        <w:autoSpaceDE/>
        <w:autoSpaceDN/>
        <w:bidi w:val="0"/>
        <w:adjustRightInd/>
        <w:snapToGrid/>
        <w:spacing w:line="560" w:lineRule="exact"/>
        <w:ind w:left="0"/>
        <w:outlineLvl w:val="9"/>
        <w:rPr>
          <w:color w:val="auto"/>
          <w:highlight w:val="none"/>
        </w:rPr>
      </w:pPr>
    </w:p>
    <w:p>
      <w:pPr>
        <w:pStyle w:val="2"/>
        <w:pageBreakBefore w:val="0"/>
        <w:kinsoku/>
        <w:wordWrap/>
        <w:overflowPunct/>
        <w:topLinePunct w:val="0"/>
        <w:autoSpaceDE/>
        <w:autoSpaceDN/>
        <w:bidi w:val="0"/>
        <w:adjustRightInd/>
        <w:snapToGrid/>
        <w:spacing w:before="0" w:after="0" w:line="560" w:lineRule="exact"/>
        <w:ind w:left="0"/>
        <w:jc w:val="both"/>
        <w:outlineLvl w:val="9"/>
        <w:rPr>
          <w:color w:val="auto"/>
          <w:highlight w:val="none"/>
        </w:rPr>
      </w:pPr>
    </w:p>
    <w:p>
      <w:pPr>
        <w:pageBreakBefore w:val="0"/>
        <w:kinsoku/>
        <w:wordWrap/>
        <w:overflowPunct/>
        <w:topLinePunct w:val="0"/>
        <w:autoSpaceDE/>
        <w:autoSpaceDN/>
        <w:bidi w:val="0"/>
        <w:adjustRightInd/>
        <w:snapToGrid/>
        <w:spacing w:line="560" w:lineRule="exact"/>
        <w:ind w:left="0"/>
        <w:outlineLvl w:val="9"/>
        <w:rPr>
          <w:rFonts w:hint="eastAsia" w:ascii="黑体" w:hAnsi="黑体" w:eastAsia="黑体" w:cs="黑体"/>
          <w:bCs/>
          <w:color w:val="auto"/>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0"/>
        <w:pageBreakBefore w:val="0"/>
        <w:kinsoku/>
        <w:wordWrap/>
        <w:overflowPunct/>
        <w:topLinePunct w:val="0"/>
        <w:autoSpaceDE/>
        <w:autoSpaceDN/>
        <w:bidi w:val="0"/>
        <w:adjustRightInd/>
        <w:snapToGrid/>
        <w:spacing w:line="560" w:lineRule="exact"/>
        <w:ind w:left="0" w:firstLine="562"/>
        <w:jc w:val="center"/>
        <w:outlineLvl w:val="9"/>
        <w:rPr>
          <w:color w:val="auto"/>
          <w:sz w:val="28"/>
          <w:szCs w:val="40"/>
          <w:highlight w:val="none"/>
        </w:rPr>
      </w:pPr>
      <w:bookmarkStart w:id="20" w:name="_Toc26499_WPSOffice_Level2"/>
      <w:bookmarkStart w:id="21" w:name="_Toc30064_WPSOffice_Level1"/>
      <w:r>
        <w:rPr>
          <w:rFonts w:hint="eastAsia"/>
          <w:b/>
          <w:bCs/>
          <w:color w:val="auto"/>
          <w:sz w:val="28"/>
          <w:szCs w:val="40"/>
          <w:highlight w:val="none"/>
          <w:lang w:val="en-US" w:eastAsia="zh-CN"/>
        </w:rPr>
        <w:t>霍尔果斯市接待费项目</w:t>
      </w:r>
      <w:r>
        <w:rPr>
          <w:rFonts w:hint="eastAsia"/>
          <w:b/>
          <w:bCs/>
          <w:color w:val="auto"/>
          <w:sz w:val="28"/>
          <w:szCs w:val="40"/>
          <w:highlight w:val="none"/>
        </w:rPr>
        <w:t>绩效评价指标体系及综合评分表</w:t>
      </w:r>
      <w:bookmarkEnd w:id="20"/>
      <w:bookmarkEnd w:id="21"/>
    </w:p>
    <w:tbl>
      <w:tblPr>
        <w:tblW w:w="14900" w:type="dxa"/>
        <w:jc w:val="center"/>
        <w:tblInd w:w="-8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34"/>
        <w:gridCol w:w="1134"/>
        <w:gridCol w:w="1350"/>
        <w:gridCol w:w="3372"/>
        <w:gridCol w:w="6860"/>
        <w:gridCol w:w="725"/>
        <w:gridCol w:w="7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65" w:hRule="atLeast"/>
          <w:jc w:val="center"/>
        </w:trPr>
        <w:tc>
          <w:tcPr>
            <w:tcW w:w="13450"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bookmarkStart w:id="22" w:name="_GoBack"/>
            <w:r>
              <w:rPr>
                <w:rFonts w:hint="eastAsia" w:ascii="宋体" w:hAnsi="宋体" w:eastAsia="宋体" w:cs="宋体"/>
                <w:b/>
                <w:i w:val="0"/>
                <w:color w:val="000000"/>
                <w:kern w:val="0"/>
                <w:sz w:val="36"/>
                <w:szCs w:val="36"/>
                <w:u w:val="none"/>
                <w:bdr w:val="none" w:color="auto" w:sz="0" w:space="0"/>
                <w:lang w:val="en-US" w:eastAsia="zh-CN" w:bidi="ar"/>
              </w:rPr>
              <w:t>霍尔果斯市接待费项目支出绩效评价指标体系</w:t>
            </w:r>
          </w:p>
        </w:tc>
        <w:tc>
          <w:tcPr>
            <w:tcW w:w="725"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25"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35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37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2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2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1"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1"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17"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8"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5"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35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37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7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3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35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37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6" w:hRule="atLeast"/>
          <w:jc w:val="center"/>
        </w:trPr>
        <w:tc>
          <w:tcPr>
            <w:tcW w:w="7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3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5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37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8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6" w:hRule="atLeast"/>
          <w:jc w:val="center"/>
        </w:trPr>
        <w:tc>
          <w:tcPr>
            <w:tcW w:w="13450"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25"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bookmarkEnd w:id="22"/>
    </w:tbl>
    <w:p>
      <w:pPr>
        <w:pageBreakBefore w:val="0"/>
        <w:kinsoku/>
        <w:wordWrap/>
        <w:overflowPunct/>
        <w:topLinePunct w:val="0"/>
        <w:autoSpaceDE/>
        <w:autoSpaceDN/>
        <w:bidi w:val="0"/>
        <w:adjustRightInd/>
        <w:snapToGrid/>
        <w:spacing w:line="560" w:lineRule="exact"/>
        <w:ind w:left="0"/>
        <w:outlineLvl w:val="9"/>
        <w:rPr>
          <w:color w:val="auto"/>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lYjVjYzM0YWQxZWViODkyZjI1YjcyYzU5MzBhMGMifQ=="/>
  </w:docVars>
  <w:rsids>
    <w:rsidRoot w:val="007D49C5"/>
    <w:rsid w:val="000D63FA"/>
    <w:rsid w:val="005B64E8"/>
    <w:rsid w:val="00614288"/>
    <w:rsid w:val="00670592"/>
    <w:rsid w:val="00792CFE"/>
    <w:rsid w:val="007D49C5"/>
    <w:rsid w:val="008175E0"/>
    <w:rsid w:val="008C631D"/>
    <w:rsid w:val="00A114ED"/>
    <w:rsid w:val="00B24331"/>
    <w:rsid w:val="011C112D"/>
    <w:rsid w:val="01583141"/>
    <w:rsid w:val="04156CBF"/>
    <w:rsid w:val="047501A1"/>
    <w:rsid w:val="05253FFE"/>
    <w:rsid w:val="05916E93"/>
    <w:rsid w:val="059D4D30"/>
    <w:rsid w:val="0CA76636"/>
    <w:rsid w:val="0F2A6BF7"/>
    <w:rsid w:val="109627EE"/>
    <w:rsid w:val="110271EF"/>
    <w:rsid w:val="157D3325"/>
    <w:rsid w:val="16DC22CD"/>
    <w:rsid w:val="17136327"/>
    <w:rsid w:val="181871E2"/>
    <w:rsid w:val="19166846"/>
    <w:rsid w:val="20E92B23"/>
    <w:rsid w:val="22AC2218"/>
    <w:rsid w:val="2729052F"/>
    <w:rsid w:val="27CE0692"/>
    <w:rsid w:val="28C14634"/>
    <w:rsid w:val="2EC724D4"/>
    <w:rsid w:val="2EE30257"/>
    <w:rsid w:val="3014493B"/>
    <w:rsid w:val="30C22D64"/>
    <w:rsid w:val="33A47C6F"/>
    <w:rsid w:val="34DA27CE"/>
    <w:rsid w:val="36411DC5"/>
    <w:rsid w:val="36B72533"/>
    <w:rsid w:val="4057649F"/>
    <w:rsid w:val="435A46D3"/>
    <w:rsid w:val="450B6AE4"/>
    <w:rsid w:val="54873A1A"/>
    <w:rsid w:val="54F11F0D"/>
    <w:rsid w:val="56644DE8"/>
    <w:rsid w:val="56796849"/>
    <w:rsid w:val="568F383B"/>
    <w:rsid w:val="57905955"/>
    <w:rsid w:val="597620F4"/>
    <w:rsid w:val="5D555EEF"/>
    <w:rsid w:val="5DA95371"/>
    <w:rsid w:val="5E455B54"/>
    <w:rsid w:val="63476733"/>
    <w:rsid w:val="686F7714"/>
    <w:rsid w:val="6A185C59"/>
    <w:rsid w:val="6A74014B"/>
    <w:rsid w:val="6A862BA8"/>
    <w:rsid w:val="6BB6446E"/>
    <w:rsid w:val="6DFC1C65"/>
    <w:rsid w:val="73E55FF2"/>
    <w:rsid w:val="75094F1F"/>
    <w:rsid w:val="75FA041F"/>
    <w:rsid w:val="760F49BD"/>
    <w:rsid w:val="76E870A0"/>
    <w:rsid w:val="7AE40DD7"/>
    <w:rsid w:val="7E1F7CEF"/>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10</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2024-06-12T04:00:53Z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B51AD360741F4CC6BDBD04D2DAA7233B_13</vt:lpwstr>
  </property>
</Properties>
</file>