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val="0"/>
        <w:spacing w:line="560" w:lineRule="exact"/>
        <w:ind w:left="0"/>
        <w:jc w:val="center"/>
        <w:outlineLvl w:val="9"/>
        <w:rPr>
          <w:rFonts w:ascii="宋体" w:hAnsi="宋体" w:eastAsia="宋体" w:cs="Arial"/>
          <w:b/>
          <w:bCs/>
          <w:sz w:val="48"/>
          <w:szCs w:val="48"/>
        </w:rPr>
      </w:pPr>
    </w:p>
    <w:p>
      <w:pPr>
        <w:pageBreakBefore w:val="0"/>
        <w:kinsoku/>
        <w:wordWrap/>
        <w:overflowPunct/>
        <w:topLinePunct w:val="0"/>
        <w:autoSpaceDE/>
        <w:autoSpaceDN/>
        <w:bidi w:val="0"/>
        <w:adjustRightInd/>
        <w:snapToGrid w:val="0"/>
        <w:spacing w:line="560" w:lineRule="exact"/>
        <w:ind w:left="0"/>
        <w:jc w:val="center"/>
        <w:outlineLvl w:val="9"/>
        <w:rPr>
          <w:rFonts w:ascii="宋体" w:hAnsi="宋体" w:eastAsia="宋体" w:cs="Arial"/>
          <w:b/>
          <w:bCs/>
          <w:sz w:val="48"/>
          <w:szCs w:val="48"/>
        </w:rPr>
      </w:pPr>
    </w:p>
    <w:p>
      <w:pPr>
        <w:pageBreakBefore w:val="0"/>
        <w:kinsoku/>
        <w:wordWrap/>
        <w:overflowPunct/>
        <w:topLinePunct w:val="0"/>
        <w:autoSpaceDE/>
        <w:autoSpaceDN/>
        <w:bidi w:val="0"/>
        <w:adjustRightInd/>
        <w:snapToGrid w:val="0"/>
        <w:spacing w:line="560" w:lineRule="exact"/>
        <w:ind w:left="0"/>
        <w:jc w:val="center"/>
        <w:outlineLvl w:val="9"/>
        <w:rPr>
          <w:rFonts w:ascii="宋体" w:hAnsi="宋体" w:eastAsia="宋体" w:cs="Arial"/>
          <w:b/>
          <w:bCs/>
          <w:sz w:val="48"/>
          <w:szCs w:val="48"/>
        </w:rPr>
      </w:pPr>
    </w:p>
    <w:p>
      <w:pPr>
        <w:pageBreakBefore w:val="0"/>
        <w:kinsoku/>
        <w:wordWrap/>
        <w:overflowPunct/>
        <w:topLinePunct w:val="0"/>
        <w:autoSpaceDE/>
        <w:autoSpaceDN/>
        <w:bidi w:val="0"/>
        <w:adjustRightInd/>
        <w:snapToGrid w:val="0"/>
        <w:spacing w:line="560" w:lineRule="exact"/>
        <w:ind w:left="0"/>
        <w:jc w:val="center"/>
        <w:outlineLvl w:val="9"/>
        <w:rPr>
          <w:rFonts w:eastAsia="方正小标宋_GBK"/>
          <w:kern w:val="0"/>
          <w:sz w:val="48"/>
          <w:szCs w:val="48"/>
        </w:rPr>
      </w:pPr>
      <w:r>
        <w:rPr>
          <w:rFonts w:hint="eastAsia" w:eastAsia="方正小标宋_GBK"/>
          <w:kern w:val="0"/>
          <w:sz w:val="48"/>
          <w:szCs w:val="48"/>
        </w:rPr>
        <w:t>五联调度室建设和市YQ指挥部改造及口岸工作组采购办公设备</w:t>
      </w:r>
      <w:r>
        <w:rPr>
          <w:rFonts w:eastAsia="方正小标宋_GBK"/>
          <w:kern w:val="0"/>
          <w:sz w:val="48"/>
          <w:szCs w:val="48"/>
        </w:rPr>
        <w:t>资金项目支出</w:t>
      </w:r>
    </w:p>
    <w:p>
      <w:pPr>
        <w:pageBreakBefore w:val="0"/>
        <w:kinsoku/>
        <w:wordWrap/>
        <w:overflowPunct/>
        <w:topLinePunct w:val="0"/>
        <w:autoSpaceDE/>
        <w:autoSpaceDN/>
        <w:bidi w:val="0"/>
        <w:adjustRightInd/>
        <w:snapToGrid w:val="0"/>
        <w:spacing w:line="560" w:lineRule="exact"/>
        <w:ind w:left="0"/>
        <w:jc w:val="center"/>
        <w:outlineLvl w:val="9"/>
        <w:rPr>
          <w:rFonts w:eastAsia="方正小标宋_GBK"/>
          <w:kern w:val="0"/>
          <w:sz w:val="48"/>
          <w:szCs w:val="48"/>
        </w:rPr>
      </w:pPr>
      <w:r>
        <w:rPr>
          <w:rFonts w:eastAsia="方正小标宋_GBK"/>
          <w:kern w:val="0"/>
          <w:sz w:val="48"/>
          <w:szCs w:val="48"/>
        </w:rPr>
        <w:t>绩效评价报告</w:t>
      </w:r>
    </w:p>
    <w:p>
      <w:pPr>
        <w:pageBreakBefore w:val="0"/>
        <w:kinsoku/>
        <w:wordWrap/>
        <w:overflowPunct/>
        <w:topLinePunct w:val="0"/>
        <w:autoSpaceDE/>
        <w:autoSpaceDN/>
        <w:bidi w:val="0"/>
        <w:adjustRightInd/>
        <w:snapToGrid w:val="0"/>
        <w:spacing w:line="560" w:lineRule="exact"/>
        <w:ind w:left="0"/>
        <w:jc w:val="center"/>
        <w:outlineLvl w:val="9"/>
        <w:rPr>
          <w:rFonts w:ascii="宋体" w:hAnsi="宋体" w:eastAsia="宋体" w:cs="Arial"/>
          <w:b/>
          <w:bCs/>
          <w:sz w:val="48"/>
          <w:szCs w:val="48"/>
        </w:rPr>
      </w:pPr>
    </w:p>
    <w:p>
      <w:pPr>
        <w:pageBreakBefore w:val="0"/>
        <w:widowControl/>
        <w:kinsoku/>
        <w:wordWrap/>
        <w:overflowPunct/>
        <w:topLinePunct w:val="0"/>
        <w:autoSpaceDE/>
        <w:autoSpaceDN/>
        <w:bidi w:val="0"/>
        <w:adjustRightInd/>
        <w:snapToGrid w:val="0"/>
        <w:spacing w:line="560" w:lineRule="exact"/>
        <w:ind w:left="0"/>
        <w:jc w:val="center"/>
        <w:outlineLvl w:val="9"/>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pageBreakBefore w:val="0"/>
        <w:kinsoku/>
        <w:wordWrap/>
        <w:overflowPunct/>
        <w:topLinePunct w:val="0"/>
        <w:autoSpaceDE/>
        <w:autoSpaceDN/>
        <w:bidi w:val="0"/>
        <w:adjustRightInd/>
        <w:snapToGrid w:val="0"/>
        <w:spacing w:line="560" w:lineRule="exact"/>
        <w:ind w:left="0"/>
        <w:jc w:val="center"/>
        <w:outlineLvl w:val="9"/>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val="0"/>
        <w:spacing w:line="560" w:lineRule="exact"/>
        <w:ind w:left="0"/>
        <w:jc w:val="center"/>
        <w:outlineLvl w:val="9"/>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val="0"/>
        <w:spacing w:line="560" w:lineRule="exact"/>
        <w:ind w:left="0"/>
        <w:jc w:val="center"/>
        <w:outlineLvl w:val="9"/>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val="0"/>
        <w:spacing w:line="560" w:lineRule="exact"/>
        <w:ind w:left="0"/>
        <w:jc w:val="center"/>
        <w:outlineLvl w:val="9"/>
        <w:rPr>
          <w:rFonts w:ascii="仿宋_GB2312" w:hAnsi="仿宋_GB2312" w:cs="仿宋_GB2312"/>
          <w:b/>
          <w:kern w:val="0"/>
          <w:sz w:val="50"/>
          <w:szCs w:val="50"/>
          <w:lang w:bidi="en-US"/>
        </w:rPr>
      </w:pPr>
    </w:p>
    <w:p>
      <w:pPr>
        <w:pStyle w:val="2"/>
        <w:rPr>
          <w:rFonts w:ascii="仿宋_GB2312" w:hAnsi="仿宋_GB2312" w:cs="仿宋_GB2312"/>
          <w:b/>
          <w:kern w:val="0"/>
          <w:sz w:val="50"/>
          <w:szCs w:val="50"/>
          <w:lang w:bidi="en-US"/>
        </w:rPr>
      </w:pPr>
    </w:p>
    <w:p/>
    <w:p>
      <w:pPr>
        <w:pageBreakBefore w:val="0"/>
        <w:kinsoku/>
        <w:wordWrap/>
        <w:overflowPunct/>
        <w:topLinePunct w:val="0"/>
        <w:autoSpaceDE/>
        <w:autoSpaceDN/>
        <w:bidi w:val="0"/>
        <w:adjustRightInd/>
        <w:snapToGrid w:val="0"/>
        <w:spacing w:line="560" w:lineRule="exact"/>
        <w:ind w:left="0"/>
        <w:jc w:val="center"/>
        <w:outlineLvl w:val="9"/>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val="0"/>
        <w:spacing w:line="560" w:lineRule="exact"/>
        <w:ind w:left="0" w:firstLine="321" w:firstLineChars="100"/>
        <w:jc w:val="center"/>
        <w:outlineLvl w:val="9"/>
        <w:rPr>
          <w:rFonts w:hint="eastAsia" w:ascii="宋体" w:hAnsi="宋体" w:eastAsia="宋体" w:cs="仿宋_GB2312"/>
          <w:b/>
          <w:bCs/>
          <w:color w:val="000000"/>
          <w:kern w:val="0"/>
          <w:sz w:val="32"/>
          <w:szCs w:val="32"/>
          <w:lang w:val="en-US" w:eastAsia="zh-CN"/>
        </w:rPr>
      </w:pPr>
      <w:r>
        <w:rPr>
          <w:rFonts w:hint="eastAsia" w:ascii="宋体" w:hAnsi="宋体" w:eastAsia="宋体" w:cs="仿宋_GB2312"/>
          <w:b/>
          <w:bCs/>
          <w:color w:val="000000"/>
          <w:kern w:val="0"/>
          <w:sz w:val="32"/>
          <w:szCs w:val="32"/>
          <w:lang w:val="en-US" w:eastAsia="zh-CN"/>
        </w:rPr>
        <w:t xml:space="preserve">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eastAsia="zh-CN"/>
        </w:rPr>
        <w:t>五联调度室建设和市疫情指挥部改造及口岸工作组采购办公设备</w:t>
      </w:r>
    </w:p>
    <w:p>
      <w:pPr>
        <w:pageBreakBefore w:val="0"/>
        <w:kinsoku/>
        <w:wordWrap/>
        <w:overflowPunct/>
        <w:topLinePunct w:val="0"/>
        <w:autoSpaceDE/>
        <w:autoSpaceDN/>
        <w:bidi w:val="0"/>
        <w:adjustRightInd/>
        <w:snapToGrid w:val="0"/>
        <w:spacing w:line="560" w:lineRule="exact"/>
        <w:ind w:left="0"/>
        <w:jc w:val="both"/>
        <w:outlineLvl w:val="9"/>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中共霍尔果斯市委员会办公室</w:t>
      </w:r>
    </w:p>
    <w:p>
      <w:pPr>
        <w:pageBreakBefore w:val="0"/>
        <w:kinsoku/>
        <w:wordWrap/>
        <w:overflowPunct/>
        <w:topLinePunct w:val="0"/>
        <w:autoSpaceDE/>
        <w:autoSpaceDN/>
        <w:bidi w:val="0"/>
        <w:adjustRightInd/>
        <w:snapToGrid w:val="0"/>
        <w:spacing w:line="560" w:lineRule="exact"/>
        <w:ind w:left="0"/>
        <w:jc w:val="both"/>
        <w:outlineLvl w:val="9"/>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中共霍尔果斯市委员会办公室</w:t>
      </w:r>
    </w:p>
    <w:p>
      <w:pPr>
        <w:pageBreakBefore w:val="0"/>
        <w:kinsoku/>
        <w:wordWrap/>
        <w:overflowPunct/>
        <w:topLinePunct w:val="0"/>
        <w:autoSpaceDE/>
        <w:autoSpaceDN/>
        <w:bidi w:val="0"/>
        <w:adjustRightInd/>
        <w:snapToGrid w:val="0"/>
        <w:spacing w:line="560" w:lineRule="exact"/>
        <w:ind w:left="0" w:firstLine="321" w:firstLineChars="100"/>
        <w:jc w:val="both"/>
        <w:outlineLvl w:val="9"/>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李辉</w:t>
      </w:r>
    </w:p>
    <w:p>
      <w:pPr>
        <w:pageBreakBefore w:val="0"/>
        <w:kinsoku/>
        <w:wordWrap/>
        <w:overflowPunct/>
        <w:topLinePunct w:val="0"/>
        <w:autoSpaceDE/>
        <w:autoSpaceDN/>
        <w:bidi w:val="0"/>
        <w:adjustRightInd/>
        <w:snapToGrid w:val="0"/>
        <w:spacing w:line="560" w:lineRule="exact"/>
        <w:ind w:left="0" w:firstLine="321" w:firstLineChars="100"/>
        <w:jc w:val="both"/>
        <w:outlineLvl w:val="9"/>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b/>
          <w:bCs/>
          <w:color w:val="000000"/>
          <w:kern w:val="0"/>
          <w:sz w:val="32"/>
          <w:szCs w:val="32"/>
          <w:lang w:eastAsia="zh-CN"/>
        </w:rPr>
        <w:t>202</w:t>
      </w:r>
      <w:r>
        <w:rPr>
          <w:rFonts w:hint="eastAsia" w:ascii="宋体" w:hAnsi="宋体" w:eastAsia="宋体" w:cs="仿宋_GB2312"/>
          <w:b/>
          <w:bCs/>
          <w:color w:val="000000"/>
          <w:kern w:val="0"/>
          <w:sz w:val="32"/>
          <w:szCs w:val="32"/>
          <w:lang w:val="en-US" w:eastAsia="zh-CN"/>
        </w:rPr>
        <w:t>4</w:t>
      </w:r>
      <w:r>
        <w:rPr>
          <w:rFonts w:hint="eastAsia" w:ascii="宋体" w:hAnsi="宋体" w:eastAsia="宋体" w:cs="仿宋_GB2312"/>
          <w:b/>
          <w:bCs/>
          <w:color w:val="000000"/>
          <w:kern w:val="0"/>
          <w:sz w:val="32"/>
          <w:szCs w:val="32"/>
          <w:lang w:eastAsia="zh-CN"/>
        </w:rPr>
        <w:t>年</w:t>
      </w:r>
      <w:r>
        <w:rPr>
          <w:rFonts w:hint="eastAsia" w:ascii="宋体" w:hAnsi="宋体" w:eastAsia="宋体" w:cs="仿宋_GB2312"/>
          <w:b/>
          <w:bCs/>
          <w:color w:val="000000"/>
          <w:kern w:val="0"/>
          <w:sz w:val="32"/>
          <w:szCs w:val="32"/>
          <w:lang w:val="en-US" w:eastAsia="zh-CN"/>
        </w:rPr>
        <w:t>4</w:t>
      </w:r>
      <w:r>
        <w:rPr>
          <w:rFonts w:hint="eastAsia" w:ascii="宋体" w:hAnsi="宋体" w:eastAsia="宋体" w:cs="仿宋_GB2312"/>
          <w:b/>
          <w:bCs/>
          <w:color w:val="000000"/>
          <w:kern w:val="0"/>
          <w:sz w:val="32"/>
          <w:szCs w:val="32"/>
          <w:lang w:eastAsia="zh-CN"/>
        </w:rPr>
        <w:t xml:space="preserve"> 月</w:t>
      </w:r>
      <w:r>
        <w:rPr>
          <w:rFonts w:hint="eastAsia" w:ascii="宋体" w:hAnsi="宋体" w:eastAsia="宋体" w:cs="仿宋_GB2312"/>
          <w:b/>
          <w:bCs/>
          <w:color w:val="000000"/>
          <w:kern w:val="0"/>
          <w:sz w:val="32"/>
          <w:szCs w:val="32"/>
          <w:lang w:val="en-US" w:eastAsia="zh-CN"/>
        </w:rPr>
        <w:t>1</w:t>
      </w:r>
      <w:r>
        <w:rPr>
          <w:rFonts w:hint="eastAsia" w:ascii="宋体" w:hAnsi="宋体" w:eastAsia="宋体" w:cs="仿宋_GB2312"/>
          <w:b/>
          <w:bCs/>
          <w:color w:val="000000"/>
          <w:kern w:val="0"/>
          <w:sz w:val="32"/>
          <w:szCs w:val="32"/>
          <w:lang w:eastAsia="zh-CN"/>
        </w:rPr>
        <w:t>日</w:t>
      </w:r>
    </w:p>
    <w:p>
      <w:pPr>
        <w:pageBreakBefore w:val="0"/>
        <w:widowControl/>
        <w:kinsoku/>
        <w:wordWrap/>
        <w:overflowPunct/>
        <w:topLinePunct w:val="0"/>
        <w:autoSpaceDE/>
        <w:autoSpaceDN/>
        <w:bidi w:val="0"/>
        <w:adjustRightInd/>
        <w:snapToGrid w:val="0"/>
        <w:spacing w:line="560" w:lineRule="exact"/>
        <w:ind w:left="0"/>
        <w:jc w:val="left"/>
        <w:outlineLvl w:val="9"/>
        <w:rPr>
          <w:rFonts w:ascii="宋体" w:hAnsi="宋体" w:eastAsia="宋体" w:cs="Arial"/>
          <w:b/>
          <w:bCs/>
          <w:sz w:val="36"/>
          <w:szCs w:val="36"/>
        </w:rPr>
      </w:pPr>
      <w:r>
        <w:rPr>
          <w:rFonts w:ascii="宋体" w:hAnsi="宋体" w:eastAsia="宋体" w:cs="Arial"/>
          <w:b/>
          <w:bCs/>
          <w:sz w:val="36"/>
          <w:szCs w:val="36"/>
        </w:rPr>
        <w:br w:type="page"/>
      </w:r>
    </w:p>
    <w:p>
      <w:pPr>
        <w:pageBreakBefore w:val="0"/>
        <w:numPr>
          <w:ilvl w:val="0"/>
          <w:numId w:val="0"/>
        </w:numPr>
        <w:kinsoku/>
        <w:wordWrap/>
        <w:overflowPunct/>
        <w:topLinePunct w:val="0"/>
        <w:autoSpaceDE/>
        <w:autoSpaceDN/>
        <w:bidi w:val="0"/>
        <w:adjustRightInd/>
        <w:snapToGrid w:val="0"/>
        <w:spacing w:line="560" w:lineRule="exact"/>
        <w:ind w:left="0" w:firstLine="640" w:firstLineChars="200"/>
        <w:outlineLvl w:val="9"/>
        <w:rPr>
          <w:rFonts w:hint="eastAsia" w:ascii="Times New Roman" w:hAnsi="Times New Roman" w:eastAsia="黑体" w:cs="Times New Roman"/>
          <w:bCs/>
          <w:sz w:val="32"/>
          <w:szCs w:val="32"/>
        </w:rPr>
      </w:pPr>
      <w:bookmarkStart w:id="0" w:name="_Toc68703827"/>
      <w:r>
        <w:rPr>
          <w:rFonts w:hint="eastAsia" w:eastAsia="黑体" w:cs="Times New Roman"/>
          <w:bCs/>
          <w:sz w:val="32"/>
          <w:szCs w:val="32"/>
          <w:lang w:eastAsia="zh-CN"/>
        </w:rPr>
        <w:t>一、</w:t>
      </w:r>
      <w:r>
        <w:rPr>
          <w:rFonts w:hint="eastAsia" w:ascii="Times New Roman" w:hAnsi="Times New Roman" w:eastAsia="黑体" w:cs="Times New Roman"/>
          <w:bCs/>
          <w:sz w:val="32"/>
          <w:szCs w:val="32"/>
        </w:rPr>
        <w:t>基本情况</w:t>
      </w:r>
      <w:bookmarkEnd w:id="0"/>
      <w:bookmarkStart w:id="1" w:name="_Toc68703828"/>
    </w:p>
    <w:p>
      <w:pPr>
        <w:pageBreakBefore w:val="0"/>
        <w:numPr>
          <w:ilvl w:val="0"/>
          <w:numId w:val="0"/>
        </w:numPr>
        <w:kinsoku/>
        <w:wordWrap/>
        <w:overflowPunct/>
        <w:topLinePunct w:val="0"/>
        <w:autoSpaceDE/>
        <w:autoSpaceDN/>
        <w:bidi w:val="0"/>
        <w:adjustRightInd/>
        <w:snapToGrid w:val="0"/>
        <w:spacing w:line="560" w:lineRule="exact"/>
        <w:ind w:left="0" w:firstLine="643" w:firstLineChars="200"/>
        <w:outlineLvl w:val="9"/>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val="0"/>
        <w:spacing w:line="560" w:lineRule="exact"/>
        <w:ind w:left="0" w:firstLine="320" w:firstLineChars="100"/>
        <w:textAlignment w:val="auto"/>
        <w:outlineLvl w:val="9"/>
        <w:rPr>
          <w:rFonts w:hint="eastAsia" w:eastAsia="仿宋_GB2312"/>
          <w:sz w:val="32"/>
          <w:szCs w:val="32"/>
          <w:lang w:val="en-US"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r>
        <w:rPr>
          <w:rFonts w:hint="eastAsia" w:eastAsia="仿宋_GB2312"/>
          <w:sz w:val="32"/>
          <w:szCs w:val="32"/>
        </w:rPr>
        <w:t>霍尔果斯市为带动经济发展，更好的解决民生问题，完成就业目标，多次开展会议进行研究讨论，为保障会议顺利完成，更好的与各货场沟通交流、指导工作，做好外防输入及疫情保障指导工作，提高工作效率，对会议室进行改造，增加设备LED屏幕及其他办公设备，保障会议正常召开。</w:t>
      </w:r>
      <w:r>
        <w:rPr>
          <w:rFonts w:hint="eastAsia"/>
          <w:sz w:val="32"/>
          <w:szCs w:val="32"/>
          <w:lang w:eastAsia="zh-CN"/>
        </w:rPr>
        <w:t>以下是</w:t>
      </w:r>
      <w:r>
        <w:rPr>
          <w:rFonts w:hint="eastAsia" w:eastAsia="仿宋_GB2312"/>
          <w:sz w:val="32"/>
          <w:szCs w:val="32"/>
        </w:rPr>
        <w:t>会议室配备高质量的会议设备</w:t>
      </w:r>
      <w:r>
        <w:rPr>
          <w:rFonts w:hint="eastAsia"/>
          <w:sz w:val="32"/>
          <w:szCs w:val="32"/>
          <w:lang w:eastAsia="zh-CN"/>
        </w:rPr>
        <w:t>的意义：</w:t>
      </w:r>
    </w:p>
    <w:p>
      <w:pPr>
        <w:pageBreakBefore w:val="0"/>
        <w:widowControl w:val="0"/>
        <w:numPr>
          <w:ilvl w:val="0"/>
          <w:numId w:val="0"/>
        </w:numPr>
        <w:kinsoku/>
        <w:wordWrap/>
        <w:overflowPunct/>
        <w:topLinePunct w:val="0"/>
        <w:autoSpaceDE/>
        <w:autoSpaceDN/>
        <w:bidi w:val="0"/>
        <w:adjustRightInd/>
        <w:snapToGrid w:val="0"/>
        <w:spacing w:line="560" w:lineRule="exact"/>
        <w:ind w:left="0"/>
        <w:textAlignment w:val="auto"/>
        <w:outlineLvl w:val="9"/>
        <w:rPr>
          <w:rFonts w:hint="eastAsia" w:eastAsia="仿宋_GB2312"/>
          <w:sz w:val="32"/>
          <w:szCs w:val="32"/>
        </w:rPr>
      </w:pPr>
      <w:r>
        <w:rPr>
          <w:rFonts w:hint="eastAsia" w:eastAsia="仿宋_GB2312"/>
          <w:sz w:val="32"/>
          <w:szCs w:val="32"/>
        </w:rPr>
        <w:t>一、提高会议效率</w:t>
      </w:r>
    </w:p>
    <w:p>
      <w:pPr>
        <w:pageBreakBefore w:val="0"/>
        <w:widowControl w:val="0"/>
        <w:numPr>
          <w:ilvl w:val="0"/>
          <w:numId w:val="0"/>
        </w:numPr>
        <w:kinsoku/>
        <w:wordWrap/>
        <w:overflowPunct/>
        <w:topLinePunct w:val="0"/>
        <w:autoSpaceDE/>
        <w:autoSpaceDN/>
        <w:bidi w:val="0"/>
        <w:adjustRightInd/>
        <w:snapToGrid w:val="0"/>
        <w:spacing w:line="560" w:lineRule="exact"/>
        <w:ind w:left="0" w:firstLine="640" w:firstLineChars="200"/>
        <w:textAlignment w:val="auto"/>
        <w:outlineLvl w:val="9"/>
        <w:rPr>
          <w:rFonts w:hint="eastAsia" w:eastAsia="仿宋_GB2312"/>
          <w:sz w:val="32"/>
          <w:szCs w:val="32"/>
        </w:rPr>
      </w:pPr>
      <w:r>
        <w:rPr>
          <w:rFonts w:hint="eastAsia" w:eastAsia="仿宋_GB2312"/>
          <w:sz w:val="32"/>
          <w:szCs w:val="32"/>
        </w:rPr>
        <w:t>会议室配备高质量的会议设备能够提高会议效率，如高清的投影仪、良好的音响系统、无线演示器等，能够在快速展示会议内容的同时，增强会议参与者的互动性，从而有效地达到会议的目的。</w:t>
      </w:r>
    </w:p>
    <w:p>
      <w:pPr>
        <w:pageBreakBefore w:val="0"/>
        <w:widowControl w:val="0"/>
        <w:numPr>
          <w:ilvl w:val="0"/>
          <w:numId w:val="0"/>
        </w:numPr>
        <w:kinsoku/>
        <w:wordWrap/>
        <w:overflowPunct/>
        <w:topLinePunct w:val="0"/>
        <w:autoSpaceDE/>
        <w:autoSpaceDN/>
        <w:bidi w:val="0"/>
        <w:adjustRightInd/>
        <w:snapToGrid w:val="0"/>
        <w:spacing w:line="560" w:lineRule="exact"/>
        <w:ind w:left="0"/>
        <w:textAlignment w:val="auto"/>
        <w:outlineLvl w:val="9"/>
        <w:rPr>
          <w:rFonts w:hint="eastAsia" w:eastAsia="仿宋_GB2312"/>
          <w:sz w:val="32"/>
          <w:szCs w:val="32"/>
        </w:rPr>
      </w:pPr>
      <w:r>
        <w:rPr>
          <w:rFonts w:hint="eastAsia" w:eastAsia="仿宋_GB2312"/>
          <w:sz w:val="32"/>
          <w:szCs w:val="32"/>
        </w:rPr>
        <w:t>二、方便快捷的操作</w:t>
      </w:r>
    </w:p>
    <w:p>
      <w:pPr>
        <w:pageBreakBefore w:val="0"/>
        <w:widowControl w:val="0"/>
        <w:numPr>
          <w:ilvl w:val="0"/>
          <w:numId w:val="0"/>
        </w:numPr>
        <w:kinsoku/>
        <w:wordWrap/>
        <w:overflowPunct/>
        <w:topLinePunct w:val="0"/>
        <w:autoSpaceDE/>
        <w:autoSpaceDN/>
        <w:bidi w:val="0"/>
        <w:adjustRightInd/>
        <w:snapToGrid w:val="0"/>
        <w:spacing w:line="560" w:lineRule="exact"/>
        <w:ind w:left="0" w:firstLine="640" w:firstLineChars="200"/>
        <w:textAlignment w:val="auto"/>
        <w:outlineLvl w:val="9"/>
        <w:rPr>
          <w:rFonts w:hint="eastAsia" w:eastAsia="仿宋_GB2312"/>
          <w:sz w:val="32"/>
          <w:szCs w:val="32"/>
        </w:rPr>
      </w:pPr>
      <w:r>
        <w:rPr>
          <w:rFonts w:hint="eastAsia" w:eastAsia="仿宋_GB2312"/>
          <w:sz w:val="32"/>
          <w:szCs w:val="32"/>
        </w:rPr>
        <w:t>与传统的会议设备相比，现在的会议室设备操作更为方便快捷，如无线投影、一键开关机等，大大提高了工作效率。此外，新型的会议设备后台软件也能够提供更完整的支持，如远程管理、数据存储等，为企业管理带来了更多的便捷。</w:t>
      </w:r>
    </w:p>
    <w:p>
      <w:pPr>
        <w:pageBreakBefore w:val="0"/>
        <w:widowControl w:val="0"/>
        <w:numPr>
          <w:ilvl w:val="0"/>
          <w:numId w:val="0"/>
        </w:numPr>
        <w:kinsoku/>
        <w:wordWrap/>
        <w:overflowPunct/>
        <w:topLinePunct w:val="0"/>
        <w:autoSpaceDE/>
        <w:autoSpaceDN/>
        <w:bidi w:val="0"/>
        <w:adjustRightInd/>
        <w:snapToGrid w:val="0"/>
        <w:spacing w:line="560" w:lineRule="exact"/>
        <w:ind w:left="0"/>
        <w:textAlignment w:val="auto"/>
        <w:outlineLvl w:val="9"/>
        <w:rPr>
          <w:rFonts w:hint="eastAsia" w:eastAsia="仿宋_GB2312"/>
          <w:sz w:val="32"/>
          <w:szCs w:val="32"/>
        </w:rPr>
      </w:pPr>
      <w:r>
        <w:rPr>
          <w:rFonts w:hint="eastAsia" w:eastAsia="仿宋_GB2312"/>
          <w:sz w:val="32"/>
          <w:szCs w:val="32"/>
        </w:rPr>
        <w:t>三、减少沟通成本</w:t>
      </w:r>
    </w:p>
    <w:p>
      <w:pPr>
        <w:pageBreakBefore w:val="0"/>
        <w:widowControl w:val="0"/>
        <w:numPr>
          <w:ilvl w:val="0"/>
          <w:numId w:val="0"/>
        </w:numPr>
        <w:kinsoku/>
        <w:wordWrap/>
        <w:overflowPunct/>
        <w:topLinePunct w:val="0"/>
        <w:autoSpaceDE/>
        <w:autoSpaceDN/>
        <w:bidi w:val="0"/>
        <w:adjustRightInd/>
        <w:snapToGrid w:val="0"/>
        <w:spacing w:line="560" w:lineRule="exact"/>
        <w:ind w:left="0" w:firstLine="640" w:firstLineChars="200"/>
        <w:textAlignment w:val="auto"/>
        <w:outlineLvl w:val="9"/>
        <w:rPr>
          <w:rFonts w:hint="eastAsia" w:eastAsia="仿宋_GB2312"/>
          <w:sz w:val="32"/>
          <w:szCs w:val="32"/>
        </w:rPr>
      </w:pPr>
      <w:r>
        <w:rPr>
          <w:rFonts w:hint="eastAsia" w:eastAsia="仿宋_GB2312"/>
          <w:sz w:val="32"/>
          <w:szCs w:val="32"/>
        </w:rPr>
        <w:t>随着全球化的不断深入和企业规模的不断扩大，会议越来越频繁而多样化。在传统的去会议方式中，除了需要各自安排行程时间，还需要接受各种差旅、住宿和餐饮等开销。而现在会议室设备的普及使得企业能够随时开会，不再受地域限制，大大降低了沟通成本。</w:t>
      </w:r>
    </w:p>
    <w:p>
      <w:pPr>
        <w:pageBreakBefore w:val="0"/>
        <w:widowControl w:val="0"/>
        <w:numPr>
          <w:ilvl w:val="0"/>
          <w:numId w:val="0"/>
        </w:numPr>
        <w:kinsoku/>
        <w:wordWrap/>
        <w:overflowPunct/>
        <w:topLinePunct w:val="0"/>
        <w:autoSpaceDE/>
        <w:autoSpaceDN/>
        <w:bidi w:val="0"/>
        <w:adjustRightInd/>
        <w:snapToGrid w:val="0"/>
        <w:spacing w:line="560" w:lineRule="exact"/>
        <w:ind w:left="0"/>
        <w:textAlignment w:val="auto"/>
        <w:outlineLvl w:val="9"/>
        <w:rPr>
          <w:rFonts w:hint="eastAsia" w:eastAsia="仿宋_GB2312"/>
          <w:sz w:val="32"/>
          <w:szCs w:val="32"/>
        </w:rPr>
      </w:pPr>
      <w:r>
        <w:rPr>
          <w:rFonts w:hint="eastAsia" w:eastAsia="仿宋_GB2312"/>
          <w:sz w:val="32"/>
          <w:szCs w:val="32"/>
        </w:rPr>
        <w:t>四、增加会议的可视性</w:t>
      </w:r>
    </w:p>
    <w:p>
      <w:pPr>
        <w:pageBreakBefore w:val="0"/>
        <w:widowControl w:val="0"/>
        <w:numPr>
          <w:ilvl w:val="0"/>
          <w:numId w:val="0"/>
        </w:numPr>
        <w:kinsoku/>
        <w:wordWrap/>
        <w:overflowPunct/>
        <w:topLinePunct w:val="0"/>
        <w:autoSpaceDE/>
        <w:autoSpaceDN/>
        <w:bidi w:val="0"/>
        <w:adjustRightInd/>
        <w:snapToGrid w:val="0"/>
        <w:spacing w:line="560" w:lineRule="exact"/>
        <w:ind w:left="0" w:firstLine="640" w:firstLineChars="200"/>
        <w:textAlignment w:val="auto"/>
        <w:outlineLvl w:val="9"/>
        <w:rPr>
          <w:rFonts w:hint="eastAsia" w:eastAsia="仿宋_GB2312"/>
          <w:sz w:val="32"/>
          <w:szCs w:val="32"/>
        </w:rPr>
      </w:pPr>
      <w:r>
        <w:rPr>
          <w:rFonts w:hint="eastAsia" w:eastAsia="仿宋_GB2312"/>
          <w:sz w:val="32"/>
          <w:szCs w:val="32"/>
        </w:rPr>
        <w:t>在会议室设备的帮助下，参会者可以更全面、直观地了解会议的内容，从而更好地参与到其中。例如，大屏幕电视、有线电视台、数字互动屏幕等设备能够为与会者展示更丰富的会议内容，使与会者更容易理解会议的主题和议题。</w:t>
      </w:r>
    </w:p>
    <w:p>
      <w:pPr>
        <w:pageBreakBefore w:val="0"/>
        <w:widowControl w:val="0"/>
        <w:numPr>
          <w:ilvl w:val="0"/>
          <w:numId w:val="0"/>
        </w:numPr>
        <w:kinsoku/>
        <w:wordWrap/>
        <w:overflowPunct/>
        <w:topLinePunct w:val="0"/>
        <w:autoSpaceDE/>
        <w:autoSpaceDN/>
        <w:bidi w:val="0"/>
        <w:adjustRightInd/>
        <w:snapToGrid w:val="0"/>
        <w:spacing w:line="560" w:lineRule="exact"/>
        <w:ind w:left="0"/>
        <w:textAlignment w:val="auto"/>
        <w:outlineLvl w:val="9"/>
        <w:rPr>
          <w:rFonts w:hint="eastAsia" w:eastAsia="仿宋_GB2312"/>
          <w:sz w:val="32"/>
          <w:szCs w:val="32"/>
        </w:rPr>
      </w:pPr>
      <w:r>
        <w:rPr>
          <w:rFonts w:hint="eastAsia" w:eastAsia="仿宋_GB2312"/>
          <w:sz w:val="32"/>
          <w:szCs w:val="32"/>
        </w:rPr>
        <w:t>总之，会议室设备可以显著地提高会议的效率，降低沟通成本， 并增加可视化能力，使企业更加便捷高效地开展各种形式的会议，随着IT技术的快速发展，未来会议室设备将会拥有更加完善的硬件和软件，为企业提供更好的协同办公体验。</w:t>
      </w:r>
    </w:p>
    <w:p>
      <w:pPr>
        <w:pStyle w:val="2"/>
        <w:pageBreakBefore w:val="0"/>
        <w:numPr>
          <w:ilvl w:val="0"/>
          <w:numId w:val="0"/>
        </w:numPr>
        <w:kinsoku/>
        <w:wordWrap/>
        <w:overflowPunct/>
        <w:topLinePunct w:val="0"/>
        <w:autoSpaceDE/>
        <w:autoSpaceDN/>
        <w:bidi w:val="0"/>
        <w:adjustRightInd/>
        <w:snapToGrid w:val="0"/>
        <w:spacing w:before="0" w:after="0" w:line="560" w:lineRule="exact"/>
        <w:ind w:left="0" w:firstLine="643" w:firstLineChars="200"/>
        <w:jc w:val="both"/>
        <w:outlineLvl w:val="9"/>
        <w:rPr>
          <w:rFonts w:ascii="Times New Roman" w:hAnsi="Times New Roman" w:eastAsia="仿宋_GB2312"/>
          <w:kern w:val="2"/>
        </w:rPr>
      </w:pPr>
      <w:r>
        <w:rPr>
          <w:rFonts w:hint="eastAsia" w:ascii="Times New Roman" w:hAnsi="Times New Roman" w:eastAsia="仿宋_GB2312"/>
          <w:kern w:val="2"/>
          <w:lang w:val="en-US" w:eastAsia="zh-CN"/>
        </w:rPr>
        <w:t>2、</w:t>
      </w:r>
      <w:r>
        <w:rPr>
          <w:rFonts w:ascii="Times New Roman" w:hAnsi="Times New Roman" w:eastAsia="仿宋_GB2312"/>
          <w:kern w:val="2"/>
        </w:rPr>
        <w:t>项目主要内容：</w:t>
      </w:r>
    </w:p>
    <w:p>
      <w:pPr>
        <w:keepNext w:val="0"/>
        <w:keepLines w:val="0"/>
        <w:pageBreakBefore w:val="0"/>
        <w:widowControl w:val="0"/>
        <w:kinsoku/>
        <w:wordWrap/>
        <w:overflowPunct/>
        <w:topLinePunct w:val="0"/>
        <w:autoSpaceDE/>
        <w:autoSpaceDN/>
        <w:bidi w:val="0"/>
        <w:adjustRightInd/>
        <w:snapToGrid w:val="0"/>
        <w:spacing w:line="560" w:lineRule="exact"/>
        <w:ind w:left="0" w:firstLine="640" w:firstLineChars="200"/>
        <w:textAlignment w:val="auto"/>
        <w:outlineLvl w:val="9"/>
        <w:rPr>
          <w:rFonts w:hint="eastAsia" w:ascii="仿宋_GB2312" w:eastAsia="仿宋_GB2312"/>
          <w:color w:val="FF0000"/>
          <w:sz w:val="32"/>
          <w:szCs w:val="32"/>
          <w:lang w:eastAsia="zh-CN"/>
        </w:rPr>
      </w:pPr>
      <w:r>
        <w:rPr>
          <w:rFonts w:hint="eastAsia" w:ascii="仿宋_GB2312"/>
          <w:sz w:val="32"/>
          <w:szCs w:val="32"/>
        </w:rPr>
        <w:t>主要内容：五联调度室建设和市疫情指挥部改造及口岸工作组采购办公设备</w:t>
      </w:r>
      <w:r>
        <w:rPr>
          <w:rFonts w:hint="eastAsia" w:ascii="仿宋_GB2312"/>
          <w:sz w:val="32"/>
          <w:szCs w:val="32"/>
          <w:lang w:eastAsia="zh-CN"/>
        </w:rPr>
        <w:t>。</w:t>
      </w:r>
      <w:r>
        <w:rPr>
          <w:rFonts w:hint="eastAsia" w:eastAsia="仿宋_GB2312"/>
          <w:sz w:val="32"/>
          <w:szCs w:val="32"/>
        </w:rPr>
        <w:t>会议室设备可以显著地提高会议的效率，降低沟通成本， 并增加可视化能力，使企业更加便捷高效地开展各种形式的会议，随着IT技术的快速发展，未来会议室设备将会拥有更加完善的硬件和软件，为企业提供更好的协同办公体验。</w:t>
      </w:r>
    </w:p>
    <w:p>
      <w:pPr>
        <w:pageBreakBefore w:val="0"/>
        <w:kinsoku/>
        <w:wordWrap/>
        <w:overflowPunct/>
        <w:topLinePunct w:val="0"/>
        <w:autoSpaceDE/>
        <w:autoSpaceDN/>
        <w:bidi w:val="0"/>
        <w:adjustRightInd/>
        <w:snapToGrid w:val="0"/>
        <w:spacing w:line="560" w:lineRule="exact"/>
        <w:ind w:left="0" w:firstLine="640" w:firstLineChars="200"/>
        <w:outlineLvl w:val="9"/>
      </w:pP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val="0"/>
        <w:spacing w:line="560" w:lineRule="exact"/>
        <w:ind w:left="0" w:firstLine="643" w:firstLineChars="200"/>
        <w:outlineLvl w:val="9"/>
        <w:rPr>
          <w:rFonts w:eastAsia="仿宋_GB2312"/>
          <w:b/>
          <w:bCs/>
          <w:sz w:val="32"/>
          <w:szCs w:val="32"/>
        </w:rPr>
      </w:pPr>
      <w:r>
        <w:rPr>
          <w:rFonts w:eastAsia="仿宋_GB2312"/>
          <w:b/>
          <w:bCs/>
          <w:sz w:val="32"/>
          <w:szCs w:val="32"/>
        </w:rPr>
        <w:t>3、资金投入和使用情况</w:t>
      </w:r>
    </w:p>
    <w:p>
      <w:pPr>
        <w:keepNext w:val="0"/>
        <w:keepLines w:val="0"/>
        <w:pageBreakBefore w:val="0"/>
        <w:widowControl w:val="0"/>
        <w:kinsoku/>
        <w:wordWrap/>
        <w:overflowPunct/>
        <w:topLinePunct w:val="0"/>
        <w:autoSpaceDE/>
        <w:autoSpaceDN/>
        <w:bidi w:val="0"/>
        <w:adjustRightInd/>
        <w:snapToGrid w:val="0"/>
        <w:spacing w:line="560" w:lineRule="exact"/>
        <w:ind w:left="0" w:firstLine="640" w:firstLineChars="200"/>
        <w:textAlignment w:val="auto"/>
        <w:outlineLvl w:val="9"/>
        <w:rPr>
          <w:rFonts w:hint="eastAsia"/>
          <w:sz w:val="32"/>
          <w:szCs w:val="32"/>
        </w:rPr>
      </w:pPr>
      <w:r>
        <w:rPr>
          <w:rFonts w:hint="eastAsia"/>
          <w:sz w:val="32"/>
          <w:szCs w:val="32"/>
        </w:rPr>
        <w:t>资金投入情况：</w:t>
      </w:r>
      <w:r>
        <w:rPr>
          <w:rFonts w:hint="eastAsia"/>
          <w:color w:val="auto"/>
          <w:sz w:val="32"/>
          <w:szCs w:val="32"/>
        </w:rPr>
        <w:t>该项目年初预算数</w:t>
      </w:r>
      <w:r>
        <w:rPr>
          <w:rFonts w:hint="eastAsia"/>
          <w:sz w:val="32"/>
          <w:szCs w:val="32"/>
          <w:lang w:val="en-US" w:eastAsia="zh-CN"/>
        </w:rPr>
        <w:t>108.08</w:t>
      </w:r>
      <w:r>
        <w:rPr>
          <w:rFonts w:hint="eastAsia"/>
          <w:sz w:val="32"/>
          <w:szCs w:val="32"/>
        </w:rPr>
        <w:t>万元，全年预算数</w:t>
      </w:r>
      <w:r>
        <w:rPr>
          <w:rFonts w:hint="eastAsia"/>
          <w:sz w:val="32"/>
          <w:szCs w:val="32"/>
          <w:lang w:val="en-US" w:eastAsia="zh-CN"/>
        </w:rPr>
        <w:t>108.08</w:t>
      </w:r>
      <w:r>
        <w:rPr>
          <w:rFonts w:hint="eastAsia"/>
          <w:sz w:val="32"/>
          <w:szCs w:val="32"/>
        </w:rPr>
        <w:t>万元，实际总投入</w:t>
      </w:r>
      <w:r>
        <w:rPr>
          <w:rFonts w:hint="eastAsia"/>
          <w:sz w:val="32"/>
          <w:szCs w:val="32"/>
          <w:lang w:val="en-US" w:eastAsia="zh-CN"/>
        </w:rPr>
        <w:t>108.08</w:t>
      </w:r>
      <w:r>
        <w:rPr>
          <w:rFonts w:hint="eastAsia"/>
          <w:sz w:val="32"/>
          <w:szCs w:val="32"/>
        </w:rPr>
        <w:t>万元，该项目资金已全部落实到位</w:t>
      </w:r>
      <w:r>
        <w:rPr>
          <w:rFonts w:hint="eastAsia"/>
          <w:sz w:val="32"/>
          <w:szCs w:val="32"/>
          <w:lang w:val="en-US" w:eastAsia="zh-CN"/>
        </w:rPr>
        <w:t>108.08</w:t>
      </w:r>
      <w:r>
        <w:rPr>
          <w:rFonts w:hint="eastAsia"/>
          <w:sz w:val="32"/>
          <w:szCs w:val="32"/>
        </w:rPr>
        <w:t>万元，资金来源为</w:t>
      </w:r>
      <w:r>
        <w:rPr>
          <w:rFonts w:hint="eastAsia"/>
          <w:sz w:val="32"/>
          <w:szCs w:val="32"/>
          <w:lang w:val="en-US" w:eastAsia="zh-CN"/>
        </w:rPr>
        <w:t>年初部门预算</w:t>
      </w:r>
      <w:r>
        <w:rPr>
          <w:rFonts w:hint="eastAsia"/>
          <w:sz w:val="32"/>
          <w:szCs w:val="32"/>
        </w:rPr>
        <w:t>。</w:t>
      </w:r>
    </w:p>
    <w:p>
      <w:pPr>
        <w:keepNext w:val="0"/>
        <w:keepLines w:val="0"/>
        <w:pageBreakBefore w:val="0"/>
        <w:widowControl w:val="0"/>
        <w:kinsoku/>
        <w:wordWrap/>
        <w:overflowPunct/>
        <w:topLinePunct w:val="0"/>
        <w:autoSpaceDE/>
        <w:autoSpaceDN/>
        <w:bidi w:val="0"/>
        <w:adjustRightInd/>
        <w:snapToGrid w:val="0"/>
        <w:spacing w:line="560" w:lineRule="exact"/>
        <w:ind w:left="0" w:firstLine="640" w:firstLineChars="200"/>
        <w:textAlignment w:val="auto"/>
        <w:outlineLvl w:val="9"/>
        <w:rPr>
          <w:rFonts w:hint="eastAsia" w:eastAsia="仿宋_GB2312"/>
          <w:color w:val="FF0000"/>
          <w:sz w:val="32"/>
          <w:szCs w:val="32"/>
          <w:lang w:eastAsia="zh-CN"/>
        </w:rPr>
      </w:pPr>
      <w:r>
        <w:rPr>
          <w:rFonts w:hint="eastAsia"/>
          <w:sz w:val="32"/>
          <w:szCs w:val="32"/>
        </w:rPr>
        <w:t>资金使用情况：该项目年初预算数</w:t>
      </w:r>
      <w:r>
        <w:rPr>
          <w:rFonts w:hint="eastAsia"/>
          <w:sz w:val="32"/>
          <w:szCs w:val="32"/>
          <w:lang w:val="en-US" w:eastAsia="zh-CN"/>
        </w:rPr>
        <w:t>108.08</w:t>
      </w:r>
      <w:r>
        <w:rPr>
          <w:rFonts w:hint="eastAsia"/>
          <w:sz w:val="32"/>
          <w:szCs w:val="32"/>
        </w:rPr>
        <w:t>万元，全年预算数</w:t>
      </w:r>
      <w:r>
        <w:rPr>
          <w:rFonts w:hint="eastAsia"/>
          <w:sz w:val="32"/>
          <w:szCs w:val="32"/>
          <w:lang w:val="en-US" w:eastAsia="zh-CN"/>
        </w:rPr>
        <w:t>108.08</w:t>
      </w:r>
      <w:r>
        <w:rPr>
          <w:rFonts w:hint="eastAsia"/>
          <w:sz w:val="32"/>
          <w:szCs w:val="32"/>
        </w:rPr>
        <w:t>万元，全年执行数</w:t>
      </w:r>
      <w:r>
        <w:rPr>
          <w:rFonts w:hint="eastAsia"/>
          <w:sz w:val="32"/>
          <w:szCs w:val="32"/>
          <w:lang w:val="en-US" w:eastAsia="zh-CN"/>
        </w:rPr>
        <w:t>108.08</w:t>
      </w:r>
      <w:r>
        <w:rPr>
          <w:rFonts w:hint="eastAsia"/>
          <w:sz w:val="32"/>
          <w:szCs w:val="32"/>
        </w:rPr>
        <w:t>万元，预算执行率为</w:t>
      </w:r>
      <w:r>
        <w:rPr>
          <w:rFonts w:hint="eastAsia"/>
          <w:sz w:val="32"/>
          <w:szCs w:val="32"/>
          <w:lang w:val="en-US" w:eastAsia="zh-CN"/>
        </w:rPr>
        <w:t>100</w:t>
      </w:r>
      <w:r>
        <w:rPr>
          <w:rFonts w:hint="eastAsia"/>
          <w:sz w:val="32"/>
          <w:szCs w:val="32"/>
        </w:rPr>
        <w:t>%，</w:t>
      </w:r>
      <w:r>
        <w:rPr>
          <w:rFonts w:hint="eastAsia"/>
          <w:sz w:val="32"/>
          <w:szCs w:val="32"/>
          <w:lang w:eastAsia="zh-CN"/>
        </w:rPr>
        <w:t>主要</w:t>
      </w:r>
      <w:r>
        <w:rPr>
          <w:rFonts w:hint="eastAsia"/>
          <w:sz w:val="32"/>
          <w:szCs w:val="32"/>
        </w:rPr>
        <w:t>用于：五联调度室建设和市疫情指挥部改造及口岸工作组</w:t>
      </w:r>
      <w:r>
        <w:rPr>
          <w:rFonts w:hint="eastAsia" w:ascii="仿宋_GB2312"/>
          <w:sz w:val="32"/>
          <w:szCs w:val="32"/>
        </w:rPr>
        <w:t>采购办公设备</w:t>
      </w:r>
      <w:bookmarkStart w:id="2" w:name="_Toc68703829"/>
      <w:r>
        <w:rPr>
          <w:rFonts w:hint="eastAsia" w:ascii="仿宋_GB2312"/>
          <w:sz w:val="32"/>
          <w:szCs w:val="32"/>
          <w:lang w:eastAsia="zh-CN"/>
        </w:rPr>
        <w:t>。</w:t>
      </w:r>
    </w:p>
    <w:p>
      <w:pPr>
        <w:pageBreakBefore w:val="0"/>
        <w:kinsoku/>
        <w:wordWrap/>
        <w:overflowPunct/>
        <w:topLinePunct w:val="0"/>
        <w:autoSpaceDE/>
        <w:autoSpaceDN/>
        <w:bidi w:val="0"/>
        <w:adjustRightInd/>
        <w:snapToGrid w:val="0"/>
        <w:spacing w:line="560" w:lineRule="exact"/>
        <w:ind w:left="0" w:firstLine="643" w:firstLineChars="200"/>
        <w:outlineLvl w:val="9"/>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val="0"/>
        <w:spacing w:line="560" w:lineRule="exact"/>
        <w:ind w:left="0"/>
        <w:textAlignment w:val="auto"/>
        <w:outlineLvl w:val="9"/>
        <w:rPr>
          <w:rFonts w:hint="eastAsia"/>
          <w:sz w:val="32"/>
          <w:szCs w:val="32"/>
        </w:rPr>
      </w:pPr>
      <w:r>
        <w:rPr>
          <w:rFonts w:hint="eastAsia"/>
          <w:color w:val="FF0000"/>
          <w:sz w:val="32"/>
          <w:szCs w:val="32"/>
          <w:lang w:eastAsia="zh-CN"/>
        </w:rPr>
        <w:t>　</w:t>
      </w: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w:t>
      </w:r>
      <w:r>
        <w:rPr>
          <w:rFonts w:hint="eastAsia"/>
          <w:sz w:val="32"/>
          <w:szCs w:val="32"/>
        </w:rPr>
        <w:t>霍尔果斯市为带动经济发展，更好的解决民生问题，完成就业目标，多次开展会议进行研究讨论，为保障会议顺利完成，更好的与各货场沟通交流、指导工作，做好外防输入及疫情保障指导工作，提高工作效率，对会议室进行改造，增加设备LED屏幕及其他办公设备，保障会议正常召开。</w:t>
      </w:r>
    </w:p>
    <w:p>
      <w:pPr>
        <w:pageBreakBefore w:val="0"/>
        <w:kinsoku/>
        <w:wordWrap/>
        <w:overflowPunct/>
        <w:topLinePunct w:val="0"/>
        <w:autoSpaceDE/>
        <w:autoSpaceDN/>
        <w:bidi w:val="0"/>
        <w:adjustRightInd/>
        <w:snapToGrid w:val="0"/>
        <w:spacing w:line="560" w:lineRule="exact"/>
        <w:ind w:left="0"/>
        <w:outlineLvl w:val="9"/>
        <w:rPr>
          <w:rFonts w:hint="default"/>
          <w:color w:val="FF0000"/>
          <w:sz w:val="32"/>
          <w:szCs w:val="32"/>
          <w:highlight w:val="none"/>
          <w:lang w:val="en-US"/>
        </w:rPr>
      </w:pPr>
      <w:r>
        <w:rPr>
          <w:rFonts w:hint="eastAsia"/>
          <w:b w:val="0"/>
          <w:bCs w:val="0"/>
          <w:sz w:val="32"/>
          <w:szCs w:val="32"/>
          <w:lang w:eastAsia="zh-CN"/>
        </w:rPr>
        <w:t>　</w:t>
      </w:r>
      <w:r>
        <w:rPr>
          <w:rFonts w:hint="eastAsia"/>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cs="Times New Roman"/>
          <w:b w:val="0"/>
          <w:bCs w:val="0"/>
          <w:sz w:val="32"/>
          <w:szCs w:val="32"/>
          <w:lang w:val="en-US" w:eastAsia="zh-CN"/>
        </w:rPr>
        <w:t>购买</w:t>
      </w:r>
      <w:r>
        <w:rPr>
          <w:rFonts w:hint="eastAsia"/>
          <w:sz w:val="32"/>
          <w:szCs w:val="32"/>
          <w:highlight w:val="none"/>
          <w:lang w:val="en-US" w:eastAsia="zh-CN"/>
        </w:rPr>
        <w:t>口岸前方指挥部“五联调度室”建设和市疫情指挥部的改造项目及州口岸工作组采购的办公设备108.08万元。</w:t>
      </w:r>
    </w:p>
    <w:p>
      <w:pPr>
        <w:pageBreakBefore w:val="0"/>
        <w:kinsoku/>
        <w:wordWrap/>
        <w:overflowPunct/>
        <w:topLinePunct w:val="0"/>
        <w:autoSpaceDE/>
        <w:autoSpaceDN/>
        <w:bidi w:val="0"/>
        <w:adjustRightInd/>
        <w:snapToGrid w:val="0"/>
        <w:spacing w:line="560" w:lineRule="exact"/>
        <w:ind w:left="0" w:firstLine="640" w:firstLineChars="200"/>
        <w:outlineLvl w:val="9"/>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pageBreakBefore w:val="0"/>
        <w:numPr>
          <w:ilvl w:val="0"/>
          <w:numId w:val="0"/>
        </w:numPr>
        <w:kinsoku/>
        <w:wordWrap/>
        <w:overflowPunct/>
        <w:topLinePunct w:val="0"/>
        <w:autoSpaceDE/>
        <w:autoSpaceDN/>
        <w:bidi w:val="0"/>
        <w:adjustRightInd/>
        <w:snapToGrid w:val="0"/>
        <w:spacing w:line="560" w:lineRule="exact"/>
        <w:ind w:left="0" w:firstLine="643" w:firstLineChars="200"/>
        <w:outlineLvl w:val="9"/>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val="0"/>
        <w:spacing w:line="560" w:lineRule="exact"/>
        <w:ind w:left="0" w:firstLine="320" w:firstLineChars="100"/>
        <w:textAlignment w:val="auto"/>
        <w:outlineLvl w:val="9"/>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pageBreakBefore w:val="0"/>
        <w:kinsoku/>
        <w:wordWrap/>
        <w:overflowPunct/>
        <w:topLinePunct w:val="0"/>
        <w:autoSpaceDE/>
        <w:autoSpaceDN/>
        <w:bidi w:val="0"/>
        <w:adjustRightInd/>
        <w:snapToGrid w:val="0"/>
        <w:spacing w:line="560" w:lineRule="exact"/>
        <w:ind w:left="0" w:firstLine="640" w:firstLineChars="200"/>
        <w:outlineLvl w:val="9"/>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1"/>
        </w:numPr>
        <w:kinsoku/>
        <w:wordWrap/>
        <w:overflowPunct/>
        <w:topLinePunct w:val="0"/>
        <w:autoSpaceDE/>
        <w:autoSpaceDN/>
        <w:bidi w:val="0"/>
        <w:adjustRightInd/>
        <w:snapToGrid w:val="0"/>
        <w:spacing w:line="560" w:lineRule="exact"/>
        <w:ind w:left="0" w:firstLine="640" w:firstLineChars="200"/>
        <w:outlineLvl w:val="9"/>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val="0"/>
        <w:spacing w:line="560" w:lineRule="exact"/>
        <w:ind w:left="0" w:firstLine="640" w:firstLineChars="200"/>
        <w:outlineLvl w:val="9"/>
        <w:rPr>
          <w:rFonts w:eastAsia="仿宋_GB2312"/>
          <w:sz w:val="32"/>
          <w:szCs w:val="32"/>
        </w:rPr>
      </w:pPr>
      <w:r>
        <w:rPr>
          <w:rFonts w:eastAsia="仿宋_GB2312"/>
          <w:sz w:val="32"/>
          <w:szCs w:val="32"/>
        </w:rPr>
        <w:t>（2）项目绩效管理财政支出运行提供及时、有效的信息。</w:t>
      </w:r>
    </w:p>
    <w:p>
      <w:pPr>
        <w:pStyle w:val="20"/>
        <w:pageBreakBefore w:val="0"/>
        <w:kinsoku/>
        <w:wordWrap/>
        <w:overflowPunct/>
        <w:topLinePunct w:val="0"/>
        <w:autoSpaceDE/>
        <w:autoSpaceDN/>
        <w:bidi w:val="0"/>
        <w:adjustRightInd/>
        <w:snapToGrid w:val="0"/>
        <w:spacing w:line="560" w:lineRule="exact"/>
        <w:ind w:left="0" w:firstLine="640" w:firstLineChars="200"/>
        <w:outlineLvl w:val="9"/>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ageBreakBefore w:val="0"/>
        <w:kinsoku/>
        <w:wordWrap/>
        <w:overflowPunct/>
        <w:topLinePunct w:val="0"/>
        <w:autoSpaceDE/>
        <w:autoSpaceDN/>
        <w:bidi w:val="0"/>
        <w:adjustRightInd/>
        <w:snapToGrid w:val="0"/>
        <w:spacing w:line="560" w:lineRule="exact"/>
        <w:ind w:left="0"/>
        <w:outlineLvl w:val="9"/>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cs="Times New Roman"/>
          <w:b/>
          <w:bCs/>
          <w:sz w:val="30"/>
          <w:szCs w:val="30"/>
          <w:lang w:val="en-US" w:eastAsia="zh-CN"/>
        </w:rPr>
        <w:t xml:space="preserve"> </w:t>
      </w:r>
      <w:r>
        <w:rPr>
          <w:rFonts w:hint="eastAsia" w:ascii="Times New Roman" w:hAnsi="Times New Roman" w:eastAsia="仿宋_GB2312" w:cs="Times New Roman"/>
          <w:b w:val="0"/>
          <w:bCs w:val="0"/>
          <w:sz w:val="32"/>
          <w:szCs w:val="32"/>
          <w:lang w:val="en-US" w:eastAsia="zh-CN"/>
        </w:rPr>
        <w:t>2.绩效评价对象：</w:t>
      </w:r>
    </w:p>
    <w:p>
      <w:pPr>
        <w:pageBreakBefore w:val="0"/>
        <w:kinsoku/>
        <w:wordWrap/>
        <w:overflowPunct/>
        <w:topLinePunct w:val="0"/>
        <w:autoSpaceDE/>
        <w:autoSpaceDN/>
        <w:bidi w:val="0"/>
        <w:adjustRightInd/>
        <w:snapToGrid w:val="0"/>
        <w:spacing w:line="560" w:lineRule="exact"/>
        <w:ind w:left="0" w:firstLine="640" w:firstLineChars="200"/>
        <w:outlineLvl w:val="9"/>
        <w:rPr>
          <w:rFonts w:ascii="仿宋_GB2312" w:hAnsi="仿宋_GB2312" w:eastAsia="仿宋_GB2312" w:cs="仿宋_GB2312"/>
          <w:sz w:val="32"/>
          <w:szCs w:val="32"/>
        </w:rPr>
      </w:pPr>
      <w:r>
        <w:rPr>
          <w:rFonts w:hint="eastAsia" w:ascii="仿宋_GB2312"/>
          <w:sz w:val="32"/>
          <w:szCs w:val="32"/>
        </w:rPr>
        <w:t>五联调度室建设和市疫情指挥部改造及口岸工作组采购办公设备</w:t>
      </w:r>
      <w:r>
        <w:rPr>
          <w:rFonts w:hint="eastAsia" w:ascii="仿宋_GB2312"/>
          <w:sz w:val="32"/>
          <w:szCs w:val="32"/>
          <w:lang w:eastAsia="zh-CN"/>
        </w:rPr>
        <w:t>，</w:t>
      </w:r>
      <w:r>
        <w:rPr>
          <w:rFonts w:hint="eastAsia" w:ascii="仿宋_GB2312" w:hAnsi="仿宋_GB2312" w:eastAsia="仿宋_GB2312" w:cs="仿宋_GB2312"/>
          <w:sz w:val="32"/>
          <w:szCs w:val="32"/>
        </w:rPr>
        <w:t>项目所包含的全部项目内容。</w:t>
      </w:r>
    </w:p>
    <w:p>
      <w:pPr>
        <w:pageBreakBefore w:val="0"/>
        <w:kinsoku/>
        <w:wordWrap/>
        <w:overflowPunct/>
        <w:topLinePunct w:val="0"/>
        <w:autoSpaceDE/>
        <w:autoSpaceDN/>
        <w:bidi w:val="0"/>
        <w:adjustRightInd/>
        <w:snapToGrid w:val="0"/>
        <w:spacing w:line="560" w:lineRule="exact"/>
        <w:ind w:left="0"/>
        <w:outlineLvl w:val="9"/>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3.绩效评价范围：</w:t>
      </w:r>
    </w:p>
    <w:p>
      <w:pPr>
        <w:pageBreakBefore w:val="0"/>
        <w:widowControl w:val="0"/>
        <w:kinsoku/>
        <w:wordWrap/>
        <w:overflowPunct/>
        <w:topLinePunct w:val="0"/>
        <w:autoSpaceDE/>
        <w:autoSpaceDN/>
        <w:bidi w:val="0"/>
        <w:adjustRightInd/>
        <w:snapToGrid w:val="0"/>
        <w:spacing w:line="560" w:lineRule="exact"/>
        <w:ind w:left="0" w:firstLine="640" w:firstLineChars="200"/>
        <w:textAlignment w:val="auto"/>
        <w:outlineLvl w:val="9"/>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本次评价从项目决策（包括绩效目标、决策过程）、项目管理（包括项目资金、项目实施）、项目产出（包括项目产出数量、产出质量、产出时效）项目效益</w:t>
      </w:r>
      <w:r>
        <w:rPr>
          <w:rFonts w:hint="eastAsia"/>
          <w:color w:val="auto"/>
          <w:sz w:val="32"/>
          <w:szCs w:val="32"/>
          <w:lang w:eastAsia="zh-CN"/>
        </w:rPr>
        <w:t>三</w:t>
      </w:r>
      <w:r>
        <w:rPr>
          <w:rFonts w:hint="eastAsia"/>
          <w:color w:val="auto"/>
          <w:sz w:val="32"/>
          <w:szCs w:val="32"/>
        </w:rPr>
        <w:t>个维度进行</w:t>
      </w:r>
      <w:r>
        <w:rPr>
          <w:rFonts w:hint="eastAsia" w:ascii="仿宋_GB2312"/>
          <w:sz w:val="32"/>
          <w:szCs w:val="32"/>
        </w:rPr>
        <w:t>五联调度室建设和市疫情指挥部改造及口岸工作组采购办公设备</w:t>
      </w:r>
      <w:r>
        <w:rPr>
          <w:rFonts w:hint="eastAsia"/>
          <w:color w:val="auto"/>
          <w:sz w:val="32"/>
          <w:szCs w:val="32"/>
        </w:rPr>
        <w:t>评价，评价核心为资金的支出完成情况和效果。</w:t>
      </w:r>
    </w:p>
    <w:p>
      <w:pPr>
        <w:pageBreakBefore w:val="0"/>
        <w:widowControl w:val="0"/>
        <w:kinsoku/>
        <w:wordWrap/>
        <w:overflowPunct/>
        <w:topLinePunct w:val="0"/>
        <w:autoSpaceDE/>
        <w:autoSpaceDN/>
        <w:bidi w:val="0"/>
        <w:adjustRightInd/>
        <w:snapToGrid w:val="0"/>
        <w:spacing w:before="0" w:after="0" w:line="560" w:lineRule="exact"/>
        <w:ind w:left="0" w:firstLine="643" w:firstLineChars="200"/>
        <w:textAlignment w:val="auto"/>
        <w:outlineLvl w:val="9"/>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w:t>
      </w:r>
      <w:r>
        <w:rPr>
          <w:rFonts w:hint="eastAsia" w:ascii="Times New Roman" w:hAnsi="Times New Roman" w:eastAsia="楷体_GB2312" w:cs="Times New Roman"/>
          <w:b/>
          <w:bCs/>
          <w:kern w:val="2"/>
          <w:sz w:val="32"/>
          <w:szCs w:val="32"/>
          <w:lang w:val="en-US" w:eastAsia="zh-CN" w:bidi="ar-SA"/>
        </w:rPr>
        <w:t>情见表1）、评价方法、评价标准</w:t>
      </w:r>
      <w:bookmarkEnd w:id="5"/>
    </w:p>
    <w:p>
      <w:pPr>
        <w:pageBreakBefore w:val="0"/>
        <w:widowControl w:val="0"/>
        <w:kinsoku/>
        <w:wordWrap/>
        <w:overflowPunct/>
        <w:topLinePunct w:val="0"/>
        <w:autoSpaceDE/>
        <w:autoSpaceDN/>
        <w:bidi w:val="0"/>
        <w:adjustRightInd/>
        <w:snapToGrid w:val="0"/>
        <w:spacing w:line="560" w:lineRule="exact"/>
        <w:ind w:left="0" w:firstLine="640" w:firstLineChars="200"/>
        <w:jc w:val="left"/>
        <w:textAlignment w:val="auto"/>
        <w:outlineLvl w:val="9"/>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pageBreakBefore w:val="0"/>
        <w:kinsoku/>
        <w:wordWrap/>
        <w:overflowPunct/>
        <w:topLinePunct w:val="0"/>
        <w:autoSpaceDE/>
        <w:autoSpaceDN/>
        <w:bidi w:val="0"/>
        <w:adjustRightInd/>
        <w:snapToGrid w:val="0"/>
        <w:spacing w:line="560" w:lineRule="exact"/>
        <w:ind w:left="0" w:firstLine="640" w:firstLineChars="200"/>
        <w:outlineLvl w:val="9"/>
        <w:rPr>
          <w:rFonts w:eastAsia="仿宋_GB2312"/>
          <w:color w:val="000000"/>
          <w:sz w:val="32"/>
          <w:szCs w:val="32"/>
        </w:rPr>
      </w:pPr>
      <w:r>
        <w:rPr>
          <w:rFonts w:eastAsia="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val="0"/>
        <w:spacing w:before="0" w:after="0" w:line="560" w:lineRule="exact"/>
        <w:ind w:left="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val="0"/>
        <w:spacing w:before="0" w:after="0" w:line="560" w:lineRule="exact"/>
        <w:ind w:left="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val="0"/>
        <w:spacing w:before="0" w:after="0" w:line="560" w:lineRule="exact"/>
        <w:ind w:left="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val="0"/>
        <w:spacing w:before="0" w:after="0" w:line="560" w:lineRule="exact"/>
        <w:ind w:left="0" w:firstLine="640" w:firstLineChars="200"/>
        <w:jc w:val="both"/>
        <w:outlineLvl w:val="9"/>
      </w:pPr>
      <w:r>
        <w:rPr>
          <w:rFonts w:ascii="Times New Roman" w:hAnsi="Times New Roman" w:eastAsia="仿宋_GB2312"/>
          <w:b w:val="0"/>
          <w:bCs w:val="0"/>
        </w:rPr>
        <w:t>（4）公开透明。绩效评价结果应依法依规公开，并自觉接受社会监督。</w:t>
      </w:r>
    </w:p>
    <w:p>
      <w:pPr>
        <w:pageBreakBefore w:val="0"/>
        <w:kinsoku/>
        <w:wordWrap/>
        <w:overflowPunct/>
        <w:topLinePunct w:val="0"/>
        <w:autoSpaceDE/>
        <w:autoSpaceDN/>
        <w:bidi w:val="0"/>
        <w:adjustRightInd/>
        <w:snapToGrid w:val="0"/>
        <w:spacing w:line="560" w:lineRule="exact"/>
        <w:ind w:left="0" w:firstLine="600" w:firstLineChars="200"/>
        <w:jc w:val="left"/>
        <w:outlineLvl w:val="9"/>
        <w:rPr>
          <w:rFonts w:hint="eastAsia"/>
          <w:sz w:val="32"/>
          <w:szCs w:val="32"/>
        </w:rPr>
      </w:pPr>
      <w:r>
        <w:rPr>
          <w:rFonts w:hint="eastAsia"/>
        </w:rPr>
        <w:t>2、</w:t>
      </w:r>
      <w:r>
        <w:rPr>
          <w:rFonts w:hint="eastAsia"/>
          <w:sz w:val="32"/>
          <w:szCs w:val="32"/>
        </w:rPr>
        <w:t>评价指标体系</w:t>
      </w:r>
    </w:p>
    <w:p>
      <w:pPr>
        <w:pageBreakBefore w:val="0"/>
        <w:kinsoku/>
        <w:wordWrap/>
        <w:overflowPunct/>
        <w:topLinePunct w:val="0"/>
        <w:autoSpaceDE/>
        <w:autoSpaceDN/>
        <w:bidi w:val="0"/>
        <w:adjustRightInd/>
        <w:snapToGrid w:val="0"/>
        <w:spacing w:line="560" w:lineRule="exact"/>
        <w:ind w:left="0" w:firstLine="708" w:firstLineChars="200"/>
        <w:outlineLvl w:val="9"/>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val="0"/>
        <w:spacing w:line="560" w:lineRule="exact"/>
        <w:ind w:left="0" w:firstLine="708" w:firstLineChars="200"/>
        <w:outlineLvl w:val="9"/>
        <w:rPr>
          <w:rFonts w:eastAsia="仿宋_GB2312"/>
          <w:color w:val="000000"/>
          <w:spacing w:val="17"/>
          <w:sz w:val="32"/>
          <w:szCs w:val="32"/>
        </w:rPr>
      </w:pPr>
      <w:r>
        <w:rPr>
          <w:rFonts w:eastAsia="仿宋_GB2312"/>
          <w:color w:val="000000"/>
          <w:spacing w:val="17"/>
          <w:sz w:val="32"/>
          <w:szCs w:val="32"/>
        </w:rPr>
        <w:t>（1）确定评价指标</w:t>
      </w:r>
    </w:p>
    <w:p>
      <w:pPr>
        <w:pageBreakBefore w:val="0"/>
        <w:kinsoku/>
        <w:wordWrap/>
        <w:overflowPunct/>
        <w:topLinePunct w:val="0"/>
        <w:autoSpaceDE/>
        <w:autoSpaceDN/>
        <w:bidi w:val="0"/>
        <w:adjustRightInd/>
        <w:snapToGrid w:val="0"/>
        <w:spacing w:line="560" w:lineRule="exact"/>
        <w:ind w:left="0" w:firstLine="708" w:firstLineChars="200"/>
        <w:outlineLvl w:val="9"/>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val="0"/>
        <w:spacing w:line="560" w:lineRule="exact"/>
        <w:ind w:left="0" w:firstLine="708" w:firstLineChars="200"/>
        <w:outlineLvl w:val="9"/>
        <w:rPr>
          <w:rFonts w:eastAsia="仿宋_GB2312"/>
          <w:color w:val="000000"/>
          <w:spacing w:val="17"/>
          <w:sz w:val="32"/>
          <w:szCs w:val="32"/>
        </w:rPr>
      </w:pPr>
      <w:r>
        <w:rPr>
          <w:rFonts w:eastAsia="仿宋_GB2312"/>
          <w:color w:val="000000"/>
          <w:spacing w:val="17"/>
          <w:sz w:val="32"/>
          <w:szCs w:val="32"/>
        </w:rPr>
        <w:t>（2）确定权重</w:t>
      </w:r>
    </w:p>
    <w:p>
      <w:pPr>
        <w:pageBreakBefore w:val="0"/>
        <w:kinsoku/>
        <w:wordWrap/>
        <w:overflowPunct/>
        <w:topLinePunct w:val="0"/>
        <w:autoSpaceDE/>
        <w:autoSpaceDN/>
        <w:bidi w:val="0"/>
        <w:adjustRightInd/>
        <w:snapToGrid w:val="0"/>
        <w:spacing w:line="560" w:lineRule="exact"/>
        <w:ind w:left="0" w:firstLine="708" w:firstLineChars="200"/>
        <w:outlineLvl w:val="9"/>
        <w:rPr>
          <w:rFonts w:eastAsia="仿宋_GB2312"/>
          <w:color w:val="000000"/>
          <w:spacing w:val="17"/>
          <w:w w:val="98"/>
          <w:sz w:val="32"/>
          <w:szCs w:val="32"/>
        </w:rPr>
      </w:pPr>
      <w:r>
        <w:rPr>
          <w:rFonts w:eastAsia="仿宋_GB2312"/>
          <w:color w:val="000000"/>
          <w:spacing w:val="17"/>
          <w:sz w:val="32"/>
          <w:szCs w:val="32"/>
        </w:rPr>
        <w:t>确定各个指标相对于项目总体绩效的权重分值。在绩效评价指标体系中，项目决策权重为20分，项目过程权</w:t>
      </w:r>
      <w:r>
        <w:rPr>
          <w:rFonts w:eastAsia="仿宋_GB2312"/>
          <w:color w:val="000000"/>
          <w:spacing w:val="17"/>
          <w:w w:val="98"/>
          <w:sz w:val="32"/>
          <w:szCs w:val="32"/>
        </w:rPr>
        <w:t>重为20分，项目产出权重为40分，项目效益权重为20分。</w:t>
      </w:r>
    </w:p>
    <w:p>
      <w:pPr>
        <w:pageBreakBefore w:val="0"/>
        <w:kinsoku/>
        <w:wordWrap/>
        <w:overflowPunct/>
        <w:topLinePunct w:val="0"/>
        <w:autoSpaceDE/>
        <w:autoSpaceDN/>
        <w:bidi w:val="0"/>
        <w:adjustRightInd/>
        <w:snapToGrid w:val="0"/>
        <w:spacing w:line="560" w:lineRule="exact"/>
        <w:ind w:left="0" w:firstLine="708" w:firstLineChars="200"/>
        <w:outlineLvl w:val="9"/>
        <w:rPr>
          <w:rFonts w:eastAsia="仿宋_GB2312"/>
          <w:color w:val="000000"/>
          <w:spacing w:val="17"/>
          <w:sz w:val="32"/>
          <w:szCs w:val="32"/>
        </w:rPr>
      </w:pPr>
      <w:r>
        <w:rPr>
          <w:rFonts w:eastAsia="仿宋_GB2312"/>
          <w:color w:val="000000"/>
          <w:spacing w:val="17"/>
          <w:sz w:val="32"/>
          <w:szCs w:val="32"/>
        </w:rPr>
        <w:t>（3）确定指标标准值</w:t>
      </w:r>
    </w:p>
    <w:p>
      <w:pPr>
        <w:pageBreakBefore w:val="0"/>
        <w:kinsoku/>
        <w:wordWrap/>
        <w:overflowPunct/>
        <w:topLinePunct w:val="0"/>
        <w:autoSpaceDE/>
        <w:autoSpaceDN/>
        <w:bidi w:val="0"/>
        <w:adjustRightInd/>
        <w:snapToGrid w:val="0"/>
        <w:spacing w:line="560" w:lineRule="exact"/>
        <w:ind w:left="0" w:firstLine="708" w:firstLineChars="200"/>
        <w:outlineLvl w:val="9"/>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val="0"/>
        <w:spacing w:before="0" w:after="0" w:line="560" w:lineRule="exact"/>
        <w:ind w:left="0" w:firstLine="708" w:firstLineChars="200"/>
        <w:jc w:val="both"/>
        <w:outlineLvl w:val="9"/>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val="0"/>
        <w:spacing w:before="0" w:after="0" w:line="560" w:lineRule="exact"/>
        <w:ind w:left="0"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pageBreakBefore w:val="0"/>
        <w:kinsoku/>
        <w:wordWrap/>
        <w:overflowPunct/>
        <w:topLinePunct w:val="0"/>
        <w:autoSpaceDE/>
        <w:autoSpaceDN/>
        <w:bidi w:val="0"/>
        <w:adjustRightInd/>
        <w:snapToGrid w:val="0"/>
        <w:spacing w:line="560" w:lineRule="exact"/>
        <w:ind w:left="0" w:firstLine="640" w:firstLineChars="200"/>
        <w:outlineLvl w:val="9"/>
        <w:rPr>
          <w:rFonts w:hint="eastAsia"/>
          <w:sz w:val="32"/>
          <w:szCs w:val="32"/>
        </w:rPr>
      </w:pPr>
      <w:r>
        <w:rPr>
          <w:rFonts w:hint="eastAsia"/>
          <w:sz w:val="32"/>
          <w:szCs w:val="32"/>
        </w:rPr>
        <w:t>3、评价方法</w:t>
      </w:r>
    </w:p>
    <w:p>
      <w:pPr>
        <w:pageBreakBefore w:val="0"/>
        <w:kinsoku/>
        <w:wordWrap/>
        <w:overflowPunct/>
        <w:topLinePunct w:val="0"/>
        <w:autoSpaceDE/>
        <w:autoSpaceDN/>
        <w:bidi w:val="0"/>
        <w:adjustRightInd/>
        <w:snapToGrid w:val="0"/>
        <w:spacing w:line="560" w:lineRule="exact"/>
        <w:ind w:left="0" w:firstLine="708" w:firstLineChars="200"/>
        <w:outlineLvl w:val="9"/>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val="0"/>
        <w:spacing w:line="560" w:lineRule="exact"/>
        <w:ind w:left="0" w:firstLine="708" w:firstLineChars="200"/>
        <w:outlineLvl w:val="9"/>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val="0"/>
        <w:spacing w:line="560" w:lineRule="exact"/>
        <w:ind w:left="0" w:firstLine="708" w:firstLineChars="200"/>
        <w:outlineLvl w:val="9"/>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pageBreakBefore w:val="0"/>
        <w:kinsoku/>
        <w:wordWrap/>
        <w:overflowPunct/>
        <w:topLinePunct w:val="0"/>
        <w:autoSpaceDE/>
        <w:autoSpaceDN/>
        <w:bidi w:val="0"/>
        <w:adjustRightInd/>
        <w:snapToGrid w:val="0"/>
        <w:spacing w:line="560" w:lineRule="exact"/>
        <w:ind w:left="0" w:firstLine="708" w:firstLineChars="200"/>
        <w:outlineLvl w:val="9"/>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pageBreakBefore w:val="0"/>
        <w:kinsoku/>
        <w:wordWrap/>
        <w:overflowPunct/>
        <w:topLinePunct w:val="0"/>
        <w:autoSpaceDE/>
        <w:autoSpaceDN/>
        <w:bidi w:val="0"/>
        <w:adjustRightInd/>
        <w:snapToGrid w:val="0"/>
        <w:spacing w:line="560" w:lineRule="exact"/>
        <w:ind w:left="0" w:firstLine="708" w:firstLineChars="200"/>
        <w:outlineLvl w:val="9"/>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pageBreakBefore w:val="0"/>
        <w:kinsoku/>
        <w:wordWrap/>
        <w:overflowPunct/>
        <w:topLinePunct w:val="0"/>
        <w:autoSpaceDE/>
        <w:autoSpaceDN/>
        <w:bidi w:val="0"/>
        <w:adjustRightInd/>
        <w:snapToGrid w:val="0"/>
        <w:spacing w:line="560" w:lineRule="exact"/>
        <w:ind w:left="0" w:firstLine="708" w:firstLineChars="200"/>
        <w:outlineLvl w:val="9"/>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val="0"/>
        <w:spacing w:line="560" w:lineRule="exact"/>
        <w:ind w:left="0"/>
        <w:jc w:val="left"/>
        <w:textAlignment w:val="auto"/>
        <w:outlineLvl w:val="9"/>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pageBreakBefore w:val="0"/>
        <w:kinsoku/>
        <w:wordWrap/>
        <w:overflowPunct/>
        <w:topLinePunct w:val="0"/>
        <w:autoSpaceDE/>
        <w:autoSpaceDN/>
        <w:bidi w:val="0"/>
        <w:adjustRightInd/>
        <w:snapToGrid w:val="0"/>
        <w:spacing w:line="560" w:lineRule="exact"/>
        <w:ind w:left="0" w:firstLine="640"/>
        <w:outlineLvl w:val="9"/>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bookmarkStart w:id="6" w:name="_Toc68703833"/>
    </w:p>
    <w:p>
      <w:pPr>
        <w:pageBreakBefore w:val="0"/>
        <w:kinsoku/>
        <w:wordWrap/>
        <w:overflowPunct/>
        <w:topLinePunct w:val="0"/>
        <w:autoSpaceDE/>
        <w:autoSpaceDN/>
        <w:bidi w:val="0"/>
        <w:adjustRightInd/>
        <w:snapToGrid w:val="0"/>
        <w:spacing w:line="560" w:lineRule="exact"/>
        <w:ind w:left="0" w:firstLine="640"/>
        <w:outlineLvl w:val="9"/>
        <w:rPr>
          <w:rFonts w:hint="eastAsia"/>
          <w:bCs/>
          <w:color w:val="FF0000"/>
          <w:sz w:val="32"/>
          <w:szCs w:val="32"/>
        </w:rPr>
      </w:pPr>
      <w:r>
        <w:rPr>
          <w:rFonts w:hint="eastAsia"/>
          <w:bCs/>
          <w:color w:val="000000" w:themeColor="text1"/>
          <w:sz w:val="32"/>
          <w:szCs w:val="32"/>
          <w14:textFill>
            <w14:solidFill>
              <w14:schemeClr w14:val="tx1"/>
            </w14:solidFill>
          </w14:textFill>
        </w:rPr>
        <w:t>计划标准</w:t>
      </w:r>
      <w:r>
        <w:rPr>
          <w:rFonts w:hint="eastAsia"/>
          <w:bCs/>
          <w:color w:val="000000" w:themeColor="text1"/>
          <w:sz w:val="32"/>
          <w:szCs w:val="32"/>
          <w:lang w:eastAsia="zh-CN"/>
          <w14:textFill>
            <w14:solidFill>
              <w14:schemeClr w14:val="tx1"/>
            </w14:solidFill>
          </w14:textFill>
        </w:rPr>
        <w:t>：</w:t>
      </w:r>
      <w:r>
        <w:rPr>
          <w:rFonts w:hint="eastAsia"/>
          <w:bCs/>
          <w:color w:val="000000" w:themeColor="text1"/>
          <w:sz w:val="32"/>
          <w:szCs w:val="32"/>
          <w14:textFill>
            <w14:solidFill>
              <w14:schemeClr w14:val="tx1"/>
            </w14:solidFill>
          </w14:textFill>
        </w:rPr>
        <w:t>指以预先制定的目标、计划、预算、定额等作为评价标准。</w:t>
      </w:r>
    </w:p>
    <w:p>
      <w:pPr>
        <w:pageBreakBefore w:val="0"/>
        <w:widowControl w:val="0"/>
        <w:kinsoku/>
        <w:wordWrap/>
        <w:overflowPunct/>
        <w:topLinePunct w:val="0"/>
        <w:autoSpaceDE/>
        <w:autoSpaceDN/>
        <w:bidi w:val="0"/>
        <w:adjustRightInd/>
        <w:snapToGrid w:val="0"/>
        <w:spacing w:line="560" w:lineRule="exact"/>
        <w:ind w:left="0"/>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val="0"/>
        <w:spacing w:line="560" w:lineRule="exact"/>
        <w:ind w:left="0" w:firstLine="640" w:firstLineChars="200"/>
        <w:jc w:val="left"/>
        <w:textAlignment w:val="auto"/>
        <w:outlineLvl w:val="9"/>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firstLine="640" w:firstLineChars="200"/>
        <w:textAlignment w:val="auto"/>
        <w:outlineLvl w:val="9"/>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val="0"/>
        <w:spacing w:line="560" w:lineRule="exact"/>
        <w:ind w:left="0" w:firstLine="640" w:firstLineChars="200"/>
        <w:jc w:val="left"/>
        <w:textAlignment w:val="auto"/>
        <w:outlineLvl w:val="9"/>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firstLine="640" w:firstLineChars="200"/>
        <w:textAlignment w:val="auto"/>
        <w:outlineLvl w:val="9"/>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val="0"/>
        <w:spacing w:line="560" w:lineRule="exact"/>
        <w:ind w:left="0" w:firstLine="640" w:firstLineChars="200"/>
        <w:jc w:val="left"/>
        <w:textAlignment w:val="auto"/>
        <w:outlineLvl w:val="9"/>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firstLine="640" w:firstLineChars="200"/>
        <w:textAlignment w:val="auto"/>
        <w:outlineLvl w:val="9"/>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w:t>
      </w:r>
      <w:r>
        <w:rPr>
          <w:rFonts w:hint="eastAsia" w:eastAsia="仿宋_GB2312"/>
          <w:bCs/>
          <w:w w:val="102"/>
          <w:sz w:val="32"/>
          <w:szCs w:val="32"/>
        </w:rPr>
        <w:t>指标进行详细全面的分析评价，逐项打分并形成绩效评价最终结果</w:t>
      </w:r>
      <w:r>
        <w:rPr>
          <w:rFonts w:hint="eastAsia" w:eastAsia="仿宋_GB2312"/>
          <w:bCs/>
          <w:sz w:val="32"/>
          <w:szCs w:val="32"/>
        </w:rPr>
        <w:t>。</w:t>
      </w:r>
    </w:p>
    <w:p>
      <w:pPr>
        <w:pageBreakBefore w:val="0"/>
        <w:numPr>
          <w:ilvl w:val="0"/>
          <w:numId w:val="0"/>
        </w:numPr>
        <w:kinsoku/>
        <w:wordWrap/>
        <w:overflowPunct/>
        <w:topLinePunct w:val="0"/>
        <w:autoSpaceDE/>
        <w:autoSpaceDN/>
        <w:bidi w:val="0"/>
        <w:adjustRightInd/>
        <w:snapToGrid w:val="0"/>
        <w:spacing w:line="560" w:lineRule="exact"/>
        <w:ind w:left="0" w:firstLine="640" w:firstLineChars="200"/>
        <w:outlineLvl w:val="9"/>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val="0"/>
        <w:spacing w:line="560" w:lineRule="exact"/>
        <w:ind w:left="0" w:firstLine="643" w:firstLineChars="200"/>
        <w:textAlignment w:val="auto"/>
        <w:outlineLvl w:val="9"/>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val="0"/>
        <w:spacing w:line="560" w:lineRule="exact"/>
        <w:ind w:left="0" w:firstLine="640" w:firstLineChars="200"/>
        <w:textAlignment w:val="auto"/>
        <w:outlineLvl w:val="9"/>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val="0"/>
        <w:spacing w:before="0" w:after="0" w:line="560" w:lineRule="exact"/>
        <w:ind w:left="0" w:firstLine="643" w:firstLineChars="200"/>
        <w:textAlignment w:val="auto"/>
        <w:outlineLvl w:val="9"/>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val="0"/>
        <w:spacing w:before="0" w:after="0" w:line="560" w:lineRule="exact"/>
        <w:ind w:left="0"/>
        <w:jc w:val="both"/>
        <w:textAlignment w:val="auto"/>
        <w:outlineLvl w:val="9"/>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color w:val="auto"/>
        </w:rPr>
        <w:t>：</w:t>
      </w:r>
      <w:r>
        <w:rPr>
          <w:rFonts w:hint="eastAsia" w:ascii="Times New Roman" w:hAnsi="Times New Roman" w:eastAsia="仿宋_GB2312"/>
          <w:b w:val="0"/>
          <w:bCs w:val="0"/>
        </w:rPr>
        <w:t xml:space="preserve">总得分为 </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 xml:space="preserve">分，属于“优”。其中，项目决策类指标权重为20分，得分为 </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 xml:space="preserve">分，得分率为 </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%。项目过程类指标权重为20分，得分为</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 xml:space="preserve">分，得分率为 </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%。项目产出类指标权重为40分，得分为</w:t>
      </w:r>
      <w:r>
        <w:rPr>
          <w:rFonts w:hint="eastAsia" w:ascii="Times New Roman" w:hAnsi="Times New Roman" w:eastAsia="仿宋_GB2312"/>
          <w:b w:val="0"/>
          <w:bCs w:val="0"/>
          <w:lang w:val="en-US" w:eastAsia="zh-CN"/>
        </w:rPr>
        <w:t>40</w:t>
      </w:r>
      <w:r>
        <w:rPr>
          <w:rFonts w:hint="eastAsia" w:ascii="Times New Roman" w:hAnsi="Times New Roman" w:eastAsia="仿宋_GB2312"/>
          <w:b w:val="0"/>
          <w:bCs w:val="0"/>
        </w:rPr>
        <w:t xml:space="preserve">分，得分率为 </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%。项目效益类指标权重为20分，得分为</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%。具体打分情况详见</w:t>
      </w:r>
      <w:r>
        <w:rPr>
          <w:rFonts w:hint="eastAsia" w:ascii="Times New Roman" w:hAnsi="Times New Roman" w:eastAsia="仿宋_GB2312"/>
          <w:b w:val="0"/>
          <w:bCs w:val="0"/>
          <w:color w:val="auto"/>
        </w:rPr>
        <w:t>：附件1综合评分表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val="0"/>
        <w:spacing w:line="560" w:lineRule="exact"/>
        <w:ind w:left="0" w:firstLine="600" w:firstLineChars="200"/>
        <w:textAlignment w:val="auto"/>
        <w:outlineLvl w:val="9"/>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val="0"/>
              <w:spacing w:line="560" w:lineRule="exact"/>
              <w:ind w:left="0"/>
              <w:jc w:val="center"/>
              <w:textAlignment w:val="auto"/>
              <w:outlineLvl w:val="9"/>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val="0"/>
              <w:spacing w:line="560" w:lineRule="exact"/>
              <w:ind w:left="0"/>
              <w:jc w:val="center"/>
              <w:textAlignment w:val="auto"/>
              <w:outlineLvl w:val="9"/>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val="0"/>
              <w:spacing w:line="560" w:lineRule="exact"/>
              <w:ind w:left="0"/>
              <w:jc w:val="center"/>
              <w:textAlignment w:val="auto"/>
              <w:outlineLvl w:val="9"/>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val="0"/>
              <w:spacing w:line="560" w:lineRule="exact"/>
              <w:ind w:left="0"/>
              <w:jc w:val="center"/>
              <w:outlineLvl w:val="9"/>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val="0"/>
              <w:spacing w:line="560" w:lineRule="exact"/>
              <w:ind w:left="0"/>
              <w:jc w:val="center"/>
              <w:textAlignment w:val="auto"/>
              <w:outlineLvl w:val="9"/>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val="0"/>
              <w:spacing w:line="560" w:lineRule="exact"/>
              <w:ind w:left="0"/>
              <w:jc w:val="center"/>
              <w:textAlignment w:val="auto"/>
              <w:outlineLvl w:val="9"/>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val="0"/>
              <w:spacing w:line="560" w:lineRule="exact"/>
              <w:ind w:left="0"/>
              <w:jc w:val="center"/>
              <w:outlineLvl w:val="9"/>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val="0"/>
              <w:spacing w:line="560" w:lineRule="exact"/>
              <w:ind w:left="0"/>
              <w:jc w:val="center"/>
              <w:textAlignment w:val="auto"/>
              <w:outlineLvl w:val="9"/>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val="0"/>
              <w:spacing w:line="560" w:lineRule="exact"/>
              <w:ind w:left="0"/>
              <w:jc w:val="center"/>
              <w:textAlignment w:val="auto"/>
              <w:outlineLvl w:val="9"/>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val="0"/>
              <w:spacing w:line="560" w:lineRule="exact"/>
              <w:ind w:left="0"/>
              <w:jc w:val="center"/>
              <w:outlineLvl w:val="9"/>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val="0"/>
              <w:spacing w:line="560" w:lineRule="exact"/>
              <w:ind w:left="0"/>
              <w:jc w:val="center"/>
              <w:textAlignment w:val="auto"/>
              <w:outlineLvl w:val="9"/>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val="0"/>
              <w:spacing w:line="560" w:lineRule="exact"/>
              <w:ind w:left="0"/>
              <w:jc w:val="center"/>
              <w:textAlignment w:val="auto"/>
              <w:outlineLvl w:val="9"/>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val="0"/>
              <w:spacing w:line="560" w:lineRule="exact"/>
              <w:ind w:left="0"/>
              <w:jc w:val="center"/>
              <w:outlineLvl w:val="9"/>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val="0"/>
              <w:spacing w:line="560" w:lineRule="exact"/>
              <w:ind w:left="0"/>
              <w:jc w:val="center"/>
              <w:textAlignment w:val="auto"/>
              <w:outlineLvl w:val="9"/>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val="0"/>
              <w:spacing w:line="560" w:lineRule="exact"/>
              <w:ind w:left="0"/>
              <w:jc w:val="center"/>
              <w:textAlignment w:val="auto"/>
              <w:outlineLvl w:val="9"/>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val="0"/>
              <w:spacing w:line="560" w:lineRule="exact"/>
              <w:ind w:left="0"/>
              <w:jc w:val="center"/>
              <w:textAlignment w:val="auto"/>
              <w:outlineLvl w:val="9"/>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val="0"/>
              <w:spacing w:line="560" w:lineRule="exact"/>
              <w:ind w:left="0"/>
              <w:jc w:val="center"/>
              <w:textAlignment w:val="auto"/>
              <w:outlineLvl w:val="9"/>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val="0"/>
              <w:spacing w:line="560" w:lineRule="exact"/>
              <w:ind w:left="0"/>
              <w:jc w:val="center"/>
              <w:textAlignment w:val="auto"/>
              <w:outlineLvl w:val="9"/>
              <w:rPr>
                <w:rFonts w:hint="default" w:eastAsia="仿宋_GB2312"/>
                <w:b/>
                <w:bCs/>
                <w:color w:val="000000"/>
                <w:sz w:val="22"/>
                <w:lang w:val="en-US" w:eastAsia="zh-CN"/>
              </w:rPr>
            </w:pPr>
            <w:r>
              <w:rPr>
                <w:rFonts w:hint="eastAsia"/>
                <w:b/>
                <w:bCs/>
                <w:color w:val="000000"/>
                <w:sz w:val="22"/>
                <w:lang w:val="en-US" w:eastAsia="zh-CN"/>
              </w:rPr>
              <w:t>100</w:t>
            </w:r>
          </w:p>
        </w:tc>
      </w:tr>
    </w:tbl>
    <w:p>
      <w:pPr>
        <w:pageBreakBefore w:val="0"/>
        <w:kinsoku/>
        <w:wordWrap/>
        <w:overflowPunct/>
        <w:topLinePunct w:val="0"/>
        <w:autoSpaceDE/>
        <w:autoSpaceDN/>
        <w:bidi w:val="0"/>
        <w:adjustRightInd/>
        <w:snapToGrid w:val="0"/>
        <w:spacing w:line="560" w:lineRule="exact"/>
        <w:ind w:left="0"/>
        <w:outlineLvl w:val="9"/>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pageBreakBefore w:val="0"/>
        <w:kinsoku/>
        <w:wordWrap/>
        <w:overflowPunct/>
        <w:topLinePunct w:val="0"/>
        <w:autoSpaceDE/>
        <w:autoSpaceDN/>
        <w:bidi w:val="0"/>
        <w:adjustRightInd/>
        <w:snapToGrid w:val="0"/>
        <w:spacing w:line="560" w:lineRule="exact"/>
        <w:ind w:left="0"/>
        <w:outlineLvl w:val="9"/>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val="0"/>
        <w:spacing w:line="560" w:lineRule="exact"/>
        <w:ind w:left="0"/>
        <w:jc w:val="left"/>
        <w:textAlignment w:val="auto"/>
        <w:outlineLvl w:val="9"/>
        <w:rPr>
          <w:rFonts w:hint="eastAsia"/>
          <w:color w:val="auto"/>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项目决策类指标包括项目立项、绩效目标和资金投入三方面的内容，由:6个三级指标构成，权重分值为20分，实际得分</w:t>
      </w:r>
      <w:r>
        <w:rPr>
          <w:rFonts w:hint="eastAsia"/>
          <w:b w:val="0"/>
          <w:bCs w:val="0"/>
          <w:color w:val="auto"/>
          <w:sz w:val="32"/>
          <w:szCs w:val="32"/>
          <w:lang w:val="en-US" w:eastAsia="zh-CN"/>
        </w:rPr>
        <w:t>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val="0"/>
        <w:spacing w:line="560" w:lineRule="exact"/>
        <w:ind w:left="0" w:lef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val="0"/>
        <w:spacing w:line="560" w:lineRule="exact"/>
        <w:ind w:left="0" w:firstLine="640" w:firstLineChars="200"/>
        <w:jc w:val="left"/>
        <w:textAlignment w:val="auto"/>
        <w:outlineLvl w:val="9"/>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val="0"/>
        <w:spacing w:line="560" w:lineRule="exact"/>
        <w:ind w:left="0" w:leftChars="0" w:firstLine="640" w:firstLineChars="0"/>
        <w:textAlignment w:val="auto"/>
        <w:outlineLvl w:val="9"/>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val="0"/>
        <w:spacing w:line="560" w:lineRule="exact"/>
        <w:ind w:left="0" w:lef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pageBreakBefore w:val="0"/>
        <w:numPr>
          <w:ilvl w:val="0"/>
          <w:numId w:val="0"/>
        </w:numPr>
        <w:kinsoku/>
        <w:wordWrap/>
        <w:overflowPunct/>
        <w:topLinePunct w:val="0"/>
        <w:autoSpaceDE/>
        <w:autoSpaceDN/>
        <w:bidi w:val="0"/>
        <w:adjustRightInd/>
        <w:snapToGrid w:val="0"/>
        <w:spacing w:before="0" w:after="0" w:line="560" w:lineRule="exact"/>
        <w:ind w:left="0" w:firstLine="643" w:firstLineChars="200"/>
        <w:jc w:val="both"/>
        <w:outlineLvl w:val="9"/>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CN"/>
        </w:rPr>
        <w:t>个</w:t>
      </w:r>
      <w:r>
        <w:rPr>
          <w:rFonts w:hint="eastAsia" w:ascii="仿宋_GB2312" w:hAnsi="仿宋_GB2312" w:eastAsia="仿宋_GB2312" w:cs="仿宋_GB2312"/>
          <w:sz w:val="32"/>
          <w:szCs w:val="32"/>
          <w:lang w:val="en-US" w:eastAsia="zh-CN"/>
        </w:rPr>
        <w:t>三级指标构成，权重分值为20分，实际得分20分，得分率为100%。</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val="0"/>
        <w:spacing w:line="560" w:lineRule="exact"/>
        <w:ind w:left="0" w:leftChars="0" w:firstLine="640" w:firstLine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本项目总投资108.08万元，财政资金及时足额到位，到位率100%，预算资金按计划进度执行。</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预算编制较为详细，项目资金支出总体能够按照预算执行，预算资金支出108.08万元，预算执行率为100%。</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val="0"/>
        <w:spacing w:line="560" w:lineRule="exact"/>
        <w:ind w:left="0" w:leftChars="0" w:firstLine="640" w:firstLine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pageBreakBefore w:val="0"/>
        <w:numPr>
          <w:ilvl w:val="0"/>
          <w:numId w:val="0"/>
        </w:numPr>
        <w:kinsoku/>
        <w:wordWrap/>
        <w:overflowPunct/>
        <w:topLinePunct w:val="0"/>
        <w:autoSpaceDE/>
        <w:autoSpaceDN/>
        <w:bidi w:val="0"/>
        <w:adjustRightInd/>
        <w:snapToGrid w:val="0"/>
        <w:spacing w:line="560" w:lineRule="exact"/>
        <w:ind w:left="0" w:firstLine="643" w:firstLineChars="200"/>
        <w:outlineLvl w:val="9"/>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w:t>
      </w:r>
      <w:r>
        <w:rPr>
          <w:rFonts w:hint="eastAsia" w:ascii="仿宋_GB2312" w:hAnsi="仿宋_GB2312" w:cs="仿宋_GB2312"/>
          <w:sz w:val="32"/>
          <w:szCs w:val="32"/>
          <w:lang w:val="en-US" w:eastAsia="zh-CN"/>
        </w:rPr>
        <w:t>三</w:t>
      </w:r>
      <w:r>
        <w:rPr>
          <w:rFonts w:hint="eastAsia" w:ascii="仿宋_GB2312" w:hAnsi="仿宋_GB2312" w:eastAsia="仿宋_GB2312" w:cs="仿宋_GB2312"/>
          <w:sz w:val="32"/>
          <w:szCs w:val="32"/>
          <w:lang w:val="en-US" w:eastAsia="zh-CN"/>
        </w:rPr>
        <w:t>方面的内容，由</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lang w:val="en-US" w:eastAsia="zh-CN"/>
        </w:rPr>
        <w:t>个三级指标构成，权重分为</w:t>
      </w:r>
      <w:r>
        <w:rPr>
          <w:rFonts w:hint="eastAsia" w:ascii="仿宋_GB2312" w:hAnsi="仿宋_GB2312" w:cs="仿宋_GB2312"/>
          <w:sz w:val="32"/>
          <w:szCs w:val="32"/>
          <w:lang w:val="en-US" w:eastAsia="zh-CN"/>
        </w:rPr>
        <w:t>40</w:t>
      </w:r>
      <w:r>
        <w:rPr>
          <w:rFonts w:hint="eastAsia" w:ascii="仿宋_GB2312" w:hAnsi="仿宋_GB2312" w:eastAsia="仿宋_GB2312" w:cs="仿宋_GB2312"/>
          <w:sz w:val="32"/>
          <w:szCs w:val="32"/>
          <w:lang w:val="en-US" w:eastAsia="zh-CN"/>
        </w:rPr>
        <w:t>分，实际得分</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0分，得分率为100%。具体产出指标完成情况如下：</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val="0"/>
        <w:spacing w:line="560" w:lineRule="exact"/>
        <w:ind w:left="0" w:firstLine="640" w:firstLineChars="200"/>
        <w:textAlignment w:val="auto"/>
        <w:outlineLvl w:val="9"/>
        <w:rPr>
          <w:rFonts w:hint="eastAsia"/>
          <w:color w:val="auto"/>
          <w:sz w:val="32"/>
          <w:szCs w:val="32"/>
          <w:lang w:eastAsia="zh-CN"/>
        </w:rPr>
      </w:pPr>
      <w:r>
        <w:rPr>
          <w:rFonts w:hint="eastAsia"/>
          <w:color w:val="auto"/>
          <w:sz w:val="32"/>
          <w:szCs w:val="32"/>
        </w:rPr>
        <w:t>指标1：改造会议室数量，指标值</w:t>
      </w:r>
      <w:r>
        <w:rPr>
          <w:rFonts w:hint="eastAsia"/>
          <w:color w:val="auto"/>
          <w:sz w:val="32"/>
          <w:szCs w:val="32"/>
          <w:lang w:eastAsia="zh-CN"/>
        </w:rPr>
        <w:t>：</w:t>
      </w:r>
      <w:r>
        <w:rPr>
          <w:rFonts w:hint="eastAsia"/>
          <w:color w:val="auto"/>
          <w:sz w:val="32"/>
          <w:szCs w:val="32"/>
          <w:lang w:val="en-US" w:eastAsia="zh-CN"/>
        </w:rPr>
        <w:t>=2</w:t>
      </w:r>
      <w:r>
        <w:rPr>
          <w:rFonts w:hint="eastAsia"/>
          <w:color w:val="auto"/>
          <w:sz w:val="32"/>
          <w:szCs w:val="32"/>
        </w:rPr>
        <w:t>次，实际完成值</w:t>
      </w:r>
      <w:r>
        <w:rPr>
          <w:rFonts w:hint="eastAsia"/>
          <w:color w:val="auto"/>
          <w:sz w:val="32"/>
          <w:szCs w:val="32"/>
          <w:lang w:eastAsia="zh-CN"/>
        </w:rPr>
        <w:t>：</w:t>
      </w:r>
      <w:r>
        <w:rPr>
          <w:rFonts w:hint="eastAsia"/>
          <w:color w:val="auto"/>
          <w:sz w:val="32"/>
          <w:szCs w:val="32"/>
          <w:lang w:val="en-US" w:eastAsia="zh-CN"/>
        </w:rPr>
        <w:t>2次</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val="0"/>
        <w:spacing w:line="560" w:lineRule="exact"/>
        <w:ind w:left="0" w:firstLine="640" w:firstLineChars="200"/>
        <w:textAlignment w:val="auto"/>
        <w:outlineLvl w:val="9"/>
        <w:rPr>
          <w:rFonts w:hint="eastAsia" w:eastAsia="仿宋_GB2312"/>
          <w:color w:val="FF0000"/>
          <w:sz w:val="32"/>
          <w:szCs w:val="32"/>
          <w:lang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：项目设计变更率，指标值：</w:t>
      </w:r>
      <w:r>
        <w:rPr>
          <w:rFonts w:hint="eastAsia"/>
          <w:color w:val="auto"/>
          <w:sz w:val="32"/>
          <w:szCs w:val="32"/>
          <w:lang w:eastAsia="zh-CN"/>
        </w:rPr>
        <w:t>＜</w:t>
      </w:r>
      <w:r>
        <w:rPr>
          <w:rFonts w:hint="eastAsia"/>
          <w:color w:val="auto"/>
          <w:sz w:val="32"/>
          <w:szCs w:val="32"/>
        </w:rPr>
        <w:t>=</w:t>
      </w:r>
      <w:r>
        <w:rPr>
          <w:rFonts w:hint="eastAsia"/>
          <w:color w:val="auto"/>
          <w:sz w:val="32"/>
          <w:szCs w:val="32"/>
          <w:lang w:val="en-US" w:eastAsia="zh-CN"/>
        </w:rPr>
        <w:t>1%</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：竣工验收合格率，指标值：=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lang w:eastAsia="zh-CN"/>
        </w:rPr>
        <w:t>。</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3</w:t>
      </w:r>
      <w:r>
        <w:rPr>
          <w:rFonts w:hint="eastAsia"/>
          <w:color w:val="auto"/>
          <w:sz w:val="32"/>
          <w:szCs w:val="32"/>
        </w:rPr>
        <w:t>：项目资金支付率，指标值：=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lang w:eastAsia="zh-CN"/>
        </w:rPr>
        <w:t>。</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cs="仿宋_GB2312"/>
          <w:sz w:val="32"/>
          <w:szCs w:val="32"/>
          <w:highlight w:val="none"/>
          <w:lang w:eastAsia="zh-CN"/>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r>
        <w:rPr>
          <w:rFonts w:hint="eastAsia" w:ascii="仿宋_GB2312" w:hAnsi="仿宋_GB2312" w:cs="仿宋_GB2312"/>
          <w:sz w:val="32"/>
          <w:szCs w:val="32"/>
          <w:highlight w:val="none"/>
          <w:lang w:eastAsia="zh-CN"/>
        </w:rPr>
        <w:t>：</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highlight w:val="none"/>
          <w:lang w:eastAsia="zh-CN"/>
        </w:rPr>
      </w:pPr>
      <w:r>
        <w:rPr>
          <w:rFonts w:hint="eastAsia"/>
          <w:color w:val="auto"/>
          <w:sz w:val="32"/>
          <w:szCs w:val="32"/>
        </w:rPr>
        <w:t>指标1</w:t>
      </w:r>
      <w:r>
        <w:rPr>
          <w:rFonts w:hint="eastAsia"/>
          <w:color w:val="auto"/>
          <w:sz w:val="32"/>
          <w:szCs w:val="32"/>
          <w:lang w:eastAsia="zh-CN"/>
        </w:rPr>
        <w:t>：项目按时完工率</w:t>
      </w:r>
      <w:r>
        <w:rPr>
          <w:rFonts w:hint="eastAsia" w:ascii="仿宋_GB2312" w:hAnsi="仿宋_GB2312" w:cs="仿宋_GB2312"/>
          <w:sz w:val="32"/>
          <w:szCs w:val="32"/>
          <w:highlight w:val="none"/>
          <w:lang w:eastAsia="zh-CN"/>
        </w:rPr>
        <w:t>，</w:t>
      </w:r>
      <w:r>
        <w:rPr>
          <w:rFonts w:hint="eastAsia"/>
          <w:color w:val="auto"/>
          <w:sz w:val="32"/>
          <w:szCs w:val="32"/>
        </w:rPr>
        <w:t>指标值：=</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lang w:eastAsia="zh-CN"/>
        </w:rPr>
        <w:t>。</w:t>
      </w:r>
    </w:p>
    <w:p>
      <w:pPr>
        <w:pageBreakBefore w:val="0"/>
        <w:widowControl w:val="0"/>
        <w:numPr>
          <w:ilvl w:val="0"/>
          <w:numId w:val="0"/>
        </w:numPr>
        <w:kinsoku/>
        <w:wordWrap/>
        <w:overflowPunct/>
        <w:topLinePunct w:val="0"/>
        <w:autoSpaceDE/>
        <w:autoSpaceDN/>
        <w:bidi w:val="0"/>
        <w:adjustRightInd/>
        <w:snapToGrid w:val="0"/>
        <w:spacing w:before="0" w:after="0" w:line="560" w:lineRule="exact"/>
        <w:ind w:left="0" w:firstLine="643" w:firstLineChars="200"/>
        <w:textAlignment w:val="auto"/>
        <w:outlineLvl w:val="9"/>
        <w:rPr>
          <w:rFonts w:hint="eastAsia" w:ascii="Times New Roman" w:hAnsi="Times New Roman" w:eastAsia="楷体_GB2312" w:cs="Times New Roman"/>
          <w:b/>
          <w:bCs/>
          <w:kern w:val="2"/>
          <w:sz w:val="32"/>
          <w:szCs w:val="32"/>
          <w:lang w:val="en-US" w:eastAsia="zh-CN" w:bidi="ar-SA"/>
        </w:rPr>
      </w:pPr>
      <w:bookmarkStart w:id="14" w:name="_Toc68703841"/>
      <w:r>
        <w:rPr>
          <w:rFonts w:hint="eastAsia" w:ascii="Times New Roman" w:hAnsi="Times New Roman" w:eastAsia="楷体_GB2312" w:cs="Times New Roman"/>
          <w:b/>
          <w:bCs/>
          <w:kern w:val="2"/>
          <w:sz w:val="32"/>
          <w:szCs w:val="32"/>
          <w:lang w:val="en-US" w:eastAsia="zh-CN" w:bidi="ar-SA"/>
        </w:rPr>
        <w:t>（四）项目效益情况</w:t>
      </w:r>
      <w:bookmarkEnd w:id="14"/>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项目效益类指标包括项目实施效益和满意度两方面的内容，由2个三级指标构成，权重分为</w:t>
      </w:r>
      <w:r>
        <w:rPr>
          <w:rFonts w:hint="eastAsia" w:ascii="仿宋_GB2312" w:hAnsi="仿宋_GB2312" w:cs="仿宋_GB2312"/>
          <w:sz w:val="32"/>
          <w:szCs w:val="32"/>
          <w:lang w:val="en-US" w:eastAsia="zh-CN"/>
        </w:rPr>
        <w:t>20</w:t>
      </w:r>
      <w:r>
        <w:rPr>
          <w:rFonts w:hint="eastAsia" w:ascii="仿宋_GB2312" w:hAnsi="仿宋_GB2312" w:eastAsia="仿宋_GB2312" w:cs="仿宋_GB2312"/>
          <w:sz w:val="32"/>
          <w:szCs w:val="32"/>
          <w:lang w:val="en-US" w:eastAsia="zh-CN"/>
        </w:rPr>
        <w:t>分，实际得分</w:t>
      </w:r>
      <w:r>
        <w:rPr>
          <w:rFonts w:hint="eastAsia" w:ascii="仿宋_GB2312" w:hAnsi="仿宋_GB2312" w:cs="仿宋_GB2312"/>
          <w:sz w:val="32"/>
          <w:szCs w:val="32"/>
          <w:lang w:val="en-US" w:eastAsia="zh-CN"/>
        </w:rPr>
        <w:t>20</w:t>
      </w:r>
      <w:r>
        <w:rPr>
          <w:rFonts w:hint="eastAsia" w:ascii="仿宋_GB2312" w:hAnsi="仿宋_GB2312" w:eastAsia="仿宋_GB2312" w:cs="仿宋_GB2312"/>
          <w:sz w:val="32"/>
          <w:szCs w:val="32"/>
          <w:lang w:val="en-US" w:eastAsia="zh-CN"/>
        </w:rPr>
        <w:t>分，得分率为</w:t>
      </w:r>
      <w:r>
        <w:rPr>
          <w:rFonts w:hint="eastAsia" w:ascii="仿宋_GB2312" w:hAnsi="仿宋_GB2312" w:cs="仿宋_GB2312"/>
          <w:sz w:val="32"/>
          <w:szCs w:val="32"/>
          <w:lang w:val="en-US" w:eastAsia="zh-CN"/>
        </w:rPr>
        <w:t>10</w:t>
      </w:r>
      <w:r>
        <w:rPr>
          <w:rFonts w:hint="eastAsia" w:ascii="仿宋_GB2312" w:hAnsi="仿宋_GB2312" w:eastAsia="仿宋_GB2312" w:cs="仿宋_GB2312"/>
          <w:sz w:val="32"/>
          <w:szCs w:val="32"/>
          <w:lang w:val="en-US" w:eastAsia="zh-CN"/>
        </w:rPr>
        <w:t>0%。具体效益指标及满意度指标完成情况如下：</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cs="仿宋_GB2312"/>
          <w:sz w:val="32"/>
          <w:szCs w:val="32"/>
          <w:highlight w:val="none"/>
          <w:lang w:eastAsia="zh-CN"/>
        </w:rPr>
        <w:t>社会</w:t>
      </w:r>
      <w:r>
        <w:rPr>
          <w:rFonts w:hint="eastAsia" w:ascii="仿宋_GB2312" w:hAnsi="仿宋_GB2312" w:eastAsia="仿宋_GB2312" w:cs="仿宋_GB2312"/>
          <w:sz w:val="32"/>
          <w:szCs w:val="32"/>
          <w:highlight w:val="none"/>
        </w:rPr>
        <w:t>效益指标：</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highlight w:val="none"/>
          <w:lang w:eastAsia="zh-CN"/>
        </w:rPr>
      </w:pPr>
      <w:r>
        <w:rPr>
          <w:rFonts w:hint="eastAsia"/>
          <w:color w:val="auto"/>
          <w:sz w:val="32"/>
          <w:szCs w:val="32"/>
        </w:rPr>
        <w:t>指标1：正常运转率</w:t>
      </w:r>
      <w:r>
        <w:rPr>
          <w:rFonts w:hint="eastAsia" w:ascii="仿宋_GB2312" w:hAnsi="仿宋_GB2312" w:cs="仿宋_GB2312"/>
          <w:sz w:val="32"/>
          <w:szCs w:val="32"/>
          <w:highlight w:val="none"/>
          <w:lang w:eastAsia="zh-CN"/>
        </w:rPr>
        <w:t>，</w:t>
      </w:r>
      <w:r>
        <w:rPr>
          <w:rFonts w:hint="eastAsia"/>
          <w:color w:val="auto"/>
          <w:sz w:val="32"/>
          <w:szCs w:val="32"/>
        </w:rPr>
        <w:t>指标值=</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lang w:eastAsia="zh-CN"/>
        </w:rPr>
        <w:t>。</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r>
        <w:rPr>
          <w:rFonts w:hint="eastAsia" w:ascii="仿宋_GB2312" w:hAnsi="仿宋_GB2312" w:cs="仿宋_GB2312"/>
          <w:sz w:val="32"/>
          <w:szCs w:val="32"/>
          <w:highlight w:val="none"/>
          <w:lang w:val="en-US" w:eastAsia="zh-CN"/>
        </w:rPr>
        <w:t>单位人员</w:t>
      </w:r>
      <w:r>
        <w:rPr>
          <w:rFonts w:hint="eastAsia" w:ascii="仿宋_GB2312" w:hAnsi="仿宋_GB2312" w:eastAsia="仿宋_GB2312" w:cs="仿宋_GB2312"/>
          <w:sz w:val="32"/>
          <w:szCs w:val="32"/>
          <w:highlight w:val="none"/>
          <w:lang w:val="en-US" w:eastAsia="zh-CN"/>
        </w:rPr>
        <w:t>满意度</w:t>
      </w:r>
      <w:r>
        <w:rPr>
          <w:rFonts w:hint="eastAsia" w:ascii="仿宋_GB2312" w:hAnsi="仿宋_GB2312" w:cs="仿宋_GB2312"/>
          <w:sz w:val="32"/>
          <w:szCs w:val="32"/>
          <w:highlight w:val="none"/>
          <w:lang w:val="en-US" w:eastAsia="zh-CN"/>
        </w:rPr>
        <w:t>，指标值：&gt;=95%，实际完成值：100%，</w:t>
      </w:r>
      <w:r>
        <w:rPr>
          <w:rFonts w:hint="eastAsia"/>
          <w:sz w:val="32"/>
          <w:szCs w:val="32"/>
        </w:rPr>
        <w:t>指标完成率10</w:t>
      </w:r>
      <w:r>
        <w:rPr>
          <w:rFonts w:hint="eastAsia"/>
          <w:sz w:val="32"/>
          <w:szCs w:val="32"/>
          <w:lang w:val="en-US" w:eastAsia="zh-CN"/>
        </w:rPr>
        <w:t>5.26</w:t>
      </w:r>
      <w:r>
        <w:rPr>
          <w:rFonts w:hint="eastAsia"/>
          <w:sz w:val="32"/>
          <w:szCs w:val="32"/>
        </w:rPr>
        <w:t>%</w:t>
      </w:r>
      <w:r>
        <w:rPr>
          <w:rFonts w:hint="eastAsia"/>
          <w:sz w:val="32"/>
          <w:szCs w:val="32"/>
          <w:lang w:eastAsia="zh-CN"/>
        </w:rPr>
        <w:t>。</w:t>
      </w:r>
      <w:r>
        <w:rPr>
          <w:rFonts w:hint="eastAsia"/>
          <w:sz w:val="32"/>
          <w:szCs w:val="32"/>
          <w:lang w:eastAsia="zh-CN"/>
        </w:rPr>
        <w:tab/>
      </w:r>
    </w:p>
    <w:p>
      <w:pPr>
        <w:pageBreakBefore w:val="0"/>
        <w:kinsoku/>
        <w:wordWrap/>
        <w:overflowPunct/>
        <w:topLinePunct w:val="0"/>
        <w:autoSpaceDE/>
        <w:autoSpaceDN/>
        <w:bidi w:val="0"/>
        <w:adjustRightInd/>
        <w:snapToGrid w:val="0"/>
        <w:spacing w:line="560" w:lineRule="exact"/>
        <w:ind w:left="0" w:firstLine="640" w:firstLineChars="200"/>
        <w:outlineLvl w:val="9"/>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pageBreakBefore w:val="0"/>
        <w:kinsoku/>
        <w:wordWrap/>
        <w:overflowPunct/>
        <w:topLinePunct w:val="0"/>
        <w:autoSpaceDE/>
        <w:autoSpaceDN/>
        <w:bidi w:val="0"/>
        <w:adjustRightInd/>
        <w:snapToGrid w:val="0"/>
        <w:spacing w:line="560" w:lineRule="exact"/>
        <w:ind w:left="0" w:firstLine="640"/>
        <w:outlineLvl w:val="9"/>
      </w:pPr>
      <w:r>
        <w:rPr>
          <w:rFonts w:hint="eastAsia" w:ascii="仿宋_GB2312" w:hAnsi="仿宋_GB2312" w:eastAsia="仿宋_GB2312" w:cs="仿宋_GB2312"/>
          <w:kern w:val="2"/>
          <w:sz w:val="32"/>
          <w:szCs w:val="32"/>
          <w:lang w:val="en-US" w:eastAsia="zh-CN" w:bidi="ar-SA"/>
        </w:rPr>
        <w:t>五联调度室建设和市疫情指挥部改造及口岸工作组采购办公设备项目年初预算108.08万元，全年预算108.08万元，实际支出108.08万元，预算执行率为100%，项目绩效指标总体完成率为100%，</w:t>
      </w:r>
      <w:r>
        <w:rPr>
          <w:rFonts w:hint="eastAsia" w:ascii="仿宋_GB2312" w:hAnsi="仿宋_GB2312" w:eastAsia="仿宋_GB2312" w:cs="仿宋_GB2312"/>
          <w:kern w:val="2"/>
          <w:sz w:val="32"/>
          <w:szCs w:val="32"/>
          <w:lang w:val="en-US" w:eastAsia="zh-Hans" w:bidi="ar-SA"/>
        </w:rPr>
        <w:t>总体</w:t>
      </w:r>
      <w:r>
        <w:rPr>
          <w:rFonts w:hint="eastAsia" w:ascii="仿宋_GB2312" w:hAnsi="仿宋_GB2312" w:eastAsia="仿宋_GB2312" w:cs="仿宋_GB2312"/>
          <w:kern w:val="2"/>
          <w:sz w:val="32"/>
          <w:szCs w:val="32"/>
          <w:lang w:val="en-US" w:eastAsia="zh-CN" w:bidi="ar-SA"/>
        </w:rPr>
        <w:t>偏差率为0%。</w:t>
      </w:r>
    </w:p>
    <w:p>
      <w:pPr>
        <w:pageBreakBefore w:val="0"/>
        <w:kinsoku/>
        <w:wordWrap/>
        <w:overflowPunct/>
        <w:topLinePunct w:val="0"/>
        <w:autoSpaceDE/>
        <w:autoSpaceDN/>
        <w:bidi w:val="0"/>
        <w:adjustRightInd/>
        <w:snapToGrid w:val="0"/>
        <w:spacing w:line="560" w:lineRule="exact"/>
        <w:ind w:left="0" w:firstLine="640" w:firstLineChars="200"/>
        <w:outlineLvl w:val="9"/>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pageBreakBefore w:val="0"/>
        <w:kinsoku/>
        <w:wordWrap/>
        <w:overflowPunct/>
        <w:topLinePunct w:val="0"/>
        <w:autoSpaceDE/>
        <w:autoSpaceDN/>
        <w:bidi w:val="0"/>
        <w:adjustRightInd/>
        <w:snapToGrid w:val="0"/>
        <w:spacing w:line="560" w:lineRule="exact"/>
        <w:ind w:left="0" w:firstLine="643" w:firstLineChars="200"/>
        <w:outlineLvl w:val="9"/>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pageBreakBefore w:val="0"/>
        <w:kinsoku/>
        <w:wordWrap/>
        <w:overflowPunct/>
        <w:topLinePunct w:val="0"/>
        <w:autoSpaceDE/>
        <w:autoSpaceDN/>
        <w:bidi w:val="0"/>
        <w:adjustRightInd/>
        <w:snapToGrid w:val="0"/>
        <w:spacing w:line="560" w:lineRule="exact"/>
        <w:ind w:left="0" w:firstLine="640" w:firstLineChars="200"/>
        <w:outlineLvl w:val="9"/>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val="0"/>
        <w:spacing w:before="0" w:after="0" w:line="560" w:lineRule="exact"/>
        <w:ind w:left="0" w:firstLine="640" w:firstLineChars="200"/>
        <w:jc w:val="left"/>
        <w:outlineLvl w:val="9"/>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val="0"/>
        <w:spacing w:before="0" w:after="0" w:line="560" w:lineRule="exact"/>
        <w:ind w:left="0" w:firstLine="643" w:firstLineChars="200"/>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shd w:val="clear"/>
        <w:kinsoku/>
        <w:wordWrap/>
        <w:overflowPunct/>
        <w:topLinePunct w:val="0"/>
        <w:autoSpaceDE/>
        <w:autoSpaceDN/>
        <w:bidi w:val="0"/>
        <w:adjustRightInd/>
        <w:snapToGrid w:val="0"/>
        <w:spacing w:line="560" w:lineRule="exact"/>
        <w:ind w:left="0" w:firstLine="640" w:firstLineChars="200"/>
        <w:outlineLvl w:val="9"/>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numPr>
          <w:ilvl w:val="0"/>
          <w:numId w:val="0"/>
        </w:numPr>
        <w:kinsoku/>
        <w:wordWrap/>
        <w:overflowPunct/>
        <w:topLinePunct w:val="0"/>
        <w:autoSpaceDE/>
        <w:autoSpaceDN/>
        <w:bidi w:val="0"/>
        <w:adjustRightInd/>
        <w:snapToGrid w:val="0"/>
        <w:spacing w:before="0" w:after="0" w:line="560" w:lineRule="exact"/>
        <w:ind w:left="0" w:firstLine="640" w:firstLineChars="200"/>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ageBreakBefore w:val="0"/>
        <w:shd w:val="clear"/>
        <w:kinsoku/>
        <w:wordWrap/>
        <w:overflowPunct/>
        <w:topLinePunct w:val="0"/>
        <w:autoSpaceDE/>
        <w:autoSpaceDN/>
        <w:bidi w:val="0"/>
        <w:adjustRightInd/>
        <w:snapToGrid w:val="0"/>
        <w:spacing w:line="560" w:lineRule="exact"/>
        <w:ind w:left="0" w:firstLine="640" w:firstLineChars="200"/>
        <w:outlineLvl w:val="9"/>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shd w:val="clear"/>
        <w:kinsoku/>
        <w:wordWrap/>
        <w:overflowPunct/>
        <w:topLinePunct w:val="0"/>
        <w:autoSpaceDE/>
        <w:autoSpaceDN/>
        <w:bidi w:val="0"/>
        <w:adjustRightInd/>
        <w:snapToGrid w:val="0"/>
        <w:spacing w:line="560" w:lineRule="exact"/>
        <w:ind w:left="0" w:firstLine="640" w:firstLineChars="200"/>
        <w:outlineLvl w:val="9"/>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widowControl w:val="0"/>
        <w:numPr>
          <w:ilvl w:val="0"/>
          <w:numId w:val="0"/>
        </w:numPr>
        <w:kinsoku/>
        <w:wordWrap/>
        <w:overflowPunct/>
        <w:topLinePunct w:val="0"/>
        <w:autoSpaceDE/>
        <w:autoSpaceDN/>
        <w:bidi w:val="0"/>
        <w:adjustRightInd/>
        <w:snapToGrid w:val="0"/>
        <w:spacing w:before="0" w:after="0" w:line="560" w:lineRule="exact"/>
        <w:ind w:left="0" w:firstLine="640" w:firstLineChars="200"/>
        <w:textAlignment w:val="auto"/>
        <w:outlineLvl w:val="9"/>
        <w:rPr>
          <w:rFonts w:hint="eastAsia" w:eastAsia="黑体" w:cs="Times New Roman"/>
          <w:b w:val="0"/>
          <w:bCs/>
          <w:kern w:val="2"/>
          <w:sz w:val="32"/>
          <w:szCs w:val="32"/>
          <w:lang w:val="en-US" w:eastAsia="zh-CN" w:bidi="ar-SA"/>
        </w:rPr>
      </w:pPr>
      <w:bookmarkStart w:id="19" w:name="_Toc68703846"/>
      <w:r>
        <w:rPr>
          <w:rFonts w:hint="eastAsia" w:eastAsia="黑体" w:cs="Times New Roman"/>
          <w:b w:val="0"/>
          <w:bCs/>
          <w:kern w:val="2"/>
          <w:sz w:val="32"/>
          <w:szCs w:val="32"/>
          <w:lang w:val="en-US" w:eastAsia="zh-CN" w:bidi="ar-SA"/>
        </w:rPr>
        <w:t>八、其他需要说明的问题</w:t>
      </w:r>
      <w:bookmarkEnd w:id="19"/>
    </w:p>
    <w:p>
      <w:pPr>
        <w:pStyle w:val="2"/>
        <w:pageBreakBefore w:val="0"/>
        <w:kinsoku/>
        <w:wordWrap/>
        <w:overflowPunct/>
        <w:topLinePunct w:val="0"/>
        <w:autoSpaceDE/>
        <w:autoSpaceDN/>
        <w:bidi w:val="0"/>
        <w:adjustRightInd/>
        <w:snapToGrid w:val="0"/>
        <w:spacing w:before="0" w:after="0" w:line="560" w:lineRule="exact"/>
        <w:ind w:left="0" w:firstLine="320" w:firstLineChars="100"/>
        <w:jc w:val="both"/>
        <w:outlineLvl w:val="9"/>
      </w:pPr>
      <w:r>
        <w:rPr>
          <w:rFonts w:hint="eastAsia" w:ascii="仿宋_GB2312" w:hAnsi="仿宋_GB2312" w:eastAsia="仿宋_GB2312" w:cs="仿宋_GB2312"/>
          <w:b w:val="0"/>
          <w:bCs w:val="0"/>
          <w:kern w:val="2"/>
          <w:sz w:val="32"/>
          <w:szCs w:val="32"/>
          <w:highlight w:val="none"/>
          <w:lang w:val="en-US" w:eastAsia="zh-CN" w:bidi="ar-SA"/>
        </w:rPr>
        <w:t>　</w:t>
      </w:r>
      <w:r>
        <w:rPr>
          <w:rFonts w:hint="eastAsia" w:ascii="仿宋_GB2312" w:hAnsi="仿宋_GB2312" w:eastAsia="仿宋_GB2312" w:cs="仿宋_GB2312"/>
          <w:b w:val="0"/>
          <w:bCs w:val="0"/>
          <w:kern w:val="2"/>
          <w:sz w:val="32"/>
          <w:szCs w:val="32"/>
          <w:highlight w:val="none"/>
          <w:lang w:val="en-US" w:eastAsia="zh-Hans" w:bidi="ar-SA"/>
        </w:rPr>
        <w:t>本项目无其他需说明的问题</w:t>
      </w:r>
      <w:r>
        <w:rPr>
          <w:rFonts w:hint="eastAsia" w:ascii="仿宋_GB2312" w:hAnsi="仿宋_GB2312" w:eastAsia="仿宋_GB2312" w:cs="仿宋_GB2312"/>
          <w:b w:val="0"/>
          <w:bCs w:val="0"/>
          <w:kern w:val="2"/>
          <w:sz w:val="32"/>
          <w:szCs w:val="32"/>
          <w:highlight w:val="none"/>
          <w:lang w:val="en-US" w:eastAsia="zh-CN" w:bidi="ar-SA"/>
        </w:rPr>
        <w:t>。</w:t>
      </w:r>
    </w:p>
    <w:p>
      <w:pPr>
        <w:pageBreakBefore w:val="0"/>
        <w:kinsoku/>
        <w:wordWrap/>
        <w:overflowPunct/>
        <w:topLinePunct w:val="0"/>
        <w:autoSpaceDE/>
        <w:autoSpaceDN/>
        <w:bidi w:val="0"/>
        <w:adjustRightInd/>
        <w:snapToGrid w:val="0"/>
        <w:spacing w:line="560" w:lineRule="exact"/>
        <w:ind w:left="0"/>
        <w:outlineLvl w:val="9"/>
        <w:rPr>
          <w:rFonts w:hint="eastAsia" w:ascii="黑体" w:hAnsi="黑体" w:eastAsia="黑体" w:cs="黑体"/>
          <w:bCs/>
          <w:sz w:val="32"/>
          <w:szCs w:val="32"/>
        </w:rPr>
      </w:pPr>
    </w:p>
    <w:p>
      <w:pPr>
        <w:bidi w:val="0"/>
        <w:rPr>
          <w:rFonts w:hint="eastAsia" w:ascii="Times New Roman" w:hAnsi="Times New Roman" w:eastAsia="仿宋_GB2312" w:cs="Times New Roman"/>
          <w:kern w:val="2"/>
          <w:sz w:val="30"/>
          <w:szCs w:val="24"/>
          <w:lang w:val="en-US" w:eastAsia="zh-CN" w:bidi="ar-SA"/>
        </w:rPr>
      </w:pPr>
    </w:p>
    <w:p>
      <w:pPr>
        <w:bidi w:val="0"/>
        <w:rPr>
          <w:rFonts w:hint="eastAsia"/>
          <w:lang w:val="en-US" w:eastAsia="zh-CN"/>
        </w:rPr>
      </w:pPr>
    </w:p>
    <w:p>
      <w:pPr>
        <w:bidi w:val="0"/>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bidi w:val="0"/>
        <w:rPr>
          <w:rFonts w:hint="eastAsia"/>
          <w:lang w:val="en-US" w:eastAsia="zh-CN"/>
        </w:rPr>
      </w:pPr>
    </w:p>
    <w:p>
      <w:pPr>
        <w:tabs>
          <w:tab w:val="left" w:pos="1587"/>
        </w:tabs>
        <w:bidi w:val="0"/>
        <w:jc w:val="left"/>
        <w:rPr>
          <w:rFonts w:hint="eastAsia"/>
          <w:lang w:val="en-US" w:eastAsia="zh-CN"/>
        </w:rPr>
      </w:pPr>
      <w:r>
        <w:rPr>
          <w:rFonts w:hint="eastAsia"/>
          <w:lang w:val="en-US" w:eastAsia="zh-CN"/>
        </w:rPr>
        <w:tab/>
      </w:r>
    </w:p>
    <w:tbl>
      <w:tblPr>
        <w:tblW w:w="10060" w:type="dxa"/>
        <w:jc w:val="center"/>
        <w:tblInd w:w="-5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598"/>
        <w:gridCol w:w="837"/>
        <w:gridCol w:w="1145"/>
        <w:gridCol w:w="356"/>
        <w:gridCol w:w="1062"/>
        <w:gridCol w:w="423"/>
        <w:gridCol w:w="887"/>
        <w:gridCol w:w="887"/>
        <w:gridCol w:w="482"/>
        <w:gridCol w:w="431"/>
        <w:gridCol w:w="489"/>
        <w:gridCol w:w="341"/>
        <w:gridCol w:w="389"/>
        <w:gridCol w:w="17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67" w:hRule="atLeast"/>
          <w:jc w:val="center"/>
        </w:trPr>
        <w:tc>
          <w:tcPr>
            <w:tcW w:w="1006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bdr w:val="none" w:color="auto" w:sz="0" w:space="0"/>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57" w:hRule="atLeast"/>
          <w:jc w:val="center"/>
        </w:trPr>
        <w:tc>
          <w:tcPr>
            <w:tcW w:w="1006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87" w:hRule="atLeast"/>
          <w:jc w:val="center"/>
        </w:trPr>
        <w:tc>
          <w:tcPr>
            <w:tcW w:w="143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项目名称</w:t>
            </w:r>
          </w:p>
        </w:tc>
        <w:tc>
          <w:tcPr>
            <w:tcW w:w="8625" w:type="dxa"/>
            <w:gridSpan w:val="1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五联调度室建设和市YQ指挥部改造及口岸工作组采购办公设备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87" w:hRule="atLeast"/>
          <w:jc w:val="center"/>
        </w:trPr>
        <w:tc>
          <w:tcPr>
            <w:tcW w:w="143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主管部门</w:t>
            </w:r>
          </w:p>
        </w:tc>
        <w:tc>
          <w:tcPr>
            <w:tcW w:w="3873"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中国共产党霍尔果斯市委员会办公室</w:t>
            </w:r>
          </w:p>
        </w:tc>
        <w:tc>
          <w:tcPr>
            <w:tcW w:w="13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实施单位</w:t>
            </w:r>
          </w:p>
        </w:tc>
        <w:tc>
          <w:tcPr>
            <w:tcW w:w="3383"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中国共产党霍尔果斯市委员会办公室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87" w:hRule="atLeast"/>
          <w:jc w:val="center"/>
        </w:trPr>
        <w:tc>
          <w:tcPr>
            <w:tcW w:w="1435"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项目资金</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（万元）</w:t>
            </w:r>
          </w:p>
        </w:tc>
        <w:tc>
          <w:tcPr>
            <w:tcW w:w="150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年初预算数</w:t>
            </w:r>
          </w:p>
        </w:tc>
        <w:tc>
          <w:tcPr>
            <w:tcW w:w="13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全年预算数</w:t>
            </w:r>
          </w:p>
        </w:tc>
        <w:tc>
          <w:tcPr>
            <w:tcW w:w="13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全年执行数</w:t>
            </w:r>
          </w:p>
        </w:tc>
        <w:tc>
          <w:tcPr>
            <w:tcW w:w="92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7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执行率</w:t>
            </w:r>
          </w:p>
        </w:tc>
        <w:tc>
          <w:tcPr>
            <w:tcW w:w="17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1918" w:hRule="atLeast"/>
          <w:jc w:val="center"/>
        </w:trPr>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年度资金总额</w:t>
            </w:r>
          </w:p>
        </w:tc>
        <w:tc>
          <w:tcPr>
            <w:tcW w:w="10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108.08</w:t>
            </w:r>
          </w:p>
        </w:tc>
        <w:tc>
          <w:tcPr>
            <w:tcW w:w="13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108.08</w:t>
            </w:r>
          </w:p>
        </w:tc>
        <w:tc>
          <w:tcPr>
            <w:tcW w:w="13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108.08</w:t>
            </w:r>
          </w:p>
        </w:tc>
        <w:tc>
          <w:tcPr>
            <w:tcW w:w="92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7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100.00%</w:t>
            </w:r>
          </w:p>
        </w:tc>
        <w:tc>
          <w:tcPr>
            <w:tcW w:w="17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519" w:hRule="atLeast"/>
          <w:jc w:val="center"/>
        </w:trPr>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其中：当年财政拨款</w:t>
            </w:r>
          </w:p>
        </w:tc>
        <w:tc>
          <w:tcPr>
            <w:tcW w:w="10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108.08</w:t>
            </w:r>
          </w:p>
        </w:tc>
        <w:tc>
          <w:tcPr>
            <w:tcW w:w="13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108.08</w:t>
            </w:r>
          </w:p>
        </w:tc>
        <w:tc>
          <w:tcPr>
            <w:tcW w:w="13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2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7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7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49" w:hRule="atLeast"/>
          <w:jc w:val="center"/>
        </w:trPr>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上年结转资金</w:t>
            </w:r>
          </w:p>
        </w:tc>
        <w:tc>
          <w:tcPr>
            <w:tcW w:w="10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3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3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2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7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7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519" w:hRule="atLeast"/>
          <w:jc w:val="center"/>
        </w:trPr>
        <w:tc>
          <w:tcPr>
            <w:tcW w:w="1435"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其他资金</w:t>
            </w:r>
          </w:p>
        </w:tc>
        <w:tc>
          <w:tcPr>
            <w:tcW w:w="106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3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3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2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7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173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87" w:hRule="atLeast"/>
          <w:jc w:val="center"/>
        </w:trPr>
        <w:tc>
          <w:tcPr>
            <w:tcW w:w="598"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年度总体目标</w:t>
            </w:r>
          </w:p>
        </w:tc>
        <w:tc>
          <w:tcPr>
            <w:tcW w:w="4710"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预期目标</w:t>
            </w:r>
          </w:p>
        </w:tc>
        <w:tc>
          <w:tcPr>
            <w:tcW w:w="4752"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2086" w:hRule="atLeast"/>
          <w:jc w:val="center"/>
        </w:trPr>
        <w:tc>
          <w:tcPr>
            <w:tcW w:w="59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10"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霍尔果斯市为带动经济发展，更好的解决民生问题，完成就业目标，多次开展会议进行研究讨论，为保障会议顺利完成，更好的与各货场沟通交流、指导工作，做好外防输入及YQ保障指导工作，提高工作效率，对会议室进行改造，增加设备LED屏幕及其他办公设备，保障会议正常召开。</w:t>
            </w:r>
          </w:p>
        </w:tc>
        <w:tc>
          <w:tcPr>
            <w:tcW w:w="4752"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将会议室进行改造，增添办公设备，保障会议正常召开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65" w:hRule="atLeast"/>
          <w:jc w:val="center"/>
        </w:trPr>
        <w:tc>
          <w:tcPr>
            <w:tcW w:w="598"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一级指标</w:t>
            </w:r>
          </w:p>
        </w:tc>
        <w:tc>
          <w:tcPr>
            <w:tcW w:w="1145"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二级指标</w:t>
            </w:r>
          </w:p>
        </w:tc>
        <w:tc>
          <w:tcPr>
            <w:tcW w:w="1841" w:type="dxa"/>
            <w:gridSpan w:val="3"/>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三级指标</w:t>
            </w:r>
          </w:p>
        </w:tc>
        <w:tc>
          <w:tcPr>
            <w:tcW w:w="88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年度指标值</w:t>
            </w:r>
          </w:p>
        </w:tc>
        <w:tc>
          <w:tcPr>
            <w:tcW w:w="88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实际完成值</w:t>
            </w:r>
          </w:p>
        </w:tc>
        <w:tc>
          <w:tcPr>
            <w:tcW w:w="913"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830"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c>
          <w:tcPr>
            <w:tcW w:w="2122"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365" w:hRule="atLeast"/>
          <w:jc w:val="center"/>
        </w:trPr>
        <w:tc>
          <w:tcPr>
            <w:tcW w:w="59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4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841"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3"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22"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87" w:hRule="atLeast"/>
          <w:jc w:val="center"/>
        </w:trPr>
        <w:tc>
          <w:tcPr>
            <w:tcW w:w="598"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年度绩效指标完成情况</w:t>
            </w:r>
          </w:p>
        </w:tc>
        <w:tc>
          <w:tcPr>
            <w:tcW w:w="83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产出指标</w:t>
            </w:r>
          </w:p>
        </w:tc>
        <w:tc>
          <w:tcPr>
            <w:tcW w:w="11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184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改造会议室数量</w:t>
            </w: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=2个</w:t>
            </w: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2个</w:t>
            </w:r>
          </w:p>
        </w:tc>
        <w:tc>
          <w:tcPr>
            <w:tcW w:w="91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8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12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87" w:hRule="atLeast"/>
          <w:jc w:val="center"/>
        </w:trPr>
        <w:tc>
          <w:tcPr>
            <w:tcW w:w="59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184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项目设计变更率</w:t>
            </w: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&lt;=1%</w:t>
            </w: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91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8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12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87" w:hRule="atLeast"/>
          <w:jc w:val="center"/>
        </w:trPr>
        <w:tc>
          <w:tcPr>
            <w:tcW w:w="59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184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竣工验收合格率</w:t>
            </w: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8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12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87" w:hRule="atLeast"/>
          <w:jc w:val="center"/>
        </w:trPr>
        <w:tc>
          <w:tcPr>
            <w:tcW w:w="59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184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项目资金支付率</w:t>
            </w: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8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12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87" w:hRule="atLeast"/>
          <w:jc w:val="center"/>
        </w:trPr>
        <w:tc>
          <w:tcPr>
            <w:tcW w:w="59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184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项目按时完工率</w:t>
            </w: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8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12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87" w:hRule="atLeast"/>
          <w:jc w:val="center"/>
        </w:trPr>
        <w:tc>
          <w:tcPr>
            <w:tcW w:w="59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成本指标</w:t>
            </w:r>
          </w:p>
        </w:tc>
        <w:tc>
          <w:tcPr>
            <w:tcW w:w="11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经济成本指标</w:t>
            </w:r>
          </w:p>
        </w:tc>
        <w:tc>
          <w:tcPr>
            <w:tcW w:w="184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2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87" w:hRule="atLeast"/>
          <w:jc w:val="center"/>
        </w:trPr>
        <w:tc>
          <w:tcPr>
            <w:tcW w:w="59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社会成本指标</w:t>
            </w:r>
          </w:p>
        </w:tc>
        <w:tc>
          <w:tcPr>
            <w:tcW w:w="184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2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49" w:hRule="atLeast"/>
          <w:jc w:val="center"/>
        </w:trPr>
        <w:tc>
          <w:tcPr>
            <w:tcW w:w="59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生态环境成本指标</w:t>
            </w:r>
          </w:p>
        </w:tc>
        <w:tc>
          <w:tcPr>
            <w:tcW w:w="184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2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87" w:hRule="atLeast"/>
          <w:jc w:val="center"/>
        </w:trPr>
        <w:tc>
          <w:tcPr>
            <w:tcW w:w="59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效益指标</w:t>
            </w:r>
          </w:p>
        </w:tc>
        <w:tc>
          <w:tcPr>
            <w:tcW w:w="11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经济效益指标</w:t>
            </w:r>
          </w:p>
        </w:tc>
        <w:tc>
          <w:tcPr>
            <w:tcW w:w="184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2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87" w:hRule="atLeast"/>
          <w:jc w:val="center"/>
        </w:trPr>
        <w:tc>
          <w:tcPr>
            <w:tcW w:w="59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184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正常运转率</w:t>
            </w: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30</w:t>
            </w:r>
          </w:p>
        </w:tc>
        <w:tc>
          <w:tcPr>
            <w:tcW w:w="8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30</w:t>
            </w:r>
          </w:p>
        </w:tc>
        <w:tc>
          <w:tcPr>
            <w:tcW w:w="212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87" w:hRule="atLeast"/>
          <w:jc w:val="center"/>
        </w:trPr>
        <w:tc>
          <w:tcPr>
            <w:tcW w:w="59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生态效益指标</w:t>
            </w:r>
          </w:p>
        </w:tc>
        <w:tc>
          <w:tcPr>
            <w:tcW w:w="184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2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49" w:hRule="atLeast"/>
          <w:jc w:val="center"/>
        </w:trPr>
        <w:tc>
          <w:tcPr>
            <w:tcW w:w="598"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3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114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1841"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单位人员满意度</w:t>
            </w: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88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1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8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12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518" w:hRule="atLeast"/>
          <w:jc w:val="center"/>
        </w:trPr>
        <w:tc>
          <w:tcPr>
            <w:tcW w:w="6195" w:type="dxa"/>
            <w:gridSpan w:val="8"/>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总分</w:t>
            </w:r>
          </w:p>
        </w:tc>
        <w:tc>
          <w:tcPr>
            <w:tcW w:w="91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83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100分</w:t>
            </w:r>
          </w:p>
        </w:tc>
        <w:tc>
          <w:tcPr>
            <w:tcW w:w="212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tabs>
          <w:tab w:val="left" w:pos="1587"/>
        </w:tabs>
        <w:bidi w:val="0"/>
        <w:jc w:val="left"/>
        <w:rPr>
          <w:rFonts w:hint="eastAsia"/>
          <w:lang w:val="en-US" w:eastAsia="zh-CN"/>
        </w:rPr>
        <w:sectPr>
          <w:headerReference r:id="rId3" w:type="default"/>
          <w:pgSz w:w="11906" w:h="16838"/>
          <w:pgMar w:top="2098" w:right="1531" w:bottom="1984" w:left="1531" w:header="737" w:footer="851" w:gutter="0"/>
          <w:cols w:space="720" w:num="1"/>
          <w:docGrid w:type="lines" w:linePitch="408" w:charSpace="0"/>
        </w:sectPr>
      </w:pPr>
    </w:p>
    <w:p>
      <w:pPr>
        <w:pStyle w:val="20"/>
        <w:pageBreakBefore w:val="0"/>
        <w:kinsoku/>
        <w:wordWrap/>
        <w:overflowPunct/>
        <w:topLinePunct w:val="0"/>
        <w:autoSpaceDE/>
        <w:autoSpaceDN/>
        <w:bidi w:val="0"/>
        <w:adjustRightInd/>
        <w:snapToGrid w:val="0"/>
        <w:spacing w:line="560" w:lineRule="exact"/>
        <w:ind w:left="0" w:firstLine="562"/>
        <w:jc w:val="center"/>
        <w:outlineLvl w:val="9"/>
        <w:rPr>
          <w:sz w:val="28"/>
          <w:szCs w:val="40"/>
        </w:rPr>
      </w:pPr>
      <w:bookmarkStart w:id="20" w:name="_Toc26499_WPSOffice_Level2"/>
      <w:bookmarkStart w:id="21" w:name="_Toc30064_WPSOffice_Level1"/>
      <w:r>
        <w:rPr>
          <w:rFonts w:hint="eastAsia"/>
          <w:b/>
          <w:bCs/>
          <w:sz w:val="28"/>
          <w:szCs w:val="40"/>
          <w:lang w:val="en-US" w:eastAsia="zh-CN"/>
        </w:rPr>
        <w:t>五联调度室建设和市YQ指挥部改造及口岸工作组采购办公设备</w:t>
      </w:r>
      <w:bookmarkStart w:id="22" w:name="_GoBack"/>
      <w:bookmarkEnd w:id="22"/>
      <w:r>
        <w:rPr>
          <w:rFonts w:hint="eastAsia"/>
          <w:b/>
          <w:bCs/>
          <w:sz w:val="28"/>
          <w:szCs w:val="40"/>
        </w:rPr>
        <w:t>绩效评价指标体系及综合评分表</w:t>
      </w:r>
      <w:bookmarkEnd w:id="20"/>
      <w:bookmarkEnd w:id="21"/>
    </w:p>
    <w:tbl>
      <w:tblPr>
        <w:tblW w:w="14175" w:type="dxa"/>
        <w:jc w:val="center"/>
        <w:tblInd w:w="-46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698"/>
        <w:gridCol w:w="1076"/>
        <w:gridCol w:w="1284"/>
        <w:gridCol w:w="3204"/>
        <w:gridCol w:w="6521"/>
        <w:gridCol w:w="696"/>
        <w:gridCol w:w="6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26" w:hRule="atLeast"/>
          <w:jc w:val="center"/>
        </w:trPr>
        <w:tc>
          <w:tcPr>
            <w:tcW w:w="12783" w:type="dxa"/>
            <w:gridSpan w:val="5"/>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bdr w:val="none" w:color="auto" w:sz="0" w:space="0"/>
                <w:lang w:val="en-US" w:eastAsia="zh-CN" w:bidi="ar"/>
              </w:rPr>
              <w:t>五联调度室建设和市YQ指挥部改造及口岸工作组采购办公设备绩效评价指标体系</w:t>
            </w:r>
          </w:p>
        </w:tc>
        <w:tc>
          <w:tcPr>
            <w:tcW w:w="696" w:type="dxa"/>
            <w:tcBorders>
              <w:top w:val="nil"/>
              <w:left w:val="nil"/>
              <w:bottom w:val="nil"/>
              <w:right w:val="nil"/>
            </w:tcBorders>
            <w:shd w:val="clear"/>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696" w:type="dxa"/>
            <w:tcBorders>
              <w:top w:val="nil"/>
              <w:left w:val="nil"/>
              <w:bottom w:val="nil"/>
              <w:right w:val="nil"/>
            </w:tcBorders>
            <w:shd w:val="clear"/>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738" w:hRule="atLeast"/>
          <w:jc w:val="center"/>
        </w:trPr>
        <w:tc>
          <w:tcPr>
            <w:tcW w:w="69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一级指标</w:t>
            </w:r>
          </w:p>
        </w:tc>
        <w:tc>
          <w:tcPr>
            <w:tcW w:w="107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二级指标</w:t>
            </w:r>
          </w:p>
        </w:tc>
        <w:tc>
          <w:tcPr>
            <w:tcW w:w="12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三级指标</w:t>
            </w:r>
          </w:p>
        </w:tc>
        <w:tc>
          <w:tcPr>
            <w:tcW w:w="320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指标解释</w:t>
            </w: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指标说明</w:t>
            </w:r>
          </w:p>
        </w:tc>
        <w:tc>
          <w:tcPr>
            <w:tcW w:w="69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分值</w:t>
            </w:r>
          </w:p>
        </w:tc>
        <w:tc>
          <w:tcPr>
            <w:tcW w:w="69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决策　（20）</w:t>
            </w:r>
          </w:p>
        </w:tc>
        <w:tc>
          <w:tcPr>
            <w:tcW w:w="107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项目立项(6)</w:t>
            </w:r>
          </w:p>
        </w:tc>
        <w:tc>
          <w:tcPr>
            <w:tcW w:w="12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立项依据充分性</w:t>
            </w:r>
          </w:p>
        </w:tc>
        <w:tc>
          <w:tcPr>
            <w:tcW w:w="320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项目立项是否符合法律法规、相关政策、发展规划以及部门职责，用以反映和考核项目立项依据情况。</w:t>
            </w: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①项目立项是否符合国家法律法规、国民经济发展规划和相关政策；</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②项目立项是否符合行业发展规划和政策要求；</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③项目立项是否与部门职责范围相符，属于部门履职所需；</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④项目是否属于公共财政支持范围，是否符合中央、地方事权支出责任划分原则；</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⑤项目是否与相关部门同类项目或部门内部相关项目重复。</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立项程序规范性</w:t>
            </w:r>
          </w:p>
        </w:tc>
        <w:tc>
          <w:tcPr>
            <w:tcW w:w="320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项目申请、设立过程是否符合相关要求，用以反映和考核项目立项的规范情况。</w:t>
            </w: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①项目是否按照规定的程序申请设立；</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②审批文件、材料是否符合相关要求；</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③事前是否已经过必要的可行性研究、专家论证、风险评估、绩效评估、集体决策。</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2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绩效目标合理性</w:t>
            </w:r>
          </w:p>
        </w:tc>
        <w:tc>
          <w:tcPr>
            <w:tcW w:w="320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项目所设定的绩效目标是否依据充分，是否符合客观实际，用以反映和考核项目绩效目标与项目实施的相符情况。</w:t>
            </w: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（如未设定预算绩效目标，也可考核其他工作任务目标）</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①项目是否有绩效目标；</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②项目绩效目标与实际工作内容是否具有相关性；</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③项目预期产出效益和效果是否符合正常的业绩水平；</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④是否与预算确定的项目投资额或资金量相匹配。</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2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绩效指标明确性</w:t>
            </w:r>
          </w:p>
        </w:tc>
        <w:tc>
          <w:tcPr>
            <w:tcW w:w="320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依据绩效目标设定的绩效指标是否清晰、细化、可衡量等，用以反映和考核项目绩效目标的明细化情况。</w:t>
            </w: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①是否将项目绩效目标细化分解为具体的绩效指标；</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②是否通过清晰、可衡量的指标值予以体现；</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③是否与项目目标任务数或计划数相对应。</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资金投入（8）</w:t>
            </w:r>
          </w:p>
        </w:tc>
        <w:tc>
          <w:tcPr>
            <w:tcW w:w="12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预算编制科学性</w:t>
            </w:r>
          </w:p>
        </w:tc>
        <w:tc>
          <w:tcPr>
            <w:tcW w:w="320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项目预算编制是否经过科学论证、有明确标准，资金额度与年度目标是否相适应，用以反映和考核项目预算编制的科学性、合理性情况。</w:t>
            </w: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①预算编制是否经过科学论证；</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②预算内容与项目内容是否匹配；</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③预算额度测算依据是否充分，是否按照标准编制；</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④预算确定的项目投资额或资金量是否与工作任务相匹配。</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资金分配合理性</w:t>
            </w:r>
          </w:p>
        </w:tc>
        <w:tc>
          <w:tcPr>
            <w:tcW w:w="320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项目预算资金分配是否有测算依据，与补助单位或地方实际是否相适应，用以反映和考核项目预算资金分配的科学性、合理性情况。</w:t>
            </w: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①预算资金分配依据是否充分；</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②资金分配额度是否合理，与项目单位或地方实际是否相适应。</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过程（20）</w:t>
            </w:r>
          </w:p>
        </w:tc>
        <w:tc>
          <w:tcPr>
            <w:tcW w:w="107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资金管理(8)</w:t>
            </w:r>
          </w:p>
        </w:tc>
        <w:tc>
          <w:tcPr>
            <w:tcW w:w="12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w:t>
            </w:r>
          </w:p>
        </w:tc>
        <w:tc>
          <w:tcPr>
            <w:tcW w:w="320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实际到位资金与预算资金的比率，用以反映和考核资金落实情况对项目实施的总体保障程度。</w:t>
            </w: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资金到位率=（实际到位资金/预算资金）×100%。</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实际到位资金：一定时期（本年度或项目期）内落实到具体项目的资金。</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预算资金：一定时期（本年度或项目期）内预算安排到具体项目的资金。</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w:t>
            </w:r>
          </w:p>
        </w:tc>
        <w:tc>
          <w:tcPr>
            <w:tcW w:w="320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项目预算资金是否按照计划执行，用以反映或考核项目预算执行情况。</w:t>
            </w: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预算执行率=（实际支出资金/实际到位资金）×100%。</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实际支出资金：一定时期（本年度或项目期）内项目实际拨付的资金。</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资金管理(4)</w:t>
            </w:r>
          </w:p>
        </w:tc>
        <w:tc>
          <w:tcPr>
            <w:tcW w:w="12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资金使用合规性</w:t>
            </w:r>
          </w:p>
        </w:tc>
        <w:tc>
          <w:tcPr>
            <w:tcW w:w="320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项目资金使用是否符合相关的财务管理制度规定，用以反映和考核项目资金的规范运行情况。</w:t>
            </w: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①是否符合国家财经法规和财务管理制度以及有关专项资金管理办法的规定；</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②资金的拨付是否有完整的审批程序和手续；</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③是否符合项目预算批复或合同规定的用途；</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④是否存在截留、挤占、挪用、虚列支出等情况。</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组织实施（8）</w:t>
            </w:r>
          </w:p>
        </w:tc>
        <w:tc>
          <w:tcPr>
            <w:tcW w:w="12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管理制度健全性</w:t>
            </w:r>
          </w:p>
        </w:tc>
        <w:tc>
          <w:tcPr>
            <w:tcW w:w="320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项目实施单位的财务和业务管理制度是否健全，用以反映和考核财务和业务管理制度对项目顺利实施的保障情况。</w:t>
            </w: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①是否已制定或具有相应的财务和业务管理制度；</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②财务和业务管理制度是否合法、合规、完整。</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制度执行有效性</w:t>
            </w:r>
          </w:p>
        </w:tc>
        <w:tc>
          <w:tcPr>
            <w:tcW w:w="320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项目实施是否符合相关管理规定，用以反映和考核相关管理制度的有效执行情况。</w:t>
            </w: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①是否遵守相关法律法规和相关管理规定；</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②项目调整及支出调整手续是否完备；</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③项目合同书、验收报告、技术鉴定等资料是否齐全并及时归档；</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④项目实施的人员条件、场地设备、信息支撑等是否落实到位。</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产出（40）</w:t>
            </w:r>
          </w:p>
        </w:tc>
        <w:tc>
          <w:tcPr>
            <w:tcW w:w="107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产出数量(10)</w:t>
            </w:r>
          </w:p>
        </w:tc>
        <w:tc>
          <w:tcPr>
            <w:tcW w:w="12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w:t>
            </w:r>
          </w:p>
        </w:tc>
        <w:tc>
          <w:tcPr>
            <w:tcW w:w="320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项目实施的实际产出数与计划产出数的比率，用以反映和考核项目产出数量目标的实现程度。</w:t>
            </w: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实际完成率=（实际产出数/计划产出数）×100%。</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实际产出数：一定时期（本年度或项目期）内项目实际产出的产品或提供的服务数量。</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586"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计划产出数：项目绩效目标确定的在一定时期（本年度或项目期）内计划产出的产品或提供的服务数量。</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产出质量(10)</w:t>
            </w:r>
          </w:p>
        </w:tc>
        <w:tc>
          <w:tcPr>
            <w:tcW w:w="12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w:t>
            </w:r>
          </w:p>
        </w:tc>
        <w:tc>
          <w:tcPr>
            <w:tcW w:w="320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项目完成的质量达标产出数与实际产出数的比率，用以反映和考核项目产出质量目标的实现程度。</w:t>
            </w: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质量达标率=（质量达标产出数/实际产出数）×100%。</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54"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产出时效(10)</w:t>
            </w:r>
          </w:p>
        </w:tc>
        <w:tc>
          <w:tcPr>
            <w:tcW w:w="12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完成及时性</w:t>
            </w:r>
          </w:p>
        </w:tc>
        <w:tc>
          <w:tcPr>
            <w:tcW w:w="320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项目实际完成时间与计划完成时间的比较，用以反映和考核项目产出时效目标的实现程度。</w:t>
            </w: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实际完成时间：项目实施单位完成该项目实际所耗用的时间。</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计划完成时间：按照项目实施计划或相关规定完成该项目所需的时间。</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产出成本(10)</w:t>
            </w:r>
          </w:p>
        </w:tc>
        <w:tc>
          <w:tcPr>
            <w:tcW w:w="128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w:t>
            </w:r>
          </w:p>
        </w:tc>
        <w:tc>
          <w:tcPr>
            <w:tcW w:w="320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完成项目计划工作目标的实际节约成本与计划成本的比率，用以反映和考核项目的成本节约程度。</w:t>
            </w: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成本节约率=[（计划成本-实际成本）/计划成本]×100%。</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实际成本：项目实施单位如期、保质、保量完成既定工作目标实际所耗费的支出。</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40"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20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计划成本：项目实施单位为完成工作目标计划安排的支出，一般以项目预算为参考。</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45" w:hRule="atLeast"/>
          <w:jc w:val="center"/>
        </w:trPr>
        <w:tc>
          <w:tcPr>
            <w:tcW w:w="698"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效益（20）</w:t>
            </w:r>
          </w:p>
        </w:tc>
        <w:tc>
          <w:tcPr>
            <w:tcW w:w="107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项目效益（20）</w:t>
            </w:r>
          </w:p>
        </w:tc>
        <w:tc>
          <w:tcPr>
            <w:tcW w:w="12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实施效益</w:t>
            </w:r>
          </w:p>
        </w:tc>
        <w:tc>
          <w:tcPr>
            <w:tcW w:w="320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项目实施所产生的效益。</w:t>
            </w: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项目实施所产生的社会效益、经济效益、生态效益、可持续影响等。可根据项目实际情况有选择地设置和细化。</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45" w:hRule="atLeast"/>
          <w:jc w:val="center"/>
        </w:trPr>
        <w:tc>
          <w:tcPr>
            <w:tcW w:w="69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7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8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满意度</w:t>
            </w:r>
          </w:p>
        </w:tc>
        <w:tc>
          <w:tcPr>
            <w:tcW w:w="320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社会公众或服务对象对项目实施效果的满意程度。</w:t>
            </w:r>
          </w:p>
        </w:tc>
        <w:tc>
          <w:tcPr>
            <w:tcW w:w="652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社会公众或服务对象是指因该项目实施而受到影响的部门（单位）、群体或个人。一般采取社会调查的方式。</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749" w:hRule="atLeast"/>
          <w:jc w:val="center"/>
        </w:trPr>
        <w:tc>
          <w:tcPr>
            <w:tcW w:w="12783" w:type="dxa"/>
            <w:gridSpan w:val="5"/>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总分</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r>
    </w:tbl>
    <w:p>
      <w:pPr>
        <w:pageBreakBefore w:val="0"/>
        <w:kinsoku/>
        <w:wordWrap/>
        <w:overflowPunct/>
        <w:topLinePunct w:val="0"/>
        <w:autoSpaceDE/>
        <w:autoSpaceDN/>
        <w:bidi w:val="0"/>
        <w:adjustRightInd/>
        <w:snapToGrid w:val="0"/>
        <w:spacing w:line="560" w:lineRule="exact"/>
        <w:ind w:left="0"/>
        <w:outlineLvl w:val="9"/>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3000509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lYjVjYzM0YWQxZWViODkyZjI1YjcyYzU5MzBhMGMifQ=="/>
  </w:docVars>
  <w:rsids>
    <w:rsidRoot w:val="007D49C5"/>
    <w:rsid w:val="000D63FA"/>
    <w:rsid w:val="005B64E8"/>
    <w:rsid w:val="00614288"/>
    <w:rsid w:val="00670592"/>
    <w:rsid w:val="00792CFE"/>
    <w:rsid w:val="007D49C5"/>
    <w:rsid w:val="008175E0"/>
    <w:rsid w:val="008C631D"/>
    <w:rsid w:val="00A114ED"/>
    <w:rsid w:val="00B24331"/>
    <w:rsid w:val="011C112D"/>
    <w:rsid w:val="01583141"/>
    <w:rsid w:val="05253FFE"/>
    <w:rsid w:val="06706957"/>
    <w:rsid w:val="0F2A6BF7"/>
    <w:rsid w:val="101C42A5"/>
    <w:rsid w:val="109627EE"/>
    <w:rsid w:val="17136327"/>
    <w:rsid w:val="181871E2"/>
    <w:rsid w:val="19166846"/>
    <w:rsid w:val="1A242870"/>
    <w:rsid w:val="1D1376C4"/>
    <w:rsid w:val="20E92B23"/>
    <w:rsid w:val="22AC2218"/>
    <w:rsid w:val="2729052F"/>
    <w:rsid w:val="28C14634"/>
    <w:rsid w:val="2EC724D4"/>
    <w:rsid w:val="2EE30257"/>
    <w:rsid w:val="34DA27CE"/>
    <w:rsid w:val="36411DC5"/>
    <w:rsid w:val="36B72533"/>
    <w:rsid w:val="387277EC"/>
    <w:rsid w:val="38E21D94"/>
    <w:rsid w:val="3FDA55C8"/>
    <w:rsid w:val="403355A1"/>
    <w:rsid w:val="4057649F"/>
    <w:rsid w:val="450B6AE4"/>
    <w:rsid w:val="54873A1A"/>
    <w:rsid w:val="56796849"/>
    <w:rsid w:val="568F383B"/>
    <w:rsid w:val="5AD80D84"/>
    <w:rsid w:val="5CF77C90"/>
    <w:rsid w:val="5D33672E"/>
    <w:rsid w:val="5D555EEF"/>
    <w:rsid w:val="5DA95371"/>
    <w:rsid w:val="63C77692"/>
    <w:rsid w:val="686F7714"/>
    <w:rsid w:val="6A862BA8"/>
    <w:rsid w:val="6DFC1C65"/>
    <w:rsid w:val="75FA041F"/>
    <w:rsid w:val="760F49BD"/>
    <w:rsid w:val="76E870A0"/>
    <w:rsid w:val="7AE40DD7"/>
    <w:rsid w:val="7C536381"/>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0</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2024-06-12T03:43:41Z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