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p>
      <w:pPr>
        <w:jc w:val="center"/>
        <w:rPr>
          <w:rFonts w:ascii="宋体" w:hAnsi="宋体" w:eastAsia="宋体" w:cs="Arial"/>
          <w:b/>
          <w:bCs/>
          <w:sz w:val="48"/>
          <w:szCs w:val="48"/>
        </w:rPr>
      </w:pPr>
    </w:p>
    <w:p>
      <w:pPr>
        <w:jc w:val="center"/>
        <w:rPr>
          <w:rFonts w:ascii="宋体" w:hAnsi="宋体" w:eastAsia="宋体" w:cs="Arial"/>
          <w:b w:val="0"/>
          <w:bCs w:val="0"/>
          <w:sz w:val="48"/>
          <w:szCs w:val="48"/>
        </w:rPr>
      </w:pPr>
    </w:p>
    <w:p>
      <w:pPr>
        <w:jc w:val="center"/>
        <w:rPr>
          <w:rFonts w:hint="eastAsia" w:ascii="方正小标宋简体" w:hAnsi="方正小标宋简体" w:eastAsia="方正小标宋简体" w:cs="方正小标宋简体"/>
          <w:b w:val="0"/>
          <w:bCs w:val="0"/>
          <w:sz w:val="48"/>
          <w:szCs w:val="48"/>
        </w:rPr>
      </w:pPr>
      <w:r>
        <w:rPr>
          <w:rFonts w:hint="eastAsia" w:ascii="方正小标宋简体" w:hAnsi="方正小标宋简体" w:eastAsia="方正小标宋简体" w:cs="方正小标宋简体"/>
          <w:b w:val="0"/>
          <w:bCs w:val="0"/>
          <w:sz w:val="48"/>
          <w:szCs w:val="48"/>
          <w:lang w:val="en-US" w:eastAsia="zh-CN"/>
        </w:rPr>
        <w:t>霍尔果斯市苏港中学国家助学金</w:t>
      </w:r>
      <w:r>
        <w:rPr>
          <w:rFonts w:hint="eastAsia" w:ascii="方正小标宋简体" w:hAnsi="方正小标宋简体" w:eastAsia="方正小标宋简体" w:cs="方正小标宋简体"/>
          <w:b w:val="0"/>
          <w:bCs w:val="0"/>
          <w:sz w:val="48"/>
          <w:szCs w:val="48"/>
        </w:rPr>
        <w:t>项目支出绩效评价报告</w:t>
      </w:r>
    </w:p>
    <w:p>
      <w:pPr>
        <w:jc w:val="center"/>
        <w:rPr>
          <w:rFonts w:hint="default" w:ascii="Times New Roman" w:hAnsi="Times New Roman" w:eastAsia="宋体" w:cs="Times New Roman"/>
          <w:b w:val="0"/>
          <w:bCs w:val="0"/>
          <w:sz w:val="48"/>
          <w:szCs w:val="48"/>
        </w:rPr>
      </w:pPr>
    </w:p>
    <w:p>
      <w:pPr>
        <w:widowControl/>
        <w:spacing w:line="560" w:lineRule="exact"/>
        <w:jc w:val="center"/>
        <w:rPr>
          <w:rFonts w:hint="default" w:ascii="Times New Roman" w:hAnsi="Times New Roman" w:cs="Times New Roman"/>
          <w:b/>
          <w:kern w:val="0"/>
          <w:sz w:val="50"/>
          <w:szCs w:val="50"/>
          <w:lang w:bidi="en-US"/>
        </w:rPr>
      </w:pPr>
      <w:r>
        <w:rPr>
          <w:rFonts w:hint="default" w:ascii="Times New Roman" w:hAnsi="Times New Roman" w:eastAsia="红豆小标宋简体" w:cs="Times New Roman"/>
          <w:color w:val="000000"/>
          <w:kern w:val="0"/>
          <w:sz w:val="36"/>
          <w:szCs w:val="36"/>
        </w:rPr>
        <w:t>（202</w:t>
      </w:r>
      <w:r>
        <w:rPr>
          <w:rFonts w:hint="default" w:ascii="Times New Roman" w:hAnsi="Times New Roman" w:eastAsia="红豆小标宋简体" w:cs="Times New Roman"/>
          <w:color w:val="000000"/>
          <w:kern w:val="0"/>
          <w:sz w:val="36"/>
          <w:szCs w:val="36"/>
          <w:lang w:val="en-US" w:eastAsia="zh-CN"/>
        </w:rPr>
        <w:t>3</w:t>
      </w:r>
      <w:r>
        <w:rPr>
          <w:rFonts w:hint="default" w:ascii="Times New Roman" w:hAnsi="Times New Roman" w:eastAsia="红豆小标宋简体" w:cs="Times New Roman"/>
          <w:color w:val="000000"/>
          <w:kern w:val="0"/>
          <w:sz w:val="36"/>
          <w:szCs w:val="36"/>
        </w:rPr>
        <w:t>年度）</w:t>
      </w: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560" w:lineRule="exact"/>
        <w:ind w:firstLine="321" w:firstLineChars="100"/>
        <w:jc w:val="both"/>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项目名称：</w:t>
      </w:r>
      <w:r>
        <w:rPr>
          <w:rFonts w:hint="default" w:ascii="Times New Roman" w:hAnsi="Times New Roman" w:cs="Times New Roman"/>
          <w:kern w:val="0"/>
          <w:sz w:val="32"/>
          <w:szCs w:val="32"/>
          <w:lang w:bidi="en-US"/>
        </w:rPr>
        <w:t>普通高中国家助学金</w:t>
      </w:r>
    </w:p>
    <w:p>
      <w:pPr>
        <w:spacing w:line="560" w:lineRule="exact"/>
        <w:jc w:val="both"/>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实施单位（公章）：</w:t>
      </w:r>
      <w:r>
        <w:rPr>
          <w:rFonts w:hint="default" w:ascii="Times New Roman" w:hAnsi="Times New Roman" w:cs="Times New Roman"/>
          <w:kern w:val="0"/>
          <w:sz w:val="32"/>
          <w:szCs w:val="32"/>
          <w:lang w:eastAsia="zh-CN" w:bidi="en-US"/>
        </w:rPr>
        <w:t>霍尔果斯市苏港中学</w:t>
      </w:r>
    </w:p>
    <w:p>
      <w:pPr>
        <w:spacing w:line="560" w:lineRule="exact"/>
        <w:jc w:val="both"/>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主管部门（公章）：</w:t>
      </w:r>
      <w:r>
        <w:rPr>
          <w:rFonts w:hint="default" w:ascii="Times New Roman" w:hAnsi="Times New Roman" w:cs="Times New Roman"/>
          <w:kern w:val="0"/>
          <w:sz w:val="32"/>
          <w:szCs w:val="32"/>
          <w:lang w:eastAsia="zh-CN" w:bidi="en-US"/>
        </w:rPr>
        <w:t>霍尔果斯市教育局</w:t>
      </w:r>
    </w:p>
    <w:p>
      <w:pPr>
        <w:spacing w:line="560" w:lineRule="exact"/>
        <w:ind w:firstLine="321" w:firstLineChars="100"/>
        <w:jc w:val="both"/>
        <w:rPr>
          <w:rFonts w:hint="eastAsia" w:ascii="Times New Roman" w:hAnsi="Times New Roman" w:cs="Times New Roman"/>
          <w:kern w:val="0"/>
          <w:sz w:val="32"/>
          <w:szCs w:val="32"/>
          <w:lang w:eastAsia="zh-CN" w:bidi="en-US"/>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项目负责人（签章）：</w:t>
      </w:r>
      <w:r>
        <w:rPr>
          <w:rFonts w:hint="eastAsia" w:ascii="Times New Roman" w:hAnsi="Times New Roman" w:cs="Times New Roman"/>
          <w:kern w:val="0"/>
          <w:sz w:val="32"/>
          <w:szCs w:val="32"/>
          <w:lang w:eastAsia="zh-CN" w:bidi="en-US"/>
        </w:rPr>
        <w:t>靳晓磊</w:t>
      </w:r>
    </w:p>
    <w:p>
      <w:pPr>
        <w:spacing w:line="560" w:lineRule="exact"/>
        <w:ind w:firstLine="321" w:firstLineChars="100"/>
        <w:jc w:val="both"/>
        <w:rPr>
          <w:rFonts w:hint="default" w:ascii="Times New Roman" w:hAnsi="Times New Roman" w:eastAsia="宋体" w:cs="Times New Roman"/>
          <w:color w:val="000000"/>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填报时间：</w:t>
      </w:r>
      <w:r>
        <w:rPr>
          <w:rFonts w:hint="default" w:ascii="Times New Roman" w:hAnsi="Times New Roman" w:eastAsia="宋体" w:cs="Times New Roman"/>
          <w:color w:val="000000"/>
          <w:kern w:val="0"/>
          <w:sz w:val="32"/>
          <w:szCs w:val="32"/>
        </w:rPr>
        <w:t>202</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年</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月</w:t>
      </w:r>
      <w:r>
        <w:rPr>
          <w:rFonts w:hint="default" w:ascii="Times New Roman" w:hAnsi="Times New Roman" w:eastAsia="宋体" w:cs="Times New Roman"/>
          <w:color w:val="000000"/>
          <w:kern w:val="0"/>
          <w:sz w:val="32"/>
          <w:szCs w:val="32"/>
          <w:lang w:val="en-US" w:eastAsia="zh-CN"/>
        </w:rPr>
        <w:t>15</w:t>
      </w:r>
      <w:r>
        <w:rPr>
          <w:rFonts w:hint="default" w:ascii="Times New Roman" w:hAnsi="Times New Roman" w:eastAsia="宋体" w:cs="Times New Roman"/>
          <w:color w:val="000000"/>
          <w:kern w:val="0"/>
          <w:sz w:val="32"/>
          <w:szCs w:val="32"/>
        </w:rPr>
        <w:t xml:space="preserve"> 日</w:t>
      </w:r>
    </w:p>
    <w:p>
      <w:pPr>
        <w:widowControl/>
        <w:jc w:val="left"/>
        <w:rPr>
          <w:rFonts w:hint="default" w:ascii="Times New Roman" w:hAnsi="Times New Roman" w:eastAsia="宋体" w:cs="Times New Roman"/>
          <w:b/>
          <w:bCs/>
          <w:sz w:val="36"/>
          <w:szCs w:val="36"/>
        </w:rPr>
      </w:pPr>
      <w:r>
        <w:rPr>
          <w:rFonts w:hint="default" w:ascii="Times New Roman" w:hAnsi="Times New Roman" w:eastAsia="宋体" w:cs="Times New Roman"/>
          <w:b/>
          <w:bCs/>
          <w:sz w:val="36"/>
          <w:szCs w:val="36"/>
        </w:rPr>
        <w:br w:type="page"/>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rPr>
      </w:pPr>
      <w:bookmarkStart w:id="0" w:name="_Toc68703827"/>
      <w:r>
        <w:rPr>
          <w:rFonts w:hint="default" w:ascii="Times New Roman" w:hAnsi="Times New Roman" w:eastAsia="黑体" w:cs="Times New Roman"/>
          <w:bCs/>
          <w:sz w:val="32"/>
          <w:szCs w:val="32"/>
        </w:rPr>
        <w:t>基本情况</w:t>
      </w:r>
      <w:bookmarkEnd w:id="0"/>
      <w:bookmarkStart w:id="1" w:name="_Toc6870382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（一）</w:t>
      </w:r>
      <w:r>
        <w:rPr>
          <w:rFonts w:hint="default" w:ascii="Times New Roman" w:hAnsi="Times New Roman" w:eastAsia="楷体_GB2312" w:cs="Times New Roman"/>
          <w:b/>
          <w:bCs/>
          <w:sz w:val="32"/>
          <w:szCs w:val="32"/>
        </w:rPr>
        <w:t>项目概况</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lang w:eastAsia="zh-CN"/>
        </w:rPr>
      </w:pPr>
      <w:r>
        <w:rPr>
          <w:rFonts w:hint="default" w:ascii="Times New Roman" w:hAnsi="Times New Roman" w:cs="Times New Roman"/>
          <w:b w:val="0"/>
          <w:bCs w:val="0"/>
          <w:sz w:val="32"/>
          <w:szCs w:val="32"/>
          <w:lang w:val="en-US" w:eastAsia="zh-CN"/>
        </w:rPr>
        <w:t>　</w:t>
      </w:r>
      <w:r>
        <w:rPr>
          <w:rFonts w:hint="default" w:ascii="Times New Roman" w:hAnsi="Times New Roman" w:eastAsia="仿宋_GB2312" w:cs="Times New Roman"/>
          <w:b w:val="0"/>
          <w:bCs w:val="0"/>
          <w:sz w:val="32"/>
          <w:szCs w:val="32"/>
          <w:lang w:val="en-US" w:eastAsia="zh-CN"/>
        </w:rPr>
        <w:t>1.项目背景：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　　</w:t>
      </w:r>
      <w:r>
        <w:rPr>
          <w:rFonts w:hint="default" w:ascii="Times New Roman" w:hAnsi="Times New Roman" w:eastAsia="仿宋_GB2312" w:cs="Times New Roman"/>
          <w:b w:val="0"/>
          <w:bCs w:val="0"/>
          <w:sz w:val="32"/>
          <w:szCs w:val="32"/>
          <w:lang w:val="en-US" w:eastAsia="zh-CN"/>
        </w:rPr>
        <w:t>霍尔果斯市苏港中学是一所全额拨款的事业单位，主要职能是正确贯彻执行党和国家的教育方针、政策、法规，办好人民满意的教育，、维护学校的正常教育教学秩序，为学生创造良好的学习环境、加强对学生的思想品德教育，使学生的德智体全面发展、抓好教师队伍建设，使每个教师都热心于教育事业。随着霍尔果斯市教育事业的发展，为贯彻落实《关于印发&lt;新疆维吾尔自治区家庭经济困难学生认定办法(试行)&gt;的通知》(新教规[2019]2号)要求，完善国家资助政策体系，加快普及高中阶段教育，切实解决普通高中家庭经济困难学生的就学问题，现就建立健全普通高中家庭经济困难学生资助政策体系提出如下意见，按照《新疆维吾尔自治区普通高中国家助学金管理办法》（新财教〔2016〕274号）文件要求，霍尔果斯市苏港中学共有1038名学生，有312名学生可享受普通高中国家助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bCs/>
          <w:kern w:val="0"/>
          <w:szCs w:val="28"/>
          <w:lang w:val="en-US" w:eastAsia="zh-CN" w:bidi="en-US"/>
        </w:rPr>
      </w:pPr>
      <w:r>
        <w:rPr>
          <w:rFonts w:hint="default" w:ascii="Times New Roman" w:hAnsi="Times New Roman" w:cs="Times New Roman"/>
          <w:b w:val="0"/>
          <w:bCs w:val="0"/>
          <w:sz w:val="32"/>
          <w:szCs w:val="32"/>
          <w:lang w:eastAsia="zh-CN"/>
        </w:rPr>
        <w:t>　</w:t>
      </w:r>
      <w:r>
        <w:rPr>
          <w:rFonts w:hint="default" w:ascii="Times New Roman" w:hAnsi="Times New Roman" w:eastAsia="仿宋_GB2312" w:cs="Times New Roman"/>
          <w:b w:val="0"/>
          <w:bCs w:val="0"/>
          <w:sz w:val="32"/>
          <w:szCs w:val="32"/>
          <w:lang w:eastAsia="zh-CN"/>
        </w:rPr>
        <w:t>2</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eastAsia="zh-CN"/>
        </w:rPr>
        <w:t>主要内容及实施情况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eastAsia" w:ascii="仿宋_GB2312"/>
          <w:sz w:val="32"/>
          <w:szCs w:val="32"/>
          <w:lang w:eastAsia="zh-CN"/>
        </w:rPr>
        <w:t>　　</w:t>
      </w:r>
      <w:r>
        <w:rPr>
          <w:rFonts w:hint="eastAsia" w:ascii="仿宋_GB2312"/>
          <w:sz w:val="32"/>
          <w:szCs w:val="32"/>
        </w:rPr>
        <w:t>主要内容：</w:t>
      </w:r>
      <w:r>
        <w:rPr>
          <w:rFonts w:hint="default" w:ascii="Times New Roman" w:hAnsi="Times New Roman" w:eastAsia="仿宋_GB2312" w:cs="Times New Roman"/>
          <w:b w:val="0"/>
          <w:bCs w:val="0"/>
          <w:sz w:val="32"/>
          <w:szCs w:val="32"/>
          <w:lang w:val="en-US" w:eastAsia="zh-CN"/>
        </w:rPr>
        <w:t>霍市财预（2023）1号解决202</w:t>
      </w:r>
      <w:r>
        <w:rPr>
          <w:rFonts w:hint="eastAsia"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lang w:val="en-US" w:eastAsia="zh-CN"/>
        </w:rPr>
        <w:t>年霍尔果斯市苏港中学普通高中国家助学金项目安排地方配套资金数为3.74万元，为苏港中学2023年国家助学金提供地方配套资金保障，保证该项目工作正常进行，按照"加大财政投入、经费合理分担、政策导向明确、多元混合资助、各方责任清晰"的基本原则，建立以政府为主导，国家助学金为主体，学校减免学费等为补充，社会力量积极参与的普通高中家庭经济困难学生资助政策体系，从制度上基本解决普通高中家庭经济困难学生的就学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　　</w:t>
      </w:r>
      <w:r>
        <w:rPr>
          <w:rFonts w:hint="default" w:ascii="Times New Roman" w:hAnsi="Times New Roman" w:eastAsia="仿宋_GB2312" w:cs="Times New Roman"/>
          <w:b w:val="0"/>
          <w:bCs w:val="0"/>
          <w:sz w:val="32"/>
          <w:szCs w:val="32"/>
          <w:lang w:val="en-US" w:eastAsia="zh-CN"/>
        </w:rPr>
        <w:t>实施情况：高中国家助学金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sz w:val="32"/>
          <w:szCs w:val="32"/>
          <w:lang w:eastAsia="zh-CN"/>
        </w:rPr>
      </w:pPr>
      <w:r>
        <w:rPr>
          <w:rFonts w:hint="default" w:ascii="Times New Roman" w:hAnsi="Times New Roman" w:cs="Times New Roman"/>
          <w:b w:val="0"/>
          <w:bCs w:val="0"/>
          <w:sz w:val="32"/>
          <w:szCs w:val="32"/>
          <w:lang w:eastAsia="zh-CN"/>
        </w:rPr>
        <w:t>　3</w:t>
      </w:r>
      <w:r>
        <w:rPr>
          <w:rFonts w:hint="default"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Cs w:val="28"/>
          <w:lang w:eastAsia="zh-CN"/>
        </w:rPr>
      </w:pPr>
      <w:bookmarkStart w:id="2" w:name="_Toc68703829"/>
      <w:r>
        <w:rPr>
          <w:rFonts w:hint="eastAsia" w:ascii="Times New Roman" w:hAnsi="Times New Roman" w:eastAsia="仿宋_GB2312" w:cs="Times New Roman"/>
          <w:sz w:val="32"/>
          <w:szCs w:val="32"/>
        </w:rPr>
        <w:t>资金投入情况：该项目年初预算数</w:t>
      </w:r>
      <w:r>
        <w:rPr>
          <w:rFonts w:hint="eastAsia" w:ascii="Times New Roman" w:hAnsi="Times New Roman" w:eastAsia="仿宋_GB2312" w:cs="Times New Roman"/>
          <w:sz w:val="32"/>
          <w:szCs w:val="32"/>
          <w:lang w:val="en-US" w:eastAsia="zh-CN"/>
        </w:rPr>
        <w:t>3.74</w:t>
      </w:r>
      <w:r>
        <w:rPr>
          <w:rFonts w:hint="eastAsia" w:ascii="Times New Roman" w:hAnsi="Times New Roman" w:eastAsia="仿宋_GB2312" w:cs="Times New Roman"/>
          <w:sz w:val="32"/>
          <w:szCs w:val="32"/>
        </w:rPr>
        <w:t>万元，全年预算数</w:t>
      </w:r>
      <w:r>
        <w:rPr>
          <w:rFonts w:hint="eastAsia" w:ascii="Times New Roman" w:hAnsi="Times New Roman" w:eastAsia="仿宋_GB2312" w:cs="Times New Roman"/>
          <w:sz w:val="32"/>
          <w:szCs w:val="32"/>
          <w:lang w:val="en-US" w:eastAsia="zh-CN"/>
        </w:rPr>
        <w:t>3.74</w:t>
      </w:r>
      <w:r>
        <w:rPr>
          <w:rFonts w:hint="eastAsia" w:ascii="Times New Roman" w:hAnsi="Times New Roman" w:eastAsia="仿宋_GB2312" w:cs="Times New Roman"/>
          <w:sz w:val="32"/>
          <w:szCs w:val="32"/>
        </w:rPr>
        <w:t>万元，实际总投入</w:t>
      </w:r>
      <w:r>
        <w:rPr>
          <w:rFonts w:hint="eastAsia" w:ascii="Times New Roman" w:hAnsi="Times New Roman" w:eastAsia="仿宋_GB2312" w:cs="Times New Roman"/>
          <w:sz w:val="32"/>
          <w:szCs w:val="32"/>
          <w:lang w:val="en-US" w:eastAsia="zh-CN"/>
        </w:rPr>
        <w:t>3.74</w:t>
      </w:r>
      <w:r>
        <w:rPr>
          <w:rFonts w:hint="eastAsia" w:ascii="Times New Roman" w:hAnsi="Times New Roman" w:eastAsia="仿宋_GB2312" w:cs="Times New Roman"/>
          <w:sz w:val="32"/>
          <w:szCs w:val="32"/>
        </w:rPr>
        <w:t>万元，该项目资金已全部落实到位，</w:t>
      </w:r>
      <w:r>
        <w:rPr>
          <w:rFonts w:hint="eastAsia" w:cs="Times New Roman"/>
          <w:sz w:val="32"/>
          <w:szCs w:val="32"/>
          <w:lang w:eastAsia="zh-CN"/>
        </w:rPr>
        <w:t>到位率为</w:t>
      </w:r>
      <w:r>
        <w:rPr>
          <w:rFonts w:hint="eastAsia" w:cs="Times New Roman"/>
          <w:sz w:val="32"/>
          <w:szCs w:val="32"/>
          <w:lang w:val="en-US" w:eastAsia="zh-CN"/>
        </w:rPr>
        <w:t>100%，</w:t>
      </w:r>
      <w:r>
        <w:rPr>
          <w:rFonts w:hint="eastAsia" w:ascii="Times New Roman" w:hAnsi="Times New Roman" w:eastAsia="仿宋_GB2312" w:cs="Times New Roman"/>
          <w:sz w:val="32"/>
          <w:szCs w:val="32"/>
        </w:rPr>
        <w:t>资金来源为</w:t>
      </w:r>
      <w:r>
        <w:rPr>
          <w:rFonts w:hint="eastAsia" w:ascii="Times New Roman" w:hAnsi="Times New Roman" w:eastAsia="仿宋_GB2312" w:cs="Times New Roman"/>
          <w:sz w:val="32"/>
          <w:szCs w:val="32"/>
          <w:lang w:eastAsia="zh-CN"/>
        </w:rPr>
        <w:t>本级财政拨款</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cs="Times New Roman"/>
          <w:sz w:val="32"/>
          <w:szCs w:val="32"/>
          <w:lang w:eastAsia="zh-CN"/>
        </w:rPr>
      </w:pPr>
      <w:r>
        <w:rPr>
          <w:rFonts w:hint="eastAsia"/>
          <w:sz w:val="32"/>
          <w:szCs w:val="32"/>
        </w:rPr>
        <w:t>资金使用情况：</w:t>
      </w:r>
      <w:r>
        <w:rPr>
          <w:rFonts w:hint="eastAsia"/>
          <w:color w:val="auto"/>
          <w:sz w:val="32"/>
          <w:szCs w:val="32"/>
        </w:rPr>
        <w:t>该项目</w:t>
      </w:r>
      <w:r>
        <w:rPr>
          <w:rFonts w:hint="eastAsia" w:cs="Times New Roman"/>
          <w:sz w:val="32"/>
          <w:szCs w:val="32"/>
          <w:lang w:eastAsia="zh-CN"/>
        </w:rPr>
        <w:t>年初预算数</w:t>
      </w:r>
      <w:r>
        <w:rPr>
          <w:rFonts w:hint="eastAsia" w:cs="Times New Roman"/>
          <w:sz w:val="32"/>
          <w:szCs w:val="32"/>
          <w:lang w:val="en-US" w:eastAsia="zh-CN"/>
        </w:rPr>
        <w:t>3.74</w:t>
      </w:r>
      <w:r>
        <w:rPr>
          <w:rFonts w:hint="eastAsia" w:cs="Times New Roman"/>
          <w:sz w:val="32"/>
          <w:szCs w:val="32"/>
          <w:lang w:eastAsia="zh-CN"/>
        </w:rPr>
        <w:t>万元，全年预算数</w:t>
      </w:r>
      <w:r>
        <w:rPr>
          <w:rFonts w:hint="eastAsia" w:cs="Times New Roman"/>
          <w:sz w:val="32"/>
          <w:szCs w:val="32"/>
          <w:lang w:val="en-US" w:eastAsia="zh-CN"/>
        </w:rPr>
        <w:t>3.74</w:t>
      </w:r>
      <w:r>
        <w:rPr>
          <w:rFonts w:hint="eastAsia" w:cs="Times New Roman"/>
          <w:sz w:val="32"/>
          <w:szCs w:val="32"/>
          <w:lang w:eastAsia="zh-CN"/>
        </w:rPr>
        <w:t>万元，全年执行数</w:t>
      </w:r>
      <w:r>
        <w:rPr>
          <w:rFonts w:hint="eastAsia" w:cs="Times New Roman"/>
          <w:sz w:val="32"/>
          <w:szCs w:val="32"/>
          <w:lang w:val="en-US" w:eastAsia="zh-CN"/>
        </w:rPr>
        <w:t>3.74</w:t>
      </w:r>
      <w:r>
        <w:rPr>
          <w:rFonts w:hint="eastAsia" w:cs="Times New Roman"/>
          <w:sz w:val="32"/>
          <w:szCs w:val="32"/>
          <w:lang w:eastAsia="zh-CN"/>
        </w:rPr>
        <w:t>万元，预算执行率为</w:t>
      </w:r>
      <w:r>
        <w:rPr>
          <w:rFonts w:hint="eastAsia" w:cs="Times New Roman"/>
          <w:sz w:val="32"/>
          <w:szCs w:val="32"/>
          <w:lang w:val="en-US" w:eastAsia="zh-CN"/>
        </w:rPr>
        <w:t>100</w:t>
      </w:r>
      <w:r>
        <w:rPr>
          <w:rFonts w:hint="eastAsia" w:cs="Times New Roman"/>
          <w:sz w:val="32"/>
          <w:szCs w:val="32"/>
          <w:lang w:eastAsia="zh-CN"/>
        </w:rPr>
        <w:t>%，主要用于：</w:t>
      </w:r>
      <w:r>
        <w:rPr>
          <w:rFonts w:hint="default" w:cs="Times New Roman"/>
          <w:sz w:val="32"/>
          <w:szCs w:val="32"/>
          <w:lang w:eastAsia="zh-CN"/>
        </w:rPr>
        <w:t>该项目资金全部用于20</w:t>
      </w:r>
      <w:r>
        <w:rPr>
          <w:rFonts w:hint="default" w:cs="Times New Roman"/>
          <w:sz w:val="32"/>
          <w:szCs w:val="32"/>
          <w:lang w:val="en-US" w:eastAsia="zh-CN"/>
        </w:rPr>
        <w:t>23年霍尔果斯市苏港中学普通高中国家助学金发放</w:t>
      </w:r>
      <w:r>
        <w:rPr>
          <w:rFonts w:hint="default" w:cs="Times New Roman"/>
          <w:sz w:val="32"/>
          <w:szCs w:val="32"/>
          <w:lang w:eastAsia="zh-CN"/>
        </w:rPr>
        <w:t>；项目已全部完成，资金拨付到位。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（二）项目绩效目标</w:t>
      </w:r>
      <w:bookmarkEnd w:id="2"/>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left="0" w:firstLine="640"/>
        <w:jc w:val="left"/>
        <w:textAlignment w:val="auto"/>
        <w:rPr>
          <w:rFonts w:hint="default" w:ascii="Times New Roman" w:hAnsi="Times New Roman" w:cs="Times New Roman"/>
          <w:sz w:val="32"/>
          <w:szCs w:val="32"/>
          <w:lang w:val="en-US" w:eastAsia="zh-CN"/>
        </w:rPr>
      </w:pPr>
      <w:bookmarkStart w:id="3" w:name="_Toc68703830"/>
      <w:r>
        <w:rPr>
          <w:rFonts w:hint="default" w:ascii="Times New Roman" w:hAnsi="Times New Roman" w:eastAsia="仿宋_GB2312" w:cs="Times New Roman"/>
          <w:b w:val="0"/>
          <w:bCs w:val="0"/>
          <w:sz w:val="32"/>
          <w:szCs w:val="32"/>
          <w:lang w:val="en-US" w:eastAsia="zh-CN"/>
        </w:rPr>
        <w:t>1.总体目标：1</w:t>
      </w:r>
      <w:r>
        <w:rPr>
          <w:rFonts w:hint="default" w:ascii="Times New Roman" w:hAnsi="Times New Roman" w:cs="Times New Roman"/>
          <w:sz w:val="32"/>
          <w:szCs w:val="32"/>
          <w:lang w:val="en-US" w:eastAsia="zh-CN"/>
        </w:rPr>
        <w:t>、国家助学金按照2000元/生/年，具体标准结合实际在1000-3000元范围内分为3档发放； 2、发放人数大于等于18人</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3、发放资金3.74万元，计划于2023年12月31日发放完成</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4、助学金的发放可以显著提高贫困学生就学率，完善苏港高中学生资助体系，提升学生和家长的满意度。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w:hAnsi="Times New Roman" w:cs="Times New Roman"/>
          <w:color w:val="FF0000"/>
          <w:sz w:val="32"/>
          <w:szCs w:val="32"/>
        </w:rPr>
      </w:pPr>
      <w:r>
        <w:rPr>
          <w:rFonts w:hint="eastAsia" w:ascii="Times New Roman" w:hAnsi="Times New Roman" w:eastAsia="仿宋_GB2312" w:cs="Times New Roman"/>
          <w:b w:val="0"/>
          <w:bCs w:val="0"/>
          <w:sz w:val="32"/>
          <w:szCs w:val="32"/>
          <w:lang w:val="en-US" w:eastAsia="zh-CN"/>
        </w:rPr>
        <w:t>2.阶段性目标：</w:t>
      </w:r>
      <w:r>
        <w:rPr>
          <w:rFonts w:hint="eastAsia" w:cs="Times New Roman"/>
          <w:b w:val="0"/>
          <w:bCs w:val="0"/>
          <w:sz w:val="32"/>
          <w:szCs w:val="32"/>
          <w:lang w:val="en-US" w:eastAsia="zh-CN"/>
        </w:rPr>
        <w:t>2023年分2次发放，分别于2023年春季学期、2023年秋季学期发放助学金。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二、绩效评价工作开展情况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lang w:eastAsia="zh-CN"/>
        </w:rPr>
      </w:pPr>
      <w:bookmarkStart w:id="4" w:name="_Toc68703831"/>
      <w:r>
        <w:rPr>
          <w:rFonts w:hint="default"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cs="Times New Roman"/>
          <w:b/>
          <w:bCs/>
          <w:sz w:val="30"/>
          <w:szCs w:val="30"/>
          <w:lang w:val="en-US" w:eastAsia="zh-CN"/>
        </w:rPr>
        <w:t>　</w:t>
      </w:r>
      <w:r>
        <w:rPr>
          <w:rFonts w:hint="default" w:ascii="Times New Roman" w:hAnsi="Times New Roman" w:eastAsia="仿宋_GB2312" w:cs="Times New Roman"/>
          <w:b w:val="0"/>
          <w:bCs w:val="0"/>
          <w:sz w:val="32"/>
          <w:szCs w:val="32"/>
          <w:lang w:val="en-US" w:eastAsia="zh-CN"/>
        </w:rPr>
        <w:t>2.绩效评价对象：</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Times New Roman" w:hAnsi="Times New Roman" w:cs="Times New Roman"/>
          <w:highlight w:val="none"/>
        </w:rPr>
      </w:pPr>
      <w:bookmarkStart w:id="5" w:name="_Toc68703832"/>
      <w:r>
        <w:rPr>
          <w:rFonts w:hint="default" w:ascii="Times New Roman" w:hAnsi="Times New Roman" w:cs="Times New Roman"/>
          <w:kern w:val="0"/>
          <w:sz w:val="32"/>
          <w:szCs w:val="32"/>
          <w:highlight w:val="none"/>
          <w:lang w:bidi="en-US"/>
        </w:rPr>
        <w:t>（1）绩效评价的对象：普通高中国家助学金</w:t>
      </w:r>
      <w:r>
        <w:rPr>
          <w:rFonts w:hint="eastAsia" w:ascii="仿宋_GB2312" w:hAnsi="仿宋_GB2312" w:eastAsia="仿宋_GB2312" w:cs="仿宋_GB2312"/>
          <w:sz w:val="32"/>
          <w:szCs w:val="32"/>
        </w:rPr>
        <w:t>项目所包含的全部项目内容。</w:t>
      </w:r>
      <w:r>
        <w:rPr>
          <w:rFonts w:hint="default" w:ascii="Times New Roman" w:hAnsi="Times New Roman" w:cs="Times New Roman"/>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Times New Roman" w:hAnsi="Times New Roman" w:cs="Times New Roman"/>
          <w:kern w:val="0"/>
          <w:sz w:val="32"/>
          <w:szCs w:val="32"/>
          <w:highlight w:val="none"/>
          <w:lang w:bidi="en-US"/>
        </w:rPr>
      </w:pPr>
      <w:r>
        <w:rPr>
          <w:rFonts w:hint="default" w:ascii="Times New Roman" w:hAnsi="Times New Roman" w:cs="Times New Roman"/>
          <w:kern w:val="0"/>
          <w:sz w:val="32"/>
          <w:szCs w:val="32"/>
          <w:highlight w:val="none"/>
          <w:lang w:bidi="en-US"/>
        </w:rPr>
        <w:t>（2）绩效评价范围：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eastAsia="zh-CN"/>
        </w:rPr>
        <w:t>国家助学金项目</w:t>
      </w:r>
      <w:r>
        <w:rPr>
          <w:rFonts w:hint="eastAsia"/>
          <w:color w:val="auto"/>
          <w:sz w:val="32"/>
          <w:szCs w:val="32"/>
        </w:rPr>
        <w:t>评价，评价核心为资金的支出完成情况和效果。</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（二）绩效评价原则、评价指标体系</w:t>
      </w:r>
      <w:r>
        <w:rPr>
          <w:rFonts w:hint="default" w:ascii="Times New Roman" w:hAnsi="Times New Roman" w:eastAsia="楷体_GB2312" w:cs="Times New Roman"/>
          <w:b/>
          <w:bCs/>
          <w:sz w:val="32"/>
          <w:szCs w:val="32"/>
        </w:rPr>
        <w:t>（详情见表1）</w:t>
      </w:r>
      <w:r>
        <w:rPr>
          <w:rFonts w:hint="default" w:ascii="Times New Roman" w:hAnsi="Times New Roman" w:eastAsia="楷体_GB2312" w:cs="Times New Roman"/>
          <w:b/>
          <w:bCs/>
          <w:kern w:val="2"/>
          <w:sz w:val="32"/>
          <w:szCs w:val="32"/>
          <w:lang w:val="en-US" w:eastAsia="zh-CN" w:bidi="ar-SA"/>
        </w:rPr>
        <w:t>、评价方法、评价标准</w:t>
      </w:r>
      <w:bookmarkEnd w:id="5"/>
    </w:p>
    <w:p>
      <w:pPr>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bCs/>
        </w:rPr>
      </w:pPr>
      <w:r>
        <w:rPr>
          <w:rFonts w:hint="default" w:ascii="Times New Roman" w:hAnsi="Times New Roman" w:cs="Times New Roman"/>
          <w:b/>
          <w:bCs/>
        </w:rPr>
        <w:t>1.评价原则</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5"/>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4.评价标准</w:t>
      </w:r>
    </w:p>
    <w:p>
      <w:pPr>
        <w:spacing w:line="560" w:lineRule="exact"/>
        <w:ind w:firstLine="708" w:firstLineChars="200"/>
        <w:rPr>
          <w:rFonts w:hint="eastAsia" w:eastAsia="仿宋_GB2312"/>
          <w:color w:val="000000" w:themeColor="text1"/>
          <w:spacing w:val="17"/>
          <w:sz w:val="32"/>
          <w:szCs w:val="32"/>
          <w14:textFill>
            <w14:solidFill>
              <w14:schemeClr w14:val="tx1"/>
            </w14:solidFill>
          </w14:textFill>
        </w:rPr>
      </w:pPr>
      <w:r>
        <w:rPr>
          <w:rFonts w:hint="eastAsia" w:eastAsia="仿宋_GB2312"/>
          <w:color w:val="000000" w:themeColor="text1"/>
          <w:spacing w:val="17"/>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eastAsia="仿宋_GB2312"/>
          <w:color w:val="000000" w:themeColor="text1"/>
          <w:spacing w:val="17"/>
          <w:sz w:val="32"/>
          <w:szCs w:val="32"/>
          <w:lang w:eastAsia="zh-CN"/>
          <w14:textFill>
            <w14:solidFill>
              <w14:schemeClr w14:val="tx1"/>
            </w14:solidFill>
          </w14:textFill>
        </w:rPr>
        <w:t>历史</w:t>
      </w:r>
      <w:r>
        <w:rPr>
          <w:rFonts w:hint="eastAsia" w:eastAsia="仿宋_GB2312"/>
          <w:color w:val="000000" w:themeColor="text1"/>
          <w:spacing w:val="17"/>
          <w:sz w:val="32"/>
          <w:szCs w:val="32"/>
          <w14:textFill>
            <w14:solidFill>
              <w14:schemeClr w14:val="tx1"/>
            </w14:solidFill>
          </w14:textFill>
        </w:rPr>
        <w:t>标准。</w:t>
      </w:r>
    </w:p>
    <w:p>
      <w:pPr>
        <w:spacing w:line="560" w:lineRule="exact"/>
        <w:ind w:firstLine="708" w:firstLineChars="200"/>
        <w:rPr>
          <w:rFonts w:hint="default" w:eastAsia="仿宋_GB2312"/>
          <w:color w:val="000000" w:themeColor="text1"/>
          <w:spacing w:val="17"/>
          <w:sz w:val="32"/>
          <w:szCs w:val="32"/>
          <w14:textFill>
            <w14:solidFill>
              <w14:schemeClr w14:val="tx1"/>
            </w14:solidFill>
          </w14:textFill>
        </w:rPr>
      </w:pPr>
      <w:r>
        <w:rPr>
          <w:rFonts w:hint="default" w:eastAsia="仿宋_GB2312"/>
          <w:color w:val="000000" w:themeColor="text1"/>
          <w:spacing w:val="17"/>
          <w:sz w:val="32"/>
          <w:szCs w:val="32"/>
          <w14:textFill>
            <w14:solidFill>
              <w14:schemeClr w14:val="tx1"/>
            </w14:solidFill>
          </w14:textFill>
        </w:rPr>
        <w:t>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560" w:lineRule="exact"/>
        <w:ind w:firstLine="562"/>
        <w:textAlignment w:val="auto"/>
        <w:outlineLvl w:val="1"/>
        <w:rPr>
          <w:rFonts w:hint="default" w:ascii="Times New Roman" w:hAnsi="Times New Roman" w:cs="Times New Roman"/>
          <w:b/>
          <w:bCs/>
        </w:rPr>
      </w:pPr>
      <w:bookmarkStart w:id="6" w:name="_Toc67911607"/>
      <w:bookmarkStart w:id="7" w:name="_Toc12695"/>
      <w:r>
        <w:rPr>
          <w:rFonts w:hint="default" w:ascii="Times New Roman" w:hAnsi="Times New Roman" w:cs="Times New Roman"/>
          <w:b/>
          <w:bCs/>
        </w:rPr>
        <w:t>（</w:t>
      </w:r>
      <w:r>
        <w:rPr>
          <w:rFonts w:hint="default" w:ascii="Times New Roman" w:hAnsi="Times New Roman" w:eastAsia="楷体_GB2312" w:cs="Times New Roman"/>
          <w:b/>
          <w:bCs/>
          <w:kern w:val="2"/>
          <w:sz w:val="32"/>
          <w:szCs w:val="32"/>
          <w:lang w:val="en-US" w:eastAsia="zh-CN" w:bidi="ar-SA"/>
        </w:rPr>
        <w:t>三）绩效评价工作过程</w:t>
      </w:r>
      <w:bookmarkEnd w:id="6"/>
      <w:bookmarkEnd w:id="7"/>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bookmarkStart w:id="8" w:name="_Toc67911608"/>
      <w:bookmarkStart w:id="9" w:name="_Toc28860"/>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10"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10"/>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1" w:name="_Toc68703835"/>
      <w:r>
        <w:rPr>
          <w:rFonts w:hint="eastAsia" w:ascii="Times New Roman" w:hAnsi="Times New Roman" w:eastAsia="楷体_GB2312" w:cs="Times New Roman"/>
          <w:b/>
          <w:bCs/>
          <w:kern w:val="2"/>
          <w:sz w:val="32"/>
          <w:szCs w:val="32"/>
          <w:lang w:val="en-US" w:eastAsia="zh-CN" w:bidi="ar-SA"/>
        </w:rPr>
        <w:t>（一）综合评价情况</w:t>
      </w:r>
      <w:bookmarkEnd w:id="11"/>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2" w:name="_Toc68703836"/>
      <w:r>
        <w:rPr>
          <w:rFonts w:hint="eastAsia" w:ascii="Times New Roman" w:hAnsi="Times New Roman" w:eastAsia="楷体_GB2312" w:cs="Times New Roman"/>
          <w:b/>
          <w:bCs/>
          <w:kern w:val="2"/>
          <w:sz w:val="32"/>
          <w:szCs w:val="32"/>
          <w:lang w:val="en-US" w:eastAsia="zh-CN" w:bidi="ar-SA"/>
        </w:rPr>
        <w:t>（二）评价结论</w:t>
      </w:r>
      <w:bookmarkEnd w:id="12"/>
    </w:p>
    <w:p>
      <w:pPr>
        <w:pStyle w:val="10"/>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shd w:val="clear"/>
        </w:rPr>
        <w:t xml:space="preserve">总得分为 </w:t>
      </w:r>
      <w:r>
        <w:rPr>
          <w:rFonts w:hint="eastAsia" w:ascii="Times New Roman" w:hAnsi="Times New Roman" w:eastAsia="仿宋_GB2312"/>
          <w:b w:val="0"/>
          <w:bCs w:val="0"/>
          <w:highlight w:val="none"/>
          <w:shd w:val="clear"/>
          <w:lang w:val="en-US" w:eastAsia="zh-CN"/>
        </w:rPr>
        <w:t>100</w:t>
      </w:r>
      <w:r>
        <w:rPr>
          <w:rFonts w:hint="eastAsia" w:ascii="Times New Roman" w:hAnsi="Times New Roman" w:eastAsia="仿宋_GB2312"/>
          <w:b w:val="0"/>
          <w:bCs w:val="0"/>
          <w:highlight w:val="none"/>
          <w:shd w:val="clear"/>
        </w:rPr>
        <w:t xml:space="preserve">分，属于“优”。其中，项目决策类指标权重为20分，得分为 </w:t>
      </w:r>
      <w:r>
        <w:rPr>
          <w:rFonts w:hint="eastAsia" w:ascii="Times New Roman" w:hAnsi="Times New Roman" w:eastAsia="仿宋_GB2312"/>
          <w:b w:val="0"/>
          <w:bCs w:val="0"/>
          <w:highlight w:val="none"/>
          <w:shd w:val="clear"/>
          <w:lang w:val="en-US" w:eastAsia="zh-CN"/>
        </w:rPr>
        <w:t>20</w:t>
      </w:r>
      <w:r>
        <w:rPr>
          <w:rFonts w:hint="eastAsia" w:ascii="Times New Roman" w:hAnsi="Times New Roman" w:eastAsia="仿宋_GB2312"/>
          <w:b w:val="0"/>
          <w:bCs w:val="0"/>
          <w:highlight w:val="none"/>
          <w:shd w:val="clear"/>
        </w:rPr>
        <w:t xml:space="preserve">分，得分率为 </w:t>
      </w:r>
      <w:r>
        <w:rPr>
          <w:rFonts w:hint="eastAsia" w:ascii="Times New Roman" w:hAnsi="Times New Roman" w:eastAsia="仿宋_GB2312"/>
          <w:b w:val="0"/>
          <w:bCs w:val="0"/>
          <w:highlight w:val="none"/>
          <w:shd w:val="clear"/>
          <w:lang w:val="en-US" w:eastAsia="zh-CN"/>
        </w:rPr>
        <w:t>100</w:t>
      </w:r>
      <w:r>
        <w:rPr>
          <w:rFonts w:hint="eastAsia" w:ascii="Times New Roman" w:hAnsi="Times New Roman" w:eastAsia="仿宋_GB2312"/>
          <w:b w:val="0"/>
          <w:bCs w:val="0"/>
          <w:highlight w:val="none"/>
          <w:shd w:val="clear"/>
        </w:rPr>
        <w:t>%。项目过程类指标权重为20分，得分为</w:t>
      </w:r>
      <w:r>
        <w:rPr>
          <w:rFonts w:hint="eastAsia" w:ascii="Times New Roman" w:hAnsi="Times New Roman" w:eastAsia="仿宋_GB2312"/>
          <w:b w:val="0"/>
          <w:bCs w:val="0"/>
          <w:highlight w:val="none"/>
          <w:shd w:val="clear"/>
          <w:lang w:val="en-US" w:eastAsia="zh-CN"/>
        </w:rPr>
        <w:t>20</w:t>
      </w:r>
      <w:r>
        <w:rPr>
          <w:rFonts w:hint="eastAsia" w:ascii="Times New Roman" w:hAnsi="Times New Roman" w:eastAsia="仿宋_GB2312"/>
          <w:b w:val="0"/>
          <w:bCs w:val="0"/>
          <w:highlight w:val="none"/>
          <w:shd w:val="clear"/>
        </w:rPr>
        <w:t>分，得分率为</w:t>
      </w:r>
      <w:r>
        <w:rPr>
          <w:rFonts w:hint="eastAsia" w:ascii="Times New Roman" w:hAnsi="Times New Roman" w:eastAsia="仿宋_GB2312"/>
          <w:b w:val="0"/>
          <w:bCs w:val="0"/>
          <w:highlight w:val="none"/>
          <w:shd w:val="clear"/>
          <w:lang w:val="en-US" w:eastAsia="zh-CN"/>
        </w:rPr>
        <w:t>100</w:t>
      </w:r>
      <w:r>
        <w:rPr>
          <w:rFonts w:hint="eastAsia" w:ascii="Times New Roman" w:hAnsi="Times New Roman" w:eastAsia="仿宋_GB2312"/>
          <w:b w:val="0"/>
          <w:bCs w:val="0"/>
          <w:highlight w:val="none"/>
          <w:shd w:val="clear"/>
        </w:rPr>
        <w:t>%。项目产出类指标权重为40分，得分为</w:t>
      </w:r>
      <w:r>
        <w:rPr>
          <w:rFonts w:hint="eastAsia" w:ascii="Times New Roman" w:hAnsi="Times New Roman" w:eastAsia="仿宋_GB2312"/>
          <w:b w:val="0"/>
          <w:bCs w:val="0"/>
          <w:highlight w:val="none"/>
          <w:shd w:val="clear"/>
          <w:lang w:val="en-US" w:eastAsia="zh-CN"/>
        </w:rPr>
        <w:t>40</w:t>
      </w:r>
      <w:r>
        <w:rPr>
          <w:rFonts w:hint="eastAsia" w:ascii="Times New Roman" w:hAnsi="Times New Roman" w:eastAsia="仿宋_GB2312"/>
          <w:b w:val="0"/>
          <w:bCs w:val="0"/>
          <w:highlight w:val="none"/>
          <w:shd w:val="clear"/>
        </w:rPr>
        <w:t xml:space="preserve">分，得分率为 </w:t>
      </w:r>
      <w:r>
        <w:rPr>
          <w:rFonts w:hint="eastAsia" w:ascii="Times New Roman" w:hAnsi="Times New Roman" w:eastAsia="仿宋_GB2312"/>
          <w:b w:val="0"/>
          <w:bCs w:val="0"/>
          <w:highlight w:val="none"/>
          <w:shd w:val="clear"/>
          <w:lang w:val="en-US" w:eastAsia="zh-CN"/>
        </w:rPr>
        <w:t>100</w:t>
      </w:r>
      <w:r>
        <w:rPr>
          <w:rFonts w:hint="eastAsia" w:ascii="Times New Roman" w:hAnsi="Times New Roman" w:eastAsia="仿宋_GB2312"/>
          <w:b w:val="0"/>
          <w:bCs w:val="0"/>
          <w:highlight w:val="none"/>
          <w:shd w:val="clear"/>
        </w:rPr>
        <w:t>%。项目效益类指标权重为20分，得分为</w:t>
      </w:r>
      <w:r>
        <w:rPr>
          <w:rFonts w:hint="eastAsia" w:ascii="Times New Roman" w:hAnsi="Times New Roman" w:eastAsia="仿宋_GB2312"/>
          <w:b w:val="0"/>
          <w:bCs w:val="0"/>
          <w:highlight w:val="none"/>
          <w:shd w:val="clear"/>
          <w:lang w:val="en-US" w:eastAsia="zh-CN"/>
        </w:rPr>
        <w:t>20</w:t>
      </w:r>
      <w:r>
        <w:rPr>
          <w:rFonts w:hint="eastAsia" w:ascii="Times New Roman" w:hAnsi="Times New Roman" w:eastAsia="仿宋_GB2312"/>
          <w:b w:val="0"/>
          <w:bCs w:val="0"/>
          <w:highlight w:val="none"/>
          <w:shd w:val="clear"/>
        </w:rPr>
        <w:t>分，得分率为</w:t>
      </w:r>
      <w:r>
        <w:rPr>
          <w:rFonts w:hint="eastAsia" w:ascii="Times New Roman" w:hAnsi="Times New Roman" w:eastAsia="仿宋_GB2312"/>
          <w:b w:val="0"/>
          <w:bCs w:val="0"/>
          <w:highlight w:val="none"/>
          <w:shd w:val="clear"/>
          <w:lang w:val="en-US" w:eastAsia="zh-CN"/>
        </w:rPr>
        <w:t>100</w:t>
      </w:r>
      <w:r>
        <w:rPr>
          <w:rFonts w:hint="eastAsia" w:ascii="Times New Roman" w:hAnsi="Times New Roman" w:eastAsia="仿宋_GB2312"/>
          <w:b w:val="0"/>
          <w:bCs w:val="0"/>
          <w:highlight w:val="none"/>
          <w:shd w:val="clear"/>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bookmarkEnd w:id="8"/>
      <w:bookmarkEnd w:id="9"/>
    </w:tbl>
    <w:p>
      <w:pPr>
        <w:keepNext w:val="0"/>
        <w:keepLines w:val="0"/>
        <w:pageBreakBefore w:val="0"/>
        <w:widowControl w:val="0"/>
        <w:kinsoku/>
        <w:wordWrap/>
        <w:overflowPunct/>
        <w:topLinePunct w:val="0"/>
        <w:autoSpaceDN/>
        <w:bidi w:val="0"/>
        <w:adjustRightInd/>
        <w:snapToGrid/>
        <w:spacing w:line="560" w:lineRule="exact"/>
        <w:ind w:firstLine="0" w:firstLineChars="0"/>
        <w:textAlignment w:val="auto"/>
        <w:outlineLvl w:val="0"/>
        <w:rPr>
          <w:rFonts w:hint="default" w:ascii="Times New Roman" w:hAnsi="Times New Roman" w:cs="Times New Roman"/>
          <w:b/>
          <w:bCs/>
          <w:sz w:val="32"/>
          <w:szCs w:val="32"/>
        </w:rPr>
      </w:pPr>
      <w:bookmarkStart w:id="13" w:name="_Toc20059"/>
      <w:bookmarkStart w:id="14" w:name="_Toc67911611"/>
      <w:r>
        <w:rPr>
          <w:rFonts w:hint="default" w:ascii="Times New Roman" w:hAnsi="Times New Roman" w:cs="Times New Roman"/>
          <w:b/>
          <w:bCs/>
          <w:sz w:val="32"/>
          <w:szCs w:val="32"/>
        </w:rPr>
        <w:t>四、绩效评价指标分析</w:t>
      </w:r>
      <w:bookmarkEnd w:id="13"/>
      <w:bookmarkEnd w:id="14"/>
    </w:p>
    <w:p>
      <w:pPr>
        <w:spacing w:line="560" w:lineRule="exact"/>
        <w:rPr>
          <w:rFonts w:hint="eastAsia" w:ascii="Times New Roman" w:hAnsi="Times New Roman" w:eastAsia="楷体_GB2312" w:cs="Times New Roman"/>
          <w:b/>
          <w:bCs/>
          <w:kern w:val="2"/>
          <w:sz w:val="32"/>
          <w:szCs w:val="32"/>
          <w:lang w:val="en-US" w:eastAsia="zh-CN" w:bidi="ar-SA"/>
        </w:rPr>
      </w:pPr>
      <w:bookmarkStart w:id="15" w:name="_Toc68703838"/>
      <w:bookmarkStart w:id="16" w:name="_Toc32407"/>
      <w:bookmarkStart w:id="17" w:name="_Toc67911616"/>
      <w:r>
        <w:rPr>
          <w:rFonts w:hint="eastAsia" w:ascii="Times New Roman" w:hAnsi="Times New Roman" w:eastAsia="楷体_GB2312" w:cs="Times New Roman"/>
          <w:b/>
          <w:bCs/>
          <w:kern w:val="2"/>
          <w:sz w:val="32"/>
          <w:szCs w:val="32"/>
          <w:lang w:val="en-US" w:eastAsia="zh-CN" w:bidi="ar-SA"/>
        </w:rPr>
        <w:t>（一）项目决策情况</w:t>
      </w:r>
      <w:bookmarkEnd w:id="15"/>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w:t>
      </w:r>
      <w:r>
        <w:rPr>
          <w:rFonts w:hint="eastAsia"/>
          <w:b w:val="0"/>
          <w:bCs w:val="0"/>
          <w:color w:val="auto"/>
          <w:sz w:val="32"/>
          <w:szCs w:val="32"/>
          <w:lang w:val="en-US" w:eastAsia="zh-CN"/>
        </w:rPr>
        <w:t>20分，得分率为100</w:t>
      </w:r>
      <w:r>
        <w:rPr>
          <w:rFonts w:hint="eastAsia"/>
          <w:b w:val="0"/>
          <w:bCs w:val="0"/>
          <w:sz w:val="32"/>
          <w:szCs w:val="32"/>
          <w:lang w:val="en-US" w:eastAsia="zh-CN"/>
        </w:rPr>
        <w:t>%。</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8"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8"/>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0"/>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w:t>
      </w:r>
      <w:r>
        <w:rPr>
          <w:rFonts w:hint="default" w:ascii="Times New Roman" w:hAnsi="Times New Roman" w:eastAsia="仿宋_GB2312" w:cs="Times New Roman"/>
          <w:sz w:val="32"/>
          <w:szCs w:val="32"/>
          <w:highlight w:val="none"/>
          <w:lang w:val="en-US" w:eastAsia="zh-CN"/>
        </w:rPr>
        <w:t>资</w:t>
      </w:r>
      <w:r>
        <w:rPr>
          <w:rFonts w:hint="default" w:ascii="Times New Roman" w:hAnsi="Times New Roman" w:cs="Times New Roman"/>
          <w:sz w:val="32"/>
          <w:szCs w:val="32"/>
          <w:highlight w:val="none"/>
          <w:lang w:val="en-US" w:eastAsia="zh-CN"/>
        </w:rPr>
        <w:t>3.74</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w:t>
      </w:r>
      <w:r>
        <w:rPr>
          <w:rFonts w:hint="eastAsia" w:ascii="仿宋_GB2312" w:hAnsi="仿宋_GB2312" w:eastAsia="仿宋_GB2312" w:cs="仿宋_GB2312"/>
          <w:sz w:val="32"/>
          <w:szCs w:val="32"/>
          <w:lang w:val="en-US" w:eastAsia="zh-CN"/>
        </w:rPr>
        <w:t>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w:t>
      </w:r>
      <w:r>
        <w:rPr>
          <w:rFonts w:hint="default" w:ascii="Times New Roman" w:hAnsi="Times New Roman" w:eastAsia="仿宋_GB2312" w:cs="Times New Roman"/>
          <w:sz w:val="32"/>
          <w:szCs w:val="32"/>
          <w:highlight w:val="none"/>
          <w:lang w:val="en-US" w:eastAsia="zh-CN"/>
        </w:rPr>
        <w:t>资金支出</w:t>
      </w:r>
      <w:r>
        <w:rPr>
          <w:rFonts w:hint="default" w:ascii="Times New Roman" w:hAnsi="Times New Roman" w:cs="Times New Roman"/>
          <w:sz w:val="32"/>
          <w:szCs w:val="32"/>
          <w:highlight w:val="none"/>
          <w:lang w:val="en-US" w:eastAsia="zh-CN"/>
        </w:rPr>
        <w:t>3.74</w:t>
      </w:r>
      <w:r>
        <w:rPr>
          <w:rFonts w:hint="default" w:ascii="Times New Roman" w:hAnsi="Times New Roman" w:eastAsia="仿宋_GB2312" w:cs="Times New Roman"/>
          <w:sz w:val="32"/>
          <w:szCs w:val="32"/>
          <w:highlight w:val="none"/>
          <w:lang w:val="en-US" w:eastAsia="zh-CN"/>
        </w:rPr>
        <w:t>万元，预算执行率为</w:t>
      </w:r>
      <w:r>
        <w:rPr>
          <w:rFonts w:hint="default" w:ascii="Times New Roman" w:hAnsi="Times New Roman"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5"/>
        <w:numPr>
          <w:numId w:val="0"/>
        </w:numPr>
        <w:rPr>
          <w:rFonts w:hint="eastAsia" w:ascii="Times New Roman" w:hAnsi="Times New Roman" w:eastAsia="楷体_GB2312" w:cs="Times New Roman"/>
          <w:b/>
          <w:bCs/>
          <w:kern w:val="2"/>
          <w:sz w:val="32"/>
          <w:szCs w:val="32"/>
          <w:lang w:val="en-US" w:eastAsia="zh-CN" w:bidi="ar-SA"/>
        </w:rPr>
      </w:pPr>
      <w:bookmarkStart w:id="19" w:name="_Toc68703840"/>
      <w:r>
        <w:rPr>
          <w:rFonts w:hint="eastAsia" w:ascii="Times New Roman" w:hAnsi="Times New Roman" w:eastAsia="楷体_GB2312" w:cs="Times New Roman"/>
          <w:b/>
          <w:bCs/>
          <w:kern w:val="2"/>
          <w:sz w:val="32"/>
          <w:szCs w:val="32"/>
          <w:lang w:val="en-US" w:eastAsia="zh-CN" w:bidi="ar-SA"/>
        </w:rPr>
        <w:t>（三）项目产出情况</w:t>
      </w:r>
      <w:bookmarkEnd w:id="19"/>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指标1：享受国家助学金学生人数，指标值</w:t>
      </w:r>
      <w:r>
        <w:rPr>
          <w:rFonts w:hint="eastAsia"/>
          <w:color w:val="auto"/>
          <w:sz w:val="32"/>
          <w:szCs w:val="32"/>
          <w:lang w:eastAsia="zh-CN"/>
        </w:rPr>
        <w:t>：</w:t>
      </w:r>
      <w:r>
        <w:rPr>
          <w:rFonts w:hint="eastAsia"/>
          <w:color w:val="auto"/>
          <w:sz w:val="32"/>
          <w:szCs w:val="32"/>
          <w:lang w:val="en-US" w:eastAsia="zh-CN"/>
        </w:rPr>
        <w:t>&gt;=18人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18人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val="en-US" w:eastAsia="zh-CN"/>
        </w:rPr>
      </w:pPr>
      <w:r>
        <w:rPr>
          <w:rFonts w:hint="eastAsia"/>
          <w:color w:val="auto"/>
          <w:sz w:val="32"/>
          <w:szCs w:val="32"/>
        </w:rPr>
        <w:t>指标2：国家助学金发放次数，指标值</w:t>
      </w:r>
      <w:r>
        <w:rPr>
          <w:rFonts w:hint="eastAsia"/>
          <w:color w:val="auto"/>
          <w:sz w:val="32"/>
          <w:szCs w:val="32"/>
          <w:lang w:eastAsia="zh-CN"/>
        </w:rPr>
        <w:t>：</w:t>
      </w:r>
      <w:r>
        <w:rPr>
          <w:rFonts w:hint="eastAsia"/>
          <w:color w:val="auto"/>
          <w:sz w:val="32"/>
          <w:szCs w:val="32"/>
          <w:lang w:val="en-US" w:eastAsia="zh-CN"/>
        </w:rPr>
        <w:t>&gt;=2次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color w:val="auto"/>
          <w:sz w:val="32"/>
          <w:szCs w:val="32"/>
        </w:rPr>
        <w:t>国家助学金发放准确率，指标值</w:t>
      </w:r>
      <w:r>
        <w:rPr>
          <w:rFonts w:hint="eastAsia"/>
          <w:color w:val="auto"/>
          <w:sz w:val="32"/>
          <w:szCs w:val="32"/>
          <w:lang w:eastAsia="zh-CN"/>
        </w:rPr>
        <w:t>：</w:t>
      </w:r>
      <w:r>
        <w:rPr>
          <w:rFonts w:hint="eastAsia"/>
          <w:color w:val="auto"/>
          <w:sz w:val="32"/>
          <w:szCs w:val="32"/>
          <w:lang w:val="en-US"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color w:val="auto"/>
          <w:sz w:val="32"/>
          <w:szCs w:val="32"/>
        </w:rPr>
        <w:t>国家助学金按规定及时发放率，指标值</w:t>
      </w:r>
      <w:r>
        <w:rPr>
          <w:rFonts w:hint="eastAsia"/>
          <w:color w:val="auto"/>
          <w:sz w:val="32"/>
          <w:szCs w:val="32"/>
          <w:lang w:eastAsia="zh-CN"/>
        </w:rPr>
        <w:t>：</w:t>
      </w:r>
      <w:r>
        <w:rPr>
          <w:rFonts w:hint="eastAsia"/>
          <w:color w:val="auto"/>
          <w:sz w:val="32"/>
          <w:szCs w:val="32"/>
          <w:lang w:val="en-US"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bookmarkStart w:id="20" w:name="_Toc68703841"/>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指标1：生均国家助学金发放标准，指标值</w:t>
      </w:r>
      <w:r>
        <w:rPr>
          <w:rFonts w:hint="eastAsia"/>
          <w:color w:val="auto"/>
          <w:sz w:val="32"/>
          <w:szCs w:val="32"/>
          <w:lang w:eastAsia="zh-CN"/>
        </w:rPr>
        <w:t>：</w:t>
      </w:r>
      <w:r>
        <w:rPr>
          <w:rFonts w:hint="eastAsia"/>
          <w:color w:val="auto"/>
          <w:sz w:val="32"/>
          <w:szCs w:val="32"/>
          <w:lang w:val="en-US" w:eastAsia="zh-CN"/>
        </w:rPr>
        <w:t>&lt;=2000元/生</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2000元/生</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20"/>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cs="仿宋_GB2312"/>
          <w:sz w:val="32"/>
          <w:szCs w:val="32"/>
          <w:highlight w:val="none"/>
          <w:lang w:eastAsia="zh-CN"/>
        </w:rPr>
        <w:t>社会</w:t>
      </w:r>
      <w:r>
        <w:rPr>
          <w:rFonts w:hint="eastAsia" w:ascii="仿宋_GB2312" w:hAnsi="仿宋_GB2312" w:eastAsia="仿宋_GB2312" w:cs="仿宋_GB2312"/>
          <w:sz w:val="32"/>
          <w:szCs w:val="32"/>
          <w:highlight w:val="none"/>
        </w:rPr>
        <w:t>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指标1：减轻普通高中学生经济压力，指标值</w:t>
      </w:r>
      <w:r>
        <w:rPr>
          <w:rFonts w:hint="eastAsia"/>
          <w:color w:val="auto"/>
          <w:sz w:val="32"/>
          <w:szCs w:val="32"/>
          <w:lang w:eastAsia="zh-CN"/>
        </w:rPr>
        <w:t>：有效减轻</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有效减轻</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：完善高中学生资助体系，指标值</w:t>
      </w:r>
      <w:r>
        <w:rPr>
          <w:rFonts w:hint="eastAsia"/>
          <w:color w:val="auto"/>
          <w:sz w:val="32"/>
          <w:szCs w:val="32"/>
          <w:lang w:eastAsia="zh-CN"/>
        </w:rPr>
        <w:t>：</w:t>
      </w:r>
      <w:r>
        <w:rPr>
          <w:rFonts w:hint="eastAsia"/>
          <w:color w:val="auto"/>
          <w:sz w:val="32"/>
          <w:szCs w:val="32"/>
          <w:lang w:val="en-US" w:eastAsia="zh-CN"/>
        </w:rPr>
        <w:t>长期完善</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长期完善</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：受助学生满意度，指标值</w:t>
      </w:r>
      <w:r>
        <w:rPr>
          <w:rFonts w:hint="eastAsia"/>
          <w:color w:val="auto"/>
          <w:sz w:val="32"/>
          <w:szCs w:val="32"/>
          <w:lang w:eastAsia="zh-CN"/>
        </w:rPr>
        <w:t>：</w:t>
      </w:r>
      <w:r>
        <w:rPr>
          <w:rFonts w:hint="eastAsia"/>
          <w:color w:val="auto"/>
          <w:sz w:val="32"/>
          <w:szCs w:val="32"/>
          <w:lang w:val="en-US"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bookmarkEnd w:id="16"/>
    <w:bookmarkEnd w:id="17"/>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shd w:val="clear"/>
        <w:spacing w:line="600" w:lineRule="exact"/>
        <w:ind w:firstLine="640" w:firstLineChars="200"/>
        <w:outlineLvl w:val="0"/>
        <w:rPr>
          <w:rFonts w:hint="eastAsia"/>
          <w:color w:val="auto"/>
          <w:sz w:val="32"/>
          <w:szCs w:val="32"/>
          <w:lang w:val="en-US" w:eastAsia="zh-CN"/>
        </w:rPr>
      </w:pPr>
      <w:bookmarkStart w:id="21" w:name="_Toc68703842"/>
      <w:bookmarkStart w:id="22" w:name="_Toc9205"/>
      <w:r>
        <w:rPr>
          <w:rFonts w:hint="eastAsia"/>
          <w:color w:val="auto"/>
          <w:sz w:val="32"/>
          <w:szCs w:val="32"/>
          <w:lang w:val="en-US" w:eastAsia="zh-CN"/>
        </w:rPr>
        <w:t>高中国家助学金项目年初预算3.74万元，全年预算3.74万元，实际支出3.74万元，预算执行率为100%，项目绩效指标总体完成率为100%，</w:t>
      </w:r>
      <w:r>
        <w:rPr>
          <w:rFonts w:hint="eastAsia"/>
          <w:color w:val="auto"/>
          <w:sz w:val="32"/>
          <w:szCs w:val="32"/>
          <w:lang w:val="en-US" w:eastAsia="zh-Hans"/>
        </w:rPr>
        <w:t>总体</w:t>
      </w:r>
      <w:r>
        <w:rPr>
          <w:rFonts w:hint="eastAsia"/>
          <w:color w:val="auto"/>
          <w:sz w:val="32"/>
          <w:szCs w:val="32"/>
          <w:lang w:val="en-US" w:eastAsia="zh-CN"/>
        </w:rPr>
        <w:t>偏差率为0%。</w:t>
      </w:r>
    </w:p>
    <w:p>
      <w:pPr>
        <w:spacing w:line="560" w:lineRule="exact"/>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六、主要经验及做法、存在的问题及原因分析</w:t>
      </w:r>
      <w:bookmarkEnd w:id="21"/>
    </w:p>
    <w:p>
      <w:pPr>
        <w:spacing w:line="560" w:lineRule="exact"/>
        <w:rPr>
          <w:rFonts w:hint="eastAsia" w:ascii="Times New Roman" w:hAnsi="Times New Roman" w:eastAsia="楷体_GB2312" w:cs="Times New Roman"/>
          <w:b/>
          <w:bCs/>
          <w:kern w:val="2"/>
          <w:sz w:val="32"/>
          <w:szCs w:val="32"/>
          <w:lang w:val="en-US" w:eastAsia="zh-CN" w:bidi="ar-SA"/>
        </w:rPr>
      </w:pPr>
      <w:bookmarkStart w:id="23" w:name="_Toc68703843"/>
      <w:r>
        <w:rPr>
          <w:rFonts w:hint="eastAsia" w:ascii="Times New Roman" w:hAnsi="Times New Roman" w:eastAsia="楷体_GB2312" w:cs="Times New Roman"/>
          <w:b/>
          <w:bCs/>
          <w:kern w:val="2"/>
          <w:sz w:val="32"/>
          <w:szCs w:val="32"/>
          <w:lang w:val="en-US" w:eastAsia="zh-CN" w:bidi="ar-SA"/>
        </w:rPr>
        <w:t>（一）主要经验及做法</w:t>
      </w:r>
      <w:bookmarkEnd w:id="23"/>
    </w:p>
    <w:p>
      <w:pPr>
        <w:shd w:val="clear"/>
        <w:spacing w:line="600" w:lineRule="exact"/>
        <w:ind w:firstLine="640" w:firstLineChars="200"/>
        <w:outlineLvl w:val="0"/>
        <w:rPr>
          <w:rFonts w:hint="default"/>
          <w:color w:val="auto"/>
          <w:sz w:val="32"/>
          <w:szCs w:val="32"/>
          <w:lang w:val="en-US" w:eastAsia="zh-CN"/>
        </w:rPr>
      </w:pPr>
      <w:r>
        <w:rPr>
          <w:rFonts w:hint="default"/>
          <w:color w:val="auto"/>
          <w:sz w:val="32"/>
          <w:szCs w:val="32"/>
          <w:lang w:val="en-US" w:eastAsia="zh-CN"/>
        </w:rPr>
        <w:t>1、党中央、国务院历来高度重视家庭经济困难学生的就学问题。近年来，国家采取一系列有力措施，不断完善助学政策体系，建立普通高中家庭经济困难学生国家资助制度，是贯彻落实科学发展观、构建社会主义和谐社会的重要举措，是实施科教兴国和人才强国战略，优化教育结构，加快普及高中阶段教育的有效手段，对于完善国家资助政策体系，帮助家庭经济困难学生顺利完成学业，促进教育公平，具有重大意义。</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color w:val="auto"/>
          <w:sz w:val="32"/>
          <w:szCs w:val="32"/>
          <w:lang w:val="en-US" w:eastAsia="zh-CN"/>
        </w:rPr>
      </w:pPr>
      <w:r>
        <w:rPr>
          <w:rFonts w:hint="default"/>
          <w:color w:val="auto"/>
          <w:sz w:val="32"/>
          <w:szCs w:val="32"/>
          <w:lang w:val="en-US" w:eastAsia="zh-CN"/>
        </w:rPr>
        <w:t>2、普通高中国家助学金按照在校学生人数的30%确认受助学生人数，按照生均2000元的标准发放，中央、自治区和地县资金分配比例为80:14:6。霍尔果斯市苏港中学在助学金实际发放过程中，按照优先发放高三学生，高二高一学生同步办理进行的原则保障每一个可以受到资助的孩子不掉队。</w:t>
      </w:r>
    </w:p>
    <w:bookmarkEnd w:id="22"/>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24" w:name="_Toc68703844"/>
      <w:bookmarkStart w:id="25" w:name="_Toc67911619"/>
      <w:bookmarkStart w:id="26" w:name="_Toc26872"/>
      <w:r>
        <w:rPr>
          <w:rFonts w:hint="eastAsia" w:ascii="Times New Roman" w:hAnsi="Times New Roman" w:eastAsia="楷体_GB2312" w:cs="Times New Roman"/>
          <w:b/>
          <w:bCs/>
          <w:kern w:val="2"/>
          <w:sz w:val="32"/>
          <w:szCs w:val="32"/>
          <w:lang w:val="en-US" w:eastAsia="zh-CN" w:bidi="ar-SA"/>
        </w:rPr>
        <w:t>（二）存在的问题及原因分析</w:t>
      </w:r>
      <w:bookmarkEnd w:id="24"/>
      <w:r>
        <w:rPr>
          <w:rFonts w:hint="eastAsia" w:ascii="Times New Roman" w:hAnsi="Times New Roman" w:eastAsia="楷体_GB2312" w:cs="Times New Roman"/>
          <w:b/>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bookmarkEnd w:id="25"/>
    <w:bookmarkEnd w:id="26"/>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27"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27"/>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eastAsia="黑体" w:cs="Times New Roman"/>
          <w:b w:val="0"/>
          <w:bCs/>
          <w:kern w:val="2"/>
          <w:sz w:val="32"/>
          <w:szCs w:val="32"/>
          <w:lang w:val="en-US" w:eastAsia="zh-CN" w:bidi="ar-SA"/>
        </w:rPr>
      </w:pPr>
      <w:bookmarkStart w:id="28" w:name="_Toc68703846"/>
      <w:r>
        <w:rPr>
          <w:rFonts w:hint="eastAsia" w:eastAsia="黑体" w:cs="Times New Roman"/>
          <w:b w:val="0"/>
          <w:bCs/>
          <w:kern w:val="2"/>
          <w:sz w:val="32"/>
          <w:szCs w:val="32"/>
          <w:lang w:val="en-US" w:eastAsia="zh-CN" w:bidi="ar-SA"/>
        </w:rPr>
        <w:t>八、其他需要说明的问题</w:t>
      </w:r>
      <w:bookmarkEnd w:id="28"/>
    </w:p>
    <w:p>
      <w:pPr>
        <w:spacing w:line="360" w:lineRule="auto"/>
        <w:ind w:firstLine="640" w:firstLineChars="200"/>
        <w:jc w:val="both"/>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Hans" w:bidi="ar-SA"/>
        </w:rPr>
        <w:t>本项目无其他需说明的问题</w:t>
      </w:r>
      <w:r>
        <w:rPr>
          <w:rFonts w:hint="eastAsia" w:ascii="仿宋_GB2312" w:hAnsi="仿宋_GB2312" w:eastAsia="仿宋_GB2312" w:cs="仿宋_GB2312"/>
          <w:b w:val="0"/>
          <w:bCs w:val="0"/>
          <w:kern w:val="2"/>
          <w:sz w:val="32"/>
          <w:szCs w:val="32"/>
          <w:highlight w:val="none"/>
          <w:lang w:val="en-US" w:eastAsia="zh-CN" w:bidi="ar-SA"/>
        </w:rPr>
        <w:t xml:space="preserve">。 </w:t>
      </w:r>
    </w:p>
    <w:p>
      <w:pPr>
        <w:rPr>
          <w:rFonts w:hint="eastAsia" w:ascii="仿宋_GB2312" w:hAnsi="仿宋_GB2312" w:cs="仿宋_GB2312"/>
          <w:sz w:val="32"/>
          <w:szCs w:val="32"/>
          <w:lang w:val="en-US" w:eastAsia="zh-CN"/>
        </w:rPr>
        <w:sectPr>
          <w:headerReference r:id="rId3" w:type="default"/>
          <w:footnotePr>
            <w:numFmt w:val="decimalEnclosedCircleChinese"/>
          </w:footnotePr>
          <w:pgSz w:w="11906" w:h="16838"/>
          <w:pgMar w:top="1440" w:right="1800" w:bottom="1440" w:left="1800" w:header="1276" w:footer="992" w:gutter="0"/>
          <w:cols w:space="425" w:num="1"/>
          <w:docGrid w:type="lines" w:linePitch="381" w:charSpace="0"/>
        </w:sectPr>
      </w:pPr>
    </w:p>
    <w:tbl>
      <w:tblPr>
        <w:tblStyle w:val="11"/>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bookmarkStart w:id="29" w:name="_Toc26499_WPSOffice_Level2"/>
            <w:bookmarkStart w:id="30" w:name="_Toc30064_WPSOffice_Level1"/>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国家助学金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霍尔果斯市苏港中学</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霍尔果斯市苏港中学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3.74</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3.74</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1、国家助学金按照2000元/生/年，具体标准结合实际在1000-3000元范围内分为3档发放；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2、发放人数大于等于18人；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3、发放资金3.74万元，计划于2023年12月31日发放完成；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4、助学金的发放可以显著提高贫困学生就学率，完善苏港高中学生资助体系，提升学生和家长的满意度。</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1、国家助学金按照2000元/生/年，实际发放人数18人；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2、实际发放资金3.74万元，已于2023年10月30日发放完成；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享受国家助学金学生人数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&gt;=18人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国家助学金发放次数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国家助学金发放准确率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国家助学金按规定及时发放率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生均国家助学金发放标准</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&lt;=2000元/生</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2000元/生</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减轻普通高中学生经济压力</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有效减轻</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有效减轻</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完善高中学生资助体系</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长期完善</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长期完善</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受助学生满意度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0"/>
        <w:ind w:firstLine="562"/>
        <w:jc w:val="center"/>
        <w:rPr>
          <w:rFonts w:hint="eastAsia"/>
          <w:b/>
          <w:bCs/>
          <w:sz w:val="28"/>
          <w:szCs w:val="40"/>
          <w:highlight w:val="yellow"/>
          <w:lang w:val="en-US" w:eastAsia="zh-CN"/>
        </w:rPr>
      </w:pPr>
    </w:p>
    <w:p>
      <w:pPr>
        <w:pStyle w:val="20"/>
        <w:ind w:firstLine="562"/>
        <w:jc w:val="center"/>
        <w:rPr>
          <w:rFonts w:hint="eastAsia"/>
          <w:b/>
          <w:bCs/>
          <w:sz w:val="28"/>
          <w:szCs w:val="40"/>
          <w:highlight w:val="yellow"/>
          <w:lang w:val="en-US" w:eastAsia="zh-CN"/>
        </w:rPr>
      </w:pPr>
    </w:p>
    <w:p>
      <w:pPr>
        <w:pStyle w:val="20"/>
        <w:ind w:firstLine="562"/>
        <w:jc w:val="center"/>
        <w:rPr>
          <w:rFonts w:hint="eastAsia"/>
          <w:b/>
          <w:bCs/>
          <w:sz w:val="28"/>
          <w:szCs w:val="40"/>
          <w:highlight w:val="yellow"/>
          <w:lang w:val="en-US" w:eastAsia="zh-CN"/>
        </w:rPr>
      </w:pPr>
    </w:p>
    <w:p>
      <w:pPr>
        <w:pStyle w:val="20"/>
        <w:ind w:firstLine="562"/>
        <w:jc w:val="center"/>
        <w:rPr>
          <w:rFonts w:hint="eastAsia"/>
          <w:b/>
          <w:bCs/>
          <w:sz w:val="28"/>
          <w:szCs w:val="40"/>
          <w:highlight w:val="yellow"/>
          <w:lang w:val="en-US" w:eastAsia="zh-CN"/>
        </w:rPr>
      </w:pPr>
    </w:p>
    <w:p>
      <w:pPr>
        <w:pStyle w:val="20"/>
        <w:ind w:firstLine="562"/>
        <w:jc w:val="center"/>
        <w:rPr>
          <w:rFonts w:hint="eastAsia"/>
          <w:b/>
          <w:bCs/>
          <w:sz w:val="28"/>
          <w:szCs w:val="40"/>
          <w:highlight w:val="yellow"/>
          <w:lang w:val="en-US" w:eastAsia="zh-CN"/>
        </w:rPr>
      </w:pPr>
    </w:p>
    <w:p>
      <w:pPr>
        <w:pStyle w:val="20"/>
        <w:ind w:firstLine="562"/>
        <w:jc w:val="center"/>
        <w:rPr>
          <w:rFonts w:hint="eastAsia"/>
          <w:b/>
          <w:bCs/>
          <w:sz w:val="28"/>
          <w:szCs w:val="40"/>
          <w:highlight w:val="yellow"/>
          <w:lang w:val="en-US" w:eastAsia="zh-CN"/>
        </w:rPr>
      </w:pPr>
    </w:p>
    <w:p>
      <w:pPr>
        <w:pStyle w:val="20"/>
        <w:ind w:firstLine="562"/>
        <w:jc w:val="center"/>
        <w:rPr>
          <w:rFonts w:hint="eastAsia"/>
          <w:b/>
          <w:bCs/>
          <w:sz w:val="28"/>
          <w:szCs w:val="40"/>
          <w:highlight w:val="yellow"/>
          <w:lang w:val="en-US" w:eastAsia="zh-CN"/>
        </w:rPr>
      </w:pPr>
      <w:bookmarkStart w:id="31" w:name="_GoBack"/>
      <w:bookmarkEnd w:id="31"/>
    </w:p>
    <w:p>
      <w:pPr>
        <w:pStyle w:val="20"/>
        <w:ind w:firstLine="562"/>
        <w:jc w:val="center"/>
        <w:rPr>
          <w:sz w:val="28"/>
          <w:szCs w:val="40"/>
        </w:rPr>
      </w:pPr>
      <w:r>
        <w:rPr>
          <w:rFonts w:hint="eastAsia"/>
          <w:b/>
          <w:bCs/>
          <w:sz w:val="28"/>
          <w:szCs w:val="40"/>
          <w:lang w:val="en-US" w:eastAsia="zh-CN"/>
        </w:rPr>
        <w:t>国家助学金</w:t>
      </w:r>
      <w:r>
        <w:rPr>
          <w:rFonts w:hint="eastAsia"/>
          <w:b/>
          <w:bCs/>
          <w:sz w:val="28"/>
          <w:szCs w:val="40"/>
        </w:rPr>
        <w:t>项目绩效评价指标体系及综合评分表</w:t>
      </w:r>
      <w:bookmarkEnd w:id="29"/>
      <w:bookmarkEnd w:id="30"/>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lang w:eastAsia="zh-CN"/>
              </w:rPr>
            </w:pPr>
            <w:r>
              <w:rPr>
                <w:rFonts w:hint="eastAsia"/>
                <w:b/>
                <w:bCs/>
                <w:color w:val="000000"/>
                <w:kern w:val="0"/>
                <w:sz w:val="22"/>
                <w:szCs w:val="22"/>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MDYzYTcwZmEzZTRkODFjMTc4MTlmYzM3Y2ZlYm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6CB279C"/>
    <w:rsid w:val="17136327"/>
    <w:rsid w:val="181871E2"/>
    <w:rsid w:val="19166846"/>
    <w:rsid w:val="20E92B23"/>
    <w:rsid w:val="22AC2218"/>
    <w:rsid w:val="2729052F"/>
    <w:rsid w:val="28C14634"/>
    <w:rsid w:val="29A77257"/>
    <w:rsid w:val="2EC724D4"/>
    <w:rsid w:val="2EE30257"/>
    <w:rsid w:val="34DA27CE"/>
    <w:rsid w:val="36411DC5"/>
    <w:rsid w:val="36B72533"/>
    <w:rsid w:val="4057649F"/>
    <w:rsid w:val="450B6AE4"/>
    <w:rsid w:val="54873A1A"/>
    <w:rsid w:val="56796849"/>
    <w:rsid w:val="568F383B"/>
    <w:rsid w:val="5D555EEF"/>
    <w:rsid w:val="5DA95371"/>
    <w:rsid w:val="62C9533F"/>
    <w:rsid w:val="65240B5C"/>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link w:val="19"/>
    <w:semiHidden/>
    <w:unhideWhenUsed/>
    <w:qFormat/>
    <w:uiPriority w:val="99"/>
    <w:pPr>
      <w:tabs>
        <w:tab w:val="center" w:pos="4153"/>
        <w:tab w:val="right" w:pos="8306"/>
      </w:tabs>
      <w:snapToGrid w:val="0"/>
      <w:jc w:val="left"/>
    </w:pPr>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2"/>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7"/>
    <w:semiHidden/>
    <w:qFormat/>
    <w:uiPriority w:val="99"/>
    <w:rPr>
      <w:rFonts w:ascii="Times New Roman" w:hAnsi="Times New Roman" w:eastAsia="仿宋_GB2312" w:cs="Times New Roman"/>
      <w:sz w:val="18"/>
      <w:szCs w:val="18"/>
    </w:rPr>
  </w:style>
  <w:style w:type="character" w:customStyle="1" w:styleId="19">
    <w:name w:val="页脚 Char"/>
    <w:basedOn w:val="12"/>
    <w:link w:val="6"/>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 w:type="table" w:customStyle="1" w:styleId="21">
    <w:name w:val="网格型1"/>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5</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2024-06-11T14:13:08Z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0D4AA272CC724A01A6CC38D3BBD07F22_13</vt:lpwstr>
  </property>
</Properties>
</file>