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lang w:eastAsia="zh-CN"/>
        </w:rPr>
        <w:t>中等职业学校建设</w:t>
      </w:r>
      <w:r>
        <w:rPr>
          <w:rFonts w:hint="eastAsia" w:eastAsia="方正小标宋_GBK"/>
          <w:kern w:val="0"/>
          <w:sz w:val="48"/>
          <w:szCs w:val="48"/>
          <w:lang w:eastAsia="zh-CN"/>
        </w:rPr>
        <w:t>资金</w:t>
      </w:r>
      <w:r>
        <w:rPr>
          <w:rFonts w:eastAsia="方正小标宋_GBK"/>
          <w:kern w:val="0"/>
          <w:sz w:val="48"/>
          <w:szCs w:val="48"/>
        </w:rPr>
        <w:t>项目支出绩效</w:t>
      </w:r>
    </w:p>
    <w:p>
      <w:pPr>
        <w:spacing w:line="540" w:lineRule="exact"/>
        <w:jc w:val="center"/>
        <w:rPr>
          <w:rFonts w:eastAsia="方正小标宋_GBK"/>
          <w:kern w:val="0"/>
          <w:sz w:val="48"/>
          <w:szCs w:val="48"/>
        </w:rPr>
      </w:pPr>
      <w:r>
        <w:rPr>
          <w:rFonts w:eastAsia="方正小标宋_GBK"/>
          <w:kern w:val="0"/>
          <w:sz w:val="48"/>
          <w:szCs w:val="48"/>
        </w:rPr>
        <w:t>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宋体"/>
          <w:kern w:val="0"/>
          <w:sz w:val="32"/>
          <w:szCs w:val="32"/>
          <w:lang w:eastAsia="zh-CN"/>
        </w:rPr>
        <w:t>霍尔果斯市中等职业学校建设</w:t>
      </w:r>
      <w:r>
        <w:rPr>
          <w:rFonts w:hint="eastAsia" w:ascii="宋体" w:hAnsi="宋体" w:eastAsia="宋体" w:cs="宋体"/>
          <w:kern w:val="0"/>
          <w:sz w:val="32"/>
          <w:szCs w:val="32"/>
        </w:rPr>
        <w:t>项目</w:t>
      </w:r>
    </w:p>
    <w:p>
      <w:pPr>
        <w:spacing w:line="560" w:lineRule="exact"/>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val="0"/>
          <w:bCs w:val="0"/>
          <w:color w:val="000000"/>
          <w:kern w:val="0"/>
          <w:sz w:val="32"/>
          <w:szCs w:val="32"/>
          <w:lang w:eastAsia="zh-CN"/>
        </w:rPr>
        <w:t>霍尔果斯市教育局</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val="0"/>
          <w:bCs w:val="0"/>
          <w:color w:val="000000"/>
          <w:kern w:val="0"/>
          <w:sz w:val="32"/>
          <w:szCs w:val="32"/>
          <w:lang w:eastAsia="zh-CN"/>
        </w:rPr>
        <w:t>霍尔果斯市教育局</w:t>
      </w:r>
    </w:p>
    <w:p>
      <w:pPr>
        <w:spacing w:line="560" w:lineRule="exact"/>
        <w:ind w:firstLine="321" w:firstLineChars="100"/>
        <w:jc w:val="both"/>
        <w:rPr>
          <w:rFonts w:hint="eastAsia" w:ascii="宋体" w:hAnsi="宋体" w:eastAsia="宋体" w:cs="宋体"/>
          <w:b w:val="0"/>
          <w:bCs w:val="0"/>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val="0"/>
          <w:bCs w:val="0"/>
          <w:color w:val="000000"/>
          <w:kern w:val="0"/>
          <w:sz w:val="32"/>
          <w:szCs w:val="32"/>
          <w:lang w:eastAsia="zh-CN"/>
        </w:rPr>
        <w:t>杨金山</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18</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1.项目背景：</w:t>
      </w:r>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1</w:t>
      </w:r>
      <w:r>
        <w:rPr>
          <w:rFonts w:hint="eastAsia" w:ascii="仿宋_GB2312" w:hAnsi="仿宋_GB2312" w:eastAsia="仿宋_GB2312" w:cs="仿宋_GB2312"/>
          <w:b w:val="0"/>
          <w:bCs w:val="0"/>
          <w:sz w:val="32"/>
          <w:szCs w:val="32"/>
        </w:rPr>
        <w:t>、根据霍尔果斯市教育事业发展现状，把掌握教育发展的阶段性特征，遵循教育规律，夯实基础，优化结构，调整布局，通过必要的改革，着力抓好教育均衡发展作为教育规划的总体思路。坚定不移的实施各项发展举措，提高地方教育现代化水平，构建和完善具有区域特色的现代教育体系，面向每个学生，办好每一所学校，促进霍尔果斯市经济社会又快又好、更快更好的发展。</w:t>
      </w:r>
    </w:p>
    <w:p>
      <w:pPr>
        <w:pStyle w:val="2"/>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霍尔果斯市就读普通高中的学生呈逐年递增的趋势，但我市普通高中教育特别是优质高中教育资源不能满足社会需求。因此加快普及高中阶段教育，做好做强做大优质教育资源。正确处理好速度、规模、质量和效益的关系，一手抓发展，一手抓质量，保证高中阶段教育的可持续发展。合理调配高中教育资源，扩大高中办学规模:在人口比较集中、交通便利区建设一所高级中学，以满足区域周边子女读书的要求，为社会提供更多的优质教育资源。</w:t>
      </w:r>
    </w:p>
    <w:p>
      <w:pPr>
        <w:pStyle w:val="2"/>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jc w:val="both"/>
        <w:textAlignment w:val="auto"/>
        <w:outlineLvl w:val="9"/>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霍尔果斯市发展迅速，在省、市领导强有力的指导和支持下，霍尔果斯市的建设及发展得到了进一步的提升，并且随着国家支持西部大开发建设的政策及新一轮的援疆力度加大，将会有大量的人员入驻到本市来工作生活，届时其子女入学的问题需要得到解决。为了落实科学发展观，建设新的发展模式，需切实落实教育优先发展的战略</w:t>
      </w:r>
      <w:r>
        <w:rPr>
          <w:rFonts w:hint="eastAsia" w:ascii="仿宋_GB2312" w:hAnsi="仿宋_GB2312" w:eastAsia="仿宋_GB2312" w:cs="仿宋_GB2312"/>
          <w:b w:val="0"/>
          <w:bCs w:val="0"/>
          <w:sz w:val="32"/>
          <w:szCs w:val="32"/>
          <w:lang w:eastAsia="zh-CN"/>
        </w:rPr>
        <w:t>。地位。在霍尔果斯市解放南路东侧建设霍尔果斯市第三高级中学，有利于进一步发展霍尔果斯市优质教育，带动霍尔果斯市教育、经济发展，因此为积极推进霍尔果斯市教育事业的发展、加大教育基础设施建设的投资、提高教育现代化水平的精神，提出了本项目建设。《新疆维吾尔自治区中长期教育改革和发展规划纲要(2010-2025年)》根据《国家中长期教育改革和发展规划纲要(2010-2025年)》和自治区经济社会发展需要，制定本纲要《新疆维吾尔自治区中长期教育改革和发展规划纲要(2010-2025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2</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主要内容及实施情况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FF0000"/>
          <w:sz w:val="32"/>
          <w:szCs w:val="32"/>
          <w:highlight w:val="none"/>
        </w:rPr>
      </w:pPr>
      <w:r>
        <w:rPr>
          <w:rFonts w:hint="eastAsia" w:ascii="仿宋_GB2312" w:hAnsi="仿宋_GB2312" w:eastAsia="仿宋_GB2312" w:cs="仿宋_GB2312"/>
          <w:sz w:val="32"/>
          <w:szCs w:val="32"/>
          <w:highlight w:val="none"/>
        </w:rPr>
        <w:t>主要内容：</w:t>
      </w:r>
      <w:r>
        <w:rPr>
          <w:rFonts w:hint="eastAsia" w:ascii="仿宋_GB2312" w:hAnsi="仿宋_GB2312" w:eastAsia="仿宋_GB2312" w:cs="仿宋_GB2312"/>
          <w:b w:val="0"/>
          <w:bCs w:val="0"/>
          <w:sz w:val="32"/>
          <w:szCs w:val="32"/>
          <w:highlight w:val="none"/>
          <w:lang w:eastAsia="zh-CN"/>
        </w:rPr>
        <w:t>该项目</w:t>
      </w:r>
      <w:r>
        <w:rPr>
          <w:rFonts w:hint="eastAsia" w:ascii="仿宋_GB2312" w:hAnsi="仿宋_GB2312" w:eastAsia="仿宋_GB2312" w:cs="仿宋_GB2312"/>
          <w:b w:val="0"/>
          <w:bCs w:val="0"/>
          <w:sz w:val="32"/>
          <w:szCs w:val="32"/>
          <w:highlight w:val="none"/>
          <w:lang w:val="en-US" w:eastAsia="zh-CN"/>
        </w:rPr>
        <w:t>资金1300</w:t>
      </w:r>
      <w:r>
        <w:rPr>
          <w:rFonts w:hint="eastAsia" w:ascii="仿宋_GB2312" w:hAnsi="仿宋_GB2312" w:eastAsia="仿宋_GB2312" w:cs="仿宋_GB2312"/>
          <w:b w:val="0"/>
          <w:bCs w:val="0"/>
          <w:sz w:val="32"/>
          <w:szCs w:val="32"/>
          <w:highlight w:val="none"/>
          <w:lang w:eastAsia="zh-CN"/>
        </w:rPr>
        <w:t>万元,</w:t>
      </w:r>
      <w:r>
        <w:rPr>
          <w:rFonts w:hint="eastAsia" w:ascii="仿宋_GB2312" w:hAnsi="仿宋_GB2312" w:eastAsia="仿宋_GB2312" w:cs="仿宋_GB2312"/>
          <w:b w:val="0"/>
          <w:bCs w:val="0"/>
          <w:sz w:val="32"/>
          <w:szCs w:val="32"/>
          <w:highlight w:val="none"/>
          <w:lang w:val="en-US" w:eastAsia="zh-CN"/>
        </w:rPr>
        <w:t>建设教学楼总</w:t>
      </w:r>
      <w:r>
        <w:rPr>
          <w:rFonts w:hint="eastAsia" w:ascii="仿宋_GB2312" w:hAnsi="仿宋_GB2312" w:eastAsia="仿宋_GB2312" w:cs="仿宋_GB2312"/>
          <w:b w:val="0"/>
          <w:bCs w:val="0"/>
          <w:sz w:val="32"/>
          <w:szCs w:val="32"/>
          <w:highlight w:val="none"/>
          <w:lang w:eastAsia="zh-CN"/>
        </w:rPr>
        <w:t>面积22</w:t>
      </w:r>
      <w:r>
        <w:rPr>
          <w:rFonts w:hint="eastAsia" w:ascii="仿宋_GB2312" w:hAnsi="仿宋_GB2312" w:eastAsia="仿宋_GB2312" w:cs="仿宋_GB2312"/>
          <w:b w:val="0"/>
          <w:bCs w:val="0"/>
          <w:sz w:val="32"/>
          <w:szCs w:val="32"/>
          <w:highlight w:val="none"/>
          <w:lang w:val="en-US" w:eastAsia="zh-CN"/>
        </w:rPr>
        <w:t>847.89</w:t>
      </w:r>
      <w:r>
        <w:rPr>
          <w:rFonts w:hint="eastAsia" w:ascii="仿宋_GB2312" w:hAnsi="仿宋_GB2312" w:eastAsia="仿宋_GB2312" w:cs="仿宋_GB2312"/>
          <w:b w:val="0"/>
          <w:bCs w:val="0"/>
          <w:sz w:val="32"/>
          <w:szCs w:val="32"/>
          <w:highlight w:val="none"/>
          <w:lang w:eastAsia="zh-CN"/>
        </w:rPr>
        <w:t>平方米，</w:t>
      </w:r>
      <w:r>
        <w:rPr>
          <w:rFonts w:hint="eastAsia" w:ascii="仿宋_GB2312" w:hAnsi="仿宋_GB2312" w:eastAsia="仿宋_GB2312" w:cs="仿宋_GB2312"/>
          <w:b w:val="0"/>
          <w:bCs w:val="0"/>
          <w:sz w:val="32"/>
          <w:szCs w:val="32"/>
          <w:highlight w:val="none"/>
          <w:lang w:val="en-US" w:eastAsia="zh-CN"/>
        </w:rPr>
        <w:t>建设教学楼1所，项目验收合格率100%，项目资金支付率100%，项目已按计划开工、完工。</w:t>
      </w:r>
      <w:r>
        <w:rPr>
          <w:rFonts w:hint="eastAsia" w:ascii="仿宋_GB2312" w:hAnsi="仿宋_GB2312" w:eastAsia="仿宋_GB2312" w:cs="仿宋_GB2312"/>
          <w:b w:val="0"/>
          <w:bCs w:val="0"/>
          <w:sz w:val="32"/>
          <w:szCs w:val="32"/>
          <w:highlight w:val="none"/>
          <w:lang w:eastAsia="zh-CN"/>
        </w:rPr>
        <w:t>配套相关附属设施。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实施情况：</w:t>
      </w:r>
      <w:r>
        <w:rPr>
          <w:rFonts w:hint="eastAsia" w:ascii="仿宋_GB2312" w:hAnsi="仿宋_GB2312" w:eastAsia="仿宋_GB2312" w:cs="仿宋_GB2312"/>
          <w:sz w:val="32"/>
          <w:szCs w:val="32"/>
          <w:lang w:eastAsia="zh-CN"/>
        </w:rPr>
        <w:t>该</w:t>
      </w:r>
      <w:r>
        <w:rPr>
          <w:rFonts w:hint="eastAsia" w:ascii="仿宋_GB2312" w:hAnsi="仿宋_GB2312" w:eastAsia="仿宋_GB2312" w:cs="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　3</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color w:val="auto"/>
          <w:sz w:val="32"/>
          <w:szCs w:val="32"/>
          <w:shd w:val="clear" w:color="auto" w:fill="auto"/>
        </w:rPr>
        <w:t>资金投入情况：该项目年初预算数</w:t>
      </w:r>
      <w:r>
        <w:rPr>
          <w:rFonts w:hint="eastAsia" w:ascii="仿宋_GB2312" w:hAnsi="仿宋_GB2312" w:eastAsia="仿宋_GB2312" w:cs="仿宋_GB2312"/>
          <w:color w:val="auto"/>
          <w:sz w:val="32"/>
          <w:szCs w:val="32"/>
          <w:shd w:val="clear" w:color="auto" w:fill="auto"/>
          <w:lang w:val="en-US" w:eastAsia="zh-CN"/>
        </w:rPr>
        <w:t>1300</w:t>
      </w:r>
      <w:r>
        <w:rPr>
          <w:rFonts w:hint="eastAsia" w:ascii="仿宋_GB2312" w:hAnsi="仿宋_GB2312" w:eastAsia="仿宋_GB2312" w:cs="仿宋_GB2312"/>
          <w:color w:val="auto"/>
          <w:sz w:val="32"/>
          <w:szCs w:val="32"/>
          <w:shd w:val="clear" w:color="auto" w:fill="auto"/>
        </w:rPr>
        <w:t>万元，</w:t>
      </w:r>
      <w:r>
        <w:rPr>
          <w:rFonts w:hint="eastAsia" w:ascii="仿宋_GB2312" w:hAnsi="仿宋_GB2312" w:eastAsia="仿宋_GB2312" w:cs="仿宋_GB2312"/>
          <w:color w:val="auto"/>
          <w:sz w:val="32"/>
          <w:szCs w:val="32"/>
          <w:shd w:val="clear" w:color="auto" w:fill="auto"/>
          <w:lang w:eastAsia="zh-CN"/>
        </w:rPr>
        <w:t>全年</w:t>
      </w:r>
      <w:r>
        <w:rPr>
          <w:rFonts w:hint="eastAsia" w:ascii="仿宋_GB2312" w:hAnsi="仿宋_GB2312" w:eastAsia="仿宋_GB2312" w:cs="仿宋_GB2312"/>
          <w:color w:val="auto"/>
          <w:sz w:val="32"/>
          <w:szCs w:val="32"/>
          <w:shd w:val="clear" w:color="auto" w:fill="auto"/>
        </w:rPr>
        <w:t>预算数</w:t>
      </w:r>
      <w:r>
        <w:rPr>
          <w:rFonts w:hint="eastAsia" w:ascii="仿宋_GB2312" w:hAnsi="仿宋_GB2312" w:eastAsia="仿宋_GB2312" w:cs="仿宋_GB2312"/>
          <w:color w:val="auto"/>
          <w:sz w:val="32"/>
          <w:szCs w:val="32"/>
          <w:shd w:val="clear" w:color="auto" w:fill="auto"/>
          <w:lang w:val="en-US" w:eastAsia="zh-CN"/>
        </w:rPr>
        <w:t>1300</w:t>
      </w:r>
      <w:r>
        <w:rPr>
          <w:rFonts w:hint="eastAsia" w:ascii="仿宋_GB2312" w:hAnsi="仿宋_GB2312" w:eastAsia="仿宋_GB2312" w:cs="仿宋_GB2312"/>
          <w:color w:val="auto"/>
          <w:sz w:val="32"/>
          <w:szCs w:val="32"/>
          <w:shd w:val="clear" w:color="auto" w:fill="auto"/>
        </w:rPr>
        <w:t>万元，实际总投入</w:t>
      </w:r>
      <w:r>
        <w:rPr>
          <w:rFonts w:hint="eastAsia" w:ascii="仿宋_GB2312" w:hAnsi="仿宋_GB2312" w:eastAsia="仿宋_GB2312" w:cs="仿宋_GB2312"/>
          <w:color w:val="auto"/>
          <w:sz w:val="32"/>
          <w:szCs w:val="32"/>
          <w:shd w:val="clear" w:color="auto" w:fill="auto"/>
          <w:lang w:val="en-US" w:eastAsia="zh-CN"/>
        </w:rPr>
        <w:t>1300</w:t>
      </w:r>
      <w:r>
        <w:rPr>
          <w:rFonts w:hint="eastAsia" w:ascii="仿宋_GB2312" w:hAnsi="仿宋_GB2312" w:eastAsia="仿宋_GB2312" w:cs="仿宋_GB2312"/>
          <w:color w:val="auto"/>
          <w:sz w:val="32"/>
          <w:szCs w:val="32"/>
          <w:shd w:val="clear" w:color="auto" w:fill="auto"/>
        </w:rPr>
        <w:t>万元，该项目资金已全部落实到位</w:t>
      </w:r>
      <w:r>
        <w:rPr>
          <w:rFonts w:hint="eastAsia" w:ascii="仿宋_GB2312" w:hAnsi="仿宋_GB2312" w:eastAsia="仿宋_GB2312" w:cs="仿宋_GB2312"/>
          <w:color w:val="auto"/>
          <w:sz w:val="32"/>
          <w:szCs w:val="32"/>
          <w:shd w:val="clear" w:color="auto" w:fill="auto"/>
          <w:lang w:eastAsia="zh-CN"/>
        </w:rPr>
        <w:t>，</w:t>
      </w:r>
      <w:r>
        <w:rPr>
          <w:rFonts w:hint="eastAsia" w:ascii="仿宋_GB2312" w:hAnsi="仿宋_GB2312" w:eastAsia="仿宋_GB2312" w:cs="仿宋_GB2312"/>
          <w:color w:val="auto"/>
          <w:sz w:val="32"/>
          <w:szCs w:val="32"/>
          <w:shd w:val="clear" w:color="auto" w:fill="auto"/>
        </w:rPr>
        <w:t>资金来源为</w:t>
      </w:r>
      <w:r>
        <w:rPr>
          <w:rFonts w:hint="eastAsia" w:ascii="仿宋_GB2312" w:hAnsi="仿宋_GB2312" w:eastAsia="仿宋_GB2312" w:cs="仿宋_GB2312"/>
          <w:color w:val="auto"/>
          <w:sz w:val="32"/>
          <w:szCs w:val="32"/>
          <w:shd w:val="clear" w:color="auto" w:fill="auto"/>
          <w:lang w:val="en-US" w:eastAsia="zh-CN"/>
        </w:rPr>
        <w:t>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资金使用情况：该项目年初预算数</w:t>
      </w:r>
      <w:r>
        <w:rPr>
          <w:rFonts w:hint="eastAsia" w:ascii="仿宋_GB2312" w:hAnsi="仿宋_GB2312" w:eastAsia="仿宋_GB2312" w:cs="仿宋_GB2312"/>
          <w:color w:val="auto"/>
          <w:sz w:val="32"/>
          <w:szCs w:val="32"/>
          <w:lang w:val="en-US" w:eastAsia="zh-CN"/>
        </w:rPr>
        <w:t>1300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shd w:val="clear" w:color="auto" w:fill="auto"/>
          <w:lang w:eastAsia="zh-CN"/>
        </w:rPr>
        <w:t>全年</w:t>
      </w:r>
      <w:r>
        <w:rPr>
          <w:rFonts w:hint="eastAsia" w:ascii="仿宋_GB2312" w:hAnsi="仿宋_GB2312" w:eastAsia="仿宋_GB2312" w:cs="仿宋_GB2312"/>
          <w:color w:val="auto"/>
          <w:sz w:val="32"/>
          <w:szCs w:val="32"/>
          <w:shd w:val="clear" w:color="auto" w:fill="auto"/>
        </w:rPr>
        <w:t>预算数</w:t>
      </w:r>
      <w:r>
        <w:rPr>
          <w:rFonts w:hint="eastAsia" w:ascii="仿宋_GB2312" w:hAnsi="仿宋_GB2312" w:eastAsia="仿宋_GB2312" w:cs="仿宋_GB2312"/>
          <w:color w:val="auto"/>
          <w:sz w:val="32"/>
          <w:szCs w:val="32"/>
          <w:shd w:val="clear" w:color="auto" w:fill="auto"/>
          <w:lang w:val="en-US" w:eastAsia="zh-CN"/>
        </w:rPr>
        <w:t>1300</w:t>
      </w:r>
      <w:r>
        <w:rPr>
          <w:rFonts w:hint="eastAsia" w:ascii="仿宋_GB2312" w:hAnsi="仿宋_GB2312" w:eastAsia="仿宋_GB2312" w:cs="仿宋_GB2312"/>
          <w:color w:val="auto"/>
          <w:sz w:val="32"/>
          <w:szCs w:val="32"/>
          <w:shd w:val="clear" w:color="auto" w:fill="auto"/>
        </w:rPr>
        <w:t>万元，</w:t>
      </w:r>
      <w:r>
        <w:rPr>
          <w:rFonts w:hint="eastAsia" w:ascii="仿宋_GB2312" w:hAnsi="仿宋_GB2312" w:eastAsia="仿宋_GB2312" w:cs="仿宋_GB2312"/>
          <w:color w:val="auto"/>
          <w:sz w:val="32"/>
          <w:szCs w:val="32"/>
        </w:rPr>
        <w:t>预算执行率为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主要</w:t>
      </w:r>
      <w:r>
        <w:rPr>
          <w:rFonts w:hint="eastAsia" w:ascii="仿宋_GB2312" w:hAnsi="仿宋_GB2312" w:eastAsia="仿宋_GB2312" w:cs="仿宋_GB2312"/>
          <w:color w:val="auto"/>
          <w:sz w:val="32"/>
          <w:szCs w:val="32"/>
        </w:rPr>
        <w:t>用于：</w:t>
      </w:r>
      <w:r>
        <w:rPr>
          <w:rFonts w:hint="eastAsia" w:ascii="仿宋_GB2312" w:hAnsi="仿宋_GB2312" w:eastAsia="仿宋_GB2312" w:cs="仿宋_GB2312"/>
          <w:color w:val="auto"/>
          <w:sz w:val="32"/>
          <w:szCs w:val="32"/>
          <w:lang w:eastAsia="zh-CN"/>
        </w:rPr>
        <w:t>项目工程款。项目建设成本≤</w:t>
      </w:r>
      <w:r>
        <w:rPr>
          <w:rFonts w:hint="eastAsia" w:ascii="仿宋_GB2312" w:hAnsi="仿宋_GB2312" w:eastAsia="仿宋_GB2312" w:cs="仿宋_GB2312"/>
          <w:color w:val="auto"/>
          <w:sz w:val="32"/>
          <w:szCs w:val="32"/>
          <w:lang w:val="en-US" w:eastAsia="zh-CN"/>
        </w:rPr>
        <w:t>2446.56元/平方米，支付比例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23.26%</w:t>
      </w:r>
      <w:r>
        <w:rPr>
          <w:rFonts w:hint="eastAsia" w:ascii="仿宋_GB2312" w:hAnsi="仿宋_GB2312" w:eastAsia="仿宋_GB2312" w:cs="仿宋_GB2312"/>
          <w:color w:val="auto"/>
          <w:sz w:val="32"/>
          <w:szCs w:val="32"/>
        </w:rPr>
        <w:t>。</w:t>
      </w:r>
      <w:bookmarkStart w:id="2" w:name="_Toc68703829"/>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sz w:val="32"/>
          <w:szCs w:val="32"/>
        </w:rPr>
      </w:pPr>
      <w:r>
        <w:rPr>
          <w:rFonts w:hint="eastAsia" w:ascii="Times New Roman" w:hAnsi="Times New Roman" w:eastAsia="仿宋_GB2312" w:cs="Times New Roman"/>
          <w:b w:val="0"/>
          <w:bCs w:val="0"/>
          <w:sz w:val="32"/>
          <w:szCs w:val="32"/>
          <w:lang w:val="en-US" w:eastAsia="zh-CN"/>
        </w:rPr>
        <w:t>1.总体目标：建设霍尔果斯中等职业学校，可满足学生的学习环境要求。为加快推进霍尔果斯市城市基础设施建设，进一步改善民生、促进社会和谐稳步发展。项目在建设和运行中选用高效节能设备和产品，加强节能管理，提高资源利用效率。</w:t>
      </w:r>
    </w:p>
    <w:p>
      <w:pPr>
        <w:spacing w:line="560" w:lineRule="exact"/>
        <w:rPr>
          <w:rFonts w:hint="eastAsia" w:ascii="Times New Roman" w:hAnsi="Times New Roman" w:eastAsia="仿宋_GB2312" w:cs="Times New Roman"/>
          <w:b w:val="0"/>
          <w:bCs w:val="0"/>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ascii="Times New Roman" w:hAnsi="Times New Roman" w:eastAsia="仿宋_GB2312" w:cs="Times New Roman"/>
          <w:b w:val="0"/>
          <w:bCs w:val="0"/>
          <w:sz w:val="32"/>
          <w:szCs w:val="32"/>
          <w:lang w:val="en-US" w:eastAsia="zh-CN"/>
        </w:rPr>
        <w:t>2023年已完成霍尔果斯中等职业学校建设项目。进一步改善民生、促进社会和谐稳步发展。</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仿宋_GB2312" w:hAnsi="仿宋_GB2312" w:eastAsia="仿宋_GB2312" w:cs="仿宋_GB2312"/>
          <w:sz w:val="32"/>
          <w:szCs w:val="32"/>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霍尔果斯市中等职业学校建设项目所包含的全部项目内容。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宋体" w:hAnsi="宋体" w:eastAsia="宋体" w:cs="宋体"/>
          <w:kern w:val="0"/>
          <w:sz w:val="32"/>
          <w:szCs w:val="32"/>
          <w:lang w:eastAsia="zh-CN"/>
        </w:rPr>
        <w:t>中等职业学校建设</w:t>
      </w:r>
      <w:r>
        <w:rPr>
          <w:rFonts w:hint="eastAsia" w:ascii="宋体" w:hAnsi="宋体" w:eastAsia="宋体" w:cs="宋体"/>
          <w:kern w:val="0"/>
          <w:sz w:val="32"/>
          <w:szCs w:val="32"/>
        </w:rPr>
        <w:t>项目</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firstLineChars="200"/>
        <w:rPr>
          <w:rFonts w:hint="eastAsia"/>
          <w:bCs/>
          <w:color w:val="000000" w:themeColor="text1"/>
          <w:sz w:val="32"/>
          <w:szCs w:val="32"/>
          <w:lang w:val="en-US" w:eastAsia="zh-CN"/>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计划标准。</w:t>
      </w:r>
      <w:bookmarkStart w:id="6" w:name="_Toc17882"/>
      <w:bookmarkStart w:id="7" w:name="_Toc31464"/>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计划标准：指以预先制定的目标、计划、预算、定额等作为评价标准。</w:t>
      </w:r>
      <w:bookmarkEnd w:id="6"/>
      <w:bookmarkEnd w:id="7"/>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3"/>
      <w:r>
        <w:rPr>
          <w:rFonts w:hint="eastAsia" w:ascii="Times New Roman" w:hAnsi="Times New Roman" w:eastAsia="楷体_GB2312" w:cs="Times New Roman"/>
          <w:b/>
          <w:bCs/>
          <w:kern w:val="2"/>
          <w:sz w:val="32"/>
          <w:szCs w:val="32"/>
          <w:lang w:val="en-US" w:eastAsia="zh-CN" w:bidi="ar-SA"/>
        </w:rPr>
        <w:t>（三）绩效评价工作过程</w:t>
      </w:r>
      <w:bookmarkEnd w:id="8"/>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9"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9"/>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0" w:name="_Toc68703835"/>
      <w:r>
        <w:rPr>
          <w:rFonts w:hint="eastAsia" w:ascii="Times New Roman" w:hAnsi="Times New Roman" w:eastAsia="楷体_GB2312" w:cs="Times New Roman"/>
          <w:b/>
          <w:bCs/>
          <w:kern w:val="2"/>
          <w:sz w:val="32"/>
          <w:szCs w:val="32"/>
          <w:lang w:val="en-US" w:eastAsia="zh-CN" w:bidi="ar-SA"/>
        </w:rPr>
        <w:t>（一）综合评价情况</w:t>
      </w:r>
      <w:bookmarkEnd w:id="10"/>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lang w:val="en-US" w:eastAsia="zh-CN"/>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1" w:name="_Toc68703836"/>
      <w:r>
        <w:rPr>
          <w:rFonts w:hint="eastAsia" w:ascii="Times New Roman" w:hAnsi="Times New Roman" w:eastAsia="楷体_GB2312" w:cs="Times New Roman"/>
          <w:b/>
          <w:bCs/>
          <w:kern w:val="2"/>
          <w:sz w:val="32"/>
          <w:szCs w:val="32"/>
          <w:lang w:val="en-US" w:eastAsia="zh-CN" w:bidi="ar-SA"/>
        </w:rPr>
        <w:t>（二）评价结论</w:t>
      </w:r>
      <w:bookmarkEnd w:id="11"/>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b w:val="0"/>
          <w:bCs w:val="0"/>
          <w:lang w:eastAsia="zh-CN"/>
        </w:rPr>
        <w:t>　　</w:t>
      </w:r>
      <w:r>
        <w:rPr>
          <w:rFonts w:hint="eastAsia" w:ascii="Times New Roman" w:hAnsi="Times New Roman" w:eastAsia="仿宋_GB2312" w:cs="Times New Roman"/>
          <w:b w:val="0"/>
          <w:bCs w:val="0"/>
          <w:kern w:val="2"/>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 100%。项目过程类指标权重为20分，得分为20分，得分率为100%。项目产出类指标权重为40分，得分为40分，得分率为100%。项目效益类指标权重为20分，得分为20分，得分率为100%。具体打分情况详见：附件1综合评分表。</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2" w:name="_Toc68703837"/>
      <w:r>
        <w:rPr>
          <w:rFonts w:hint="eastAsia" w:ascii="Times New Roman" w:hAnsi="Times New Roman" w:eastAsia="黑体" w:cs="Times New Roman"/>
          <w:bCs/>
          <w:sz w:val="32"/>
          <w:szCs w:val="32"/>
          <w:lang w:val="en-US" w:eastAsia="zh-CN"/>
        </w:rPr>
        <w:t>四、绩效评价指标分析</w:t>
      </w:r>
      <w:bookmarkEnd w:id="12"/>
    </w:p>
    <w:p>
      <w:pPr>
        <w:spacing w:line="560" w:lineRule="exact"/>
        <w:rPr>
          <w:rFonts w:hint="eastAsia" w:ascii="Times New Roman" w:hAnsi="Times New Roman" w:eastAsia="楷体_GB2312" w:cs="Times New Roman"/>
          <w:b/>
          <w:bCs/>
          <w:kern w:val="2"/>
          <w:sz w:val="32"/>
          <w:szCs w:val="32"/>
          <w:lang w:val="en-US" w:eastAsia="zh-CN" w:bidi="ar-SA"/>
        </w:rPr>
      </w:pPr>
      <w:bookmarkStart w:id="13" w:name="_Toc68703838"/>
      <w:r>
        <w:rPr>
          <w:rFonts w:hint="eastAsia" w:ascii="Times New Roman" w:hAnsi="Times New Roman" w:eastAsia="楷体_GB2312" w:cs="Times New Roman"/>
          <w:b/>
          <w:bCs/>
          <w:kern w:val="2"/>
          <w:sz w:val="32"/>
          <w:szCs w:val="32"/>
          <w:lang w:val="en-US" w:eastAsia="zh-CN" w:bidi="ar-SA"/>
        </w:rPr>
        <w:t>（一）项目决策情况</w:t>
      </w:r>
      <w:bookmarkEnd w:id="13"/>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b w:val="0"/>
          <w:bCs w:val="0"/>
          <w:sz w:val="32"/>
          <w:szCs w:val="32"/>
          <w:lang w:val="en-US" w:eastAsia="zh-CN"/>
        </w:rPr>
        <w:t>　　</w:t>
      </w:r>
      <w:r>
        <w:rPr>
          <w:rFonts w:hint="eastAsia" w:ascii="Times New Roman" w:hAnsi="Times New Roman" w:eastAsia="仿宋_GB2312" w:cs="Times New Roman"/>
          <w:b w:val="0"/>
          <w:bCs w:val="0"/>
          <w:kern w:val="2"/>
          <w:sz w:val="32"/>
          <w:szCs w:val="32"/>
          <w:lang w:val="en-US" w:eastAsia="zh-CN" w:bidi="ar-SA"/>
        </w:rPr>
        <w:t>项目决策类指标包括项目立项、绩效目标和资金投入三方面的内容，由6个三级指标构成，权重分值为20分，实际得分20分，得分率为100%。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　　</w:t>
      </w:r>
      <w:r>
        <w:rPr>
          <w:rFonts w:hint="eastAsia" w:ascii="Times New Roman" w:hAnsi="Times New Roman" w:eastAsia="仿宋_GB2312" w:cs="Times New Roman"/>
          <w:b w:val="0"/>
          <w:bCs w:val="0"/>
          <w:kern w:val="2"/>
          <w:sz w:val="32"/>
          <w:szCs w:val="32"/>
          <w:lang w:val="en-US" w:eastAsia="zh-CN" w:bidi="ar-SA"/>
        </w:rPr>
        <w:t>（1）立项依据充分性</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　　</w:t>
      </w:r>
      <w:r>
        <w:rPr>
          <w:rFonts w:hint="eastAsia" w:ascii="Times New Roman" w:hAnsi="Times New Roman" w:eastAsia="仿宋_GB2312" w:cs="Times New Roman"/>
          <w:b w:val="0"/>
          <w:bCs w:val="0"/>
          <w:kern w:val="2"/>
          <w:sz w:val="32"/>
          <w:szCs w:val="32"/>
          <w:lang w:val="en-US" w:eastAsia="zh-CN" w:bidi="ar-SA"/>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　　</w:t>
      </w:r>
      <w:r>
        <w:rPr>
          <w:rFonts w:hint="eastAsia" w:ascii="Times New Roman" w:hAnsi="Times New Roman" w:eastAsia="仿宋_GB2312" w:cs="Times New Roman"/>
          <w:b w:val="0"/>
          <w:bCs w:val="0"/>
          <w:kern w:val="2"/>
          <w:sz w:val="32"/>
          <w:szCs w:val="32"/>
          <w:lang w:val="en-US" w:eastAsia="zh-CN" w:bidi="ar-SA"/>
        </w:rPr>
        <w:t>2.立项程序规范性</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　　</w:t>
      </w:r>
      <w:r>
        <w:rPr>
          <w:rFonts w:hint="eastAsia" w:ascii="Times New Roman" w:hAnsi="Times New Roman" w:eastAsia="仿宋_GB2312" w:cs="Times New Roman"/>
          <w:b w:val="0"/>
          <w:bCs w:val="0"/>
          <w:kern w:val="2"/>
          <w:sz w:val="32"/>
          <w:szCs w:val="32"/>
          <w:lang w:val="en-US" w:eastAsia="zh-CN" w:bidi="ar-SA"/>
        </w:rPr>
        <w:t>项目申请、设立过程符合相关要求，</w:t>
      </w:r>
      <w:r>
        <w:rPr>
          <w:rFonts w:hint="eastAsia" w:ascii="Times New Roman" w:hAnsi="Times New Roman" w:eastAsia="仿宋_GB2312" w:cs="Times New Roman"/>
          <w:b w:val="0"/>
          <w:bCs w:val="0"/>
          <w:kern w:val="2"/>
          <w:sz w:val="32"/>
          <w:szCs w:val="32"/>
          <w:lang w:val="en-US" w:eastAsia="zh-Hans" w:bidi="ar-SA"/>
        </w:rPr>
        <w:t>严格按照审批流程准备符合要求的文件、材料；</w:t>
      </w:r>
      <w:r>
        <w:rPr>
          <w:rFonts w:hint="eastAsia" w:ascii="Times New Roman" w:hAnsi="Times New Roman" w:eastAsia="仿宋_GB2312" w:cs="Times New Roman"/>
          <w:b w:val="0"/>
          <w:bCs w:val="0"/>
          <w:kern w:val="2"/>
          <w:sz w:val="32"/>
          <w:szCs w:val="32"/>
          <w:lang w:val="en-US" w:eastAsia="zh-CN" w:bidi="ar-SA"/>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　　</w:t>
      </w:r>
      <w:r>
        <w:rPr>
          <w:rFonts w:hint="eastAsia" w:ascii="Times New Roman" w:hAnsi="Times New Roman" w:eastAsia="仿宋_GB2312" w:cs="Times New Roman"/>
          <w:b w:val="0"/>
          <w:bCs w:val="0"/>
          <w:kern w:val="2"/>
          <w:sz w:val="32"/>
          <w:szCs w:val="32"/>
          <w:lang w:val="en-US" w:eastAsia="zh-CN" w:bidi="ar-SA"/>
        </w:rPr>
        <w:t>（1）绩效目标合理性</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　　</w:t>
      </w:r>
      <w:r>
        <w:rPr>
          <w:rFonts w:hint="eastAsia" w:ascii="Times New Roman" w:hAnsi="Times New Roman" w:eastAsia="仿宋_GB2312" w:cs="Times New Roman"/>
          <w:b w:val="0"/>
          <w:bCs w:val="0"/>
          <w:kern w:val="2"/>
          <w:sz w:val="32"/>
          <w:szCs w:val="32"/>
          <w:lang w:val="en-US" w:eastAsia="zh-Hans" w:bidi="ar-SA"/>
        </w:rPr>
        <w:t>年初结合实际工作内容</w:t>
      </w:r>
      <w:r>
        <w:rPr>
          <w:rFonts w:hint="eastAsia" w:ascii="Times New Roman" w:hAnsi="Times New Roman" w:eastAsia="仿宋_GB2312" w:cs="Times New Roman"/>
          <w:b w:val="0"/>
          <w:bCs w:val="0"/>
          <w:kern w:val="2"/>
          <w:sz w:val="32"/>
          <w:szCs w:val="32"/>
          <w:lang w:val="en-US" w:eastAsia="zh-CN" w:bidi="ar-SA"/>
        </w:rPr>
        <w:t>设定绩效目标</w:t>
      </w:r>
      <w:r>
        <w:rPr>
          <w:rFonts w:hint="eastAsia" w:ascii="Times New Roman" w:hAnsi="Times New Roman" w:eastAsia="仿宋_GB2312" w:cs="Times New Roman"/>
          <w:b w:val="0"/>
          <w:bCs w:val="0"/>
          <w:kern w:val="2"/>
          <w:sz w:val="32"/>
          <w:szCs w:val="32"/>
          <w:lang w:val="en-US" w:eastAsia="zh-Hans" w:bidi="ar-SA"/>
        </w:rPr>
        <w:t>，绩效目标</w:t>
      </w:r>
      <w:r>
        <w:rPr>
          <w:rFonts w:hint="eastAsia" w:ascii="Times New Roman" w:hAnsi="Times New Roman" w:eastAsia="仿宋_GB2312" w:cs="Times New Roman"/>
          <w:b w:val="0"/>
          <w:bCs w:val="0"/>
          <w:kern w:val="2"/>
          <w:sz w:val="32"/>
          <w:szCs w:val="32"/>
          <w:lang w:val="en-US" w:eastAsia="zh-CN" w:bidi="ar-SA"/>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bookmarkStart w:id="14" w:name="_Hlk68699917"/>
      <w:r>
        <w:rPr>
          <w:rFonts w:hint="eastAsia" w:cs="Times New Roman"/>
          <w:b w:val="0"/>
          <w:bCs w:val="0"/>
          <w:kern w:val="2"/>
          <w:sz w:val="32"/>
          <w:szCs w:val="32"/>
          <w:lang w:val="en-US" w:eastAsia="zh-CN" w:bidi="ar-SA"/>
        </w:rPr>
        <w:t>　　</w:t>
      </w:r>
      <w:r>
        <w:rPr>
          <w:rFonts w:hint="eastAsia" w:ascii="Times New Roman" w:hAnsi="Times New Roman" w:eastAsia="仿宋_GB2312" w:cs="Times New Roman"/>
          <w:b w:val="0"/>
          <w:bCs w:val="0"/>
          <w:kern w:val="2"/>
          <w:sz w:val="32"/>
          <w:szCs w:val="32"/>
          <w:lang w:val="en-US" w:eastAsia="zh-CN" w:bidi="ar-SA"/>
        </w:rPr>
        <w:t>（2）绩效指标明确性</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　　</w:t>
      </w:r>
      <w:r>
        <w:rPr>
          <w:rFonts w:hint="eastAsia" w:ascii="Times New Roman" w:hAnsi="Times New Roman" w:eastAsia="仿宋_GB2312" w:cs="Times New Roman"/>
          <w:b w:val="0"/>
          <w:bCs w:val="0"/>
          <w:kern w:val="2"/>
          <w:sz w:val="32"/>
          <w:szCs w:val="32"/>
          <w:lang w:val="en-US" w:eastAsia="zh-CN" w:bidi="ar-SA"/>
        </w:rPr>
        <w:t>项目设置了明确的预期产出效益和效果，将绩效目标细化分解为具体的绩效指标，绩效目标与项目目标任务数相对应，绩效目标设定的绩效指标清晰、细化、可衡量。</w:t>
      </w:r>
    </w:p>
    <w:bookmarkEnd w:id="14"/>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Times New Roman"/>
          <w:b w:val="0"/>
          <w:bCs w:val="0"/>
          <w:kern w:val="2"/>
          <w:sz w:val="32"/>
          <w:szCs w:val="32"/>
          <w:lang w:val="en-US" w:eastAsia="zh-CN" w:bidi="ar-SA"/>
        </w:rPr>
        <w:t>1）预算编制科学性</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　　</w:t>
      </w:r>
      <w:r>
        <w:rPr>
          <w:rFonts w:hint="eastAsia" w:ascii="Times New Roman" w:hAnsi="Times New Roman" w:eastAsia="仿宋_GB2312" w:cs="Times New Roman"/>
          <w:b w:val="0"/>
          <w:bCs w:val="0"/>
          <w:kern w:val="2"/>
          <w:sz w:val="32"/>
          <w:szCs w:val="32"/>
          <w:lang w:val="en-US" w:eastAsia="zh-CN" w:bidi="ar-SA"/>
        </w:rPr>
        <w:t>预算编制经过科学论证，提供充分的测算依据佐证资料，预算内容与项目内容相匹配。项目投资额与工作任务相匹配。</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　</w:t>
      </w:r>
      <w:r>
        <w:rPr>
          <w:rFonts w:hint="eastAsia" w:ascii="Times New Roman" w:hAnsi="Times New Roman" w:eastAsia="仿宋_GB2312" w:cs="Times New Roman"/>
          <w:b w:val="0"/>
          <w:bCs w:val="0"/>
          <w:kern w:val="2"/>
          <w:sz w:val="32"/>
          <w:szCs w:val="32"/>
          <w:lang w:val="en-US" w:eastAsia="zh-CN" w:bidi="ar-SA"/>
        </w:rPr>
        <w:t>（2）资金分配合理性</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Times New Roman"/>
          <w:b w:val="0"/>
          <w:bCs w:val="0"/>
          <w:kern w:val="2"/>
          <w:sz w:val="32"/>
          <w:szCs w:val="32"/>
          <w:lang w:val="en-US" w:eastAsia="zh-CN" w:bidi="ar-SA"/>
        </w:rPr>
      </w:pPr>
      <w:r>
        <w:rPr>
          <w:rFonts w:hint="eastAsia" w:cs="Times New Roman"/>
          <w:b w:val="0"/>
          <w:bCs w:val="0"/>
          <w:kern w:val="2"/>
          <w:sz w:val="32"/>
          <w:szCs w:val="32"/>
          <w:lang w:val="en-US" w:eastAsia="zh-CN" w:bidi="ar-SA"/>
        </w:rPr>
        <w:t>　　</w:t>
      </w:r>
      <w:r>
        <w:rPr>
          <w:rFonts w:hint="eastAsia" w:ascii="Times New Roman" w:hAnsi="Times New Roman" w:eastAsia="仿宋_GB2312" w:cs="Times New Roman"/>
          <w:b w:val="0"/>
          <w:bCs w:val="0"/>
          <w:kern w:val="2"/>
          <w:sz w:val="32"/>
          <w:szCs w:val="32"/>
          <w:lang w:val="en-US" w:eastAsia="zh-CN" w:bidi="ar-SA"/>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项目过程类指标包括资金管理和组织实施两方面的内容，由5个三级指标构成，权重分值为20分，实际得分20分，得分率为100%。</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1.资金管理</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（1）资金到位率</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本项目总投资1300万元，财政资金及时足额到位，到位率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预算资金按计划进度执行。</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（2）预算执行率</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预算编制较为详细，项目资金支出总体能够按照预算执行，预算资金支出1300万元，预算执行率为100%。</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（3）资金使用合规性</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（1）管理制度健全性</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（2）制度执行有效性</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numId w:val="0"/>
        </w:numPr>
        <w:rPr>
          <w:rFonts w:hint="eastAsia" w:ascii="Times New Roman" w:hAnsi="Times New Roman" w:eastAsia="楷体_GB2312" w:cs="Times New Roman"/>
          <w:b/>
          <w:bCs/>
          <w:kern w:val="2"/>
          <w:sz w:val="32"/>
          <w:szCs w:val="32"/>
          <w:lang w:val="en-US" w:eastAsia="zh-CN" w:bidi="ar-SA"/>
        </w:rPr>
      </w:pPr>
      <w:bookmarkStart w:id="15" w:name="_Toc68703840"/>
      <w:r>
        <w:rPr>
          <w:rFonts w:hint="eastAsia" w:ascii="Times New Roman" w:hAnsi="Times New Roman" w:eastAsia="楷体_GB2312" w:cs="Times New Roman"/>
          <w:b/>
          <w:bCs/>
          <w:kern w:val="2"/>
          <w:sz w:val="32"/>
          <w:szCs w:val="32"/>
          <w:lang w:val="en-US" w:eastAsia="zh-CN" w:bidi="ar-SA"/>
        </w:rPr>
        <w:t>（三）项目产出情况</w:t>
      </w:r>
      <w:bookmarkEnd w:id="15"/>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项目产出类指标包括产出数量、产出质量、产出时效、产出成本四方面的内容，由9个三级指标构成，权重分为60分，实际得分60分，得分率为100%。具体产出指标完成情况如下：</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数量指标：</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指标1：建设教学楼建筑总面积，指标值：&gt;=22000平方米，实际完成值：22847.89平方米，指标完成率103.85%，偏差原因：3%，因前期设置指标值数据有误，现按照实际建设教学楼建筑总面积填写。</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指标2：建设教学楼学校个数，指标值：1所，实际完成值：1所，指标完成率100%。</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质量指标：</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指标1：验收合格率，指标值：100%，实际完成值：100%，指标完成率100%。　</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指标2：项目资金支付率，指标值：&gt;=20%，实际完成值：100%，指标完成率500%，偏差原因：因前期设置指标值数据有误，现按照实际完成值填写。</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指标3：设计变更率，指标值：&lt;=5%，实际完成值：100%，指标完成率100%。　</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时效指标：</w:t>
      </w:r>
    </w:p>
    <w:p>
      <w:pPr>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FF0000"/>
          <w:sz w:val="32"/>
          <w:szCs w:val="32"/>
          <w:lang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指标1：项目按计划开工时间，指标值：2023年4月30日之</w:t>
      </w:r>
      <w:r>
        <w:rPr>
          <w:rFonts w:hint="eastAsia" w:ascii="仿宋_GB2312" w:hAnsi="仿宋_GB2312" w:eastAsia="仿宋_GB2312" w:cs="仿宋_GB2312"/>
          <w:sz w:val="32"/>
          <w:szCs w:val="32"/>
        </w:rPr>
        <w:t>前</w:t>
      </w:r>
      <w:r>
        <w:rPr>
          <w:rFonts w:hint="eastAsia" w:ascii="仿宋_GB2312" w:hAnsi="仿宋_GB2312" w:eastAsia="仿宋_GB2312" w:cs="仿宋_GB2312"/>
          <w:color w:val="auto"/>
          <w:sz w:val="32"/>
          <w:szCs w:val="32"/>
        </w:rPr>
        <w:t>，实际完成值</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2023年4月30日之前</w:t>
      </w:r>
      <w:r>
        <w:rPr>
          <w:rFonts w:hint="eastAsia" w:ascii="仿宋_GB2312" w:hAnsi="仿宋_GB2312" w:eastAsia="仿宋_GB2312" w:cs="仿宋_GB2312"/>
          <w:color w:val="auto"/>
          <w:sz w:val="32"/>
          <w:szCs w:val="32"/>
        </w:rPr>
        <w:t>，指标完成率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color w:val="auto"/>
          <w:sz w:val="32"/>
          <w:szCs w:val="32"/>
        </w:rPr>
        <w:t>指标2：</w:t>
      </w:r>
      <w:r>
        <w:t>项目按计划竣工时间</w:t>
      </w:r>
      <w:r>
        <w:rPr>
          <w:rFonts w:hint="eastAsia"/>
          <w:lang w:eastAsia="zh-CN"/>
        </w:rPr>
        <w:t>，</w:t>
      </w:r>
      <w:r>
        <w:rPr>
          <w:rFonts w:hint="eastAsia"/>
          <w:color w:val="auto"/>
          <w:sz w:val="32"/>
          <w:szCs w:val="32"/>
        </w:rPr>
        <w:t>指标值：</w:t>
      </w:r>
      <w:r>
        <w:t>2023年11月29日</w:t>
      </w:r>
      <w:r>
        <w:rPr>
          <w:rFonts w:hint="eastAsia"/>
          <w:color w:val="auto"/>
          <w:sz w:val="32"/>
          <w:szCs w:val="32"/>
        </w:rPr>
        <w:t>，实际完成值</w:t>
      </w:r>
      <w:r>
        <w:rPr>
          <w:rFonts w:hint="eastAsia"/>
          <w:color w:val="auto"/>
          <w:sz w:val="32"/>
          <w:szCs w:val="32"/>
          <w:lang w:eastAsia="zh-CN"/>
        </w:rPr>
        <w:t>：</w:t>
      </w:r>
      <w:r>
        <w:t>2023年11月29日之前</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　</w:t>
      </w:r>
      <w:bookmarkStart w:id="16" w:name="_Toc68703841"/>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color w:val="auto"/>
          <w:sz w:val="32"/>
          <w:szCs w:val="32"/>
        </w:rPr>
        <w:t>指标1：</w:t>
      </w:r>
      <w:r>
        <w:t>项目建设成本</w:t>
      </w:r>
      <w:r>
        <w:rPr>
          <w:rFonts w:hint="eastAsia"/>
          <w:lang w:eastAsia="zh-CN"/>
        </w:rPr>
        <w:t>，</w:t>
      </w:r>
      <w:r>
        <w:rPr>
          <w:rFonts w:hint="eastAsia"/>
          <w:color w:val="auto"/>
          <w:sz w:val="32"/>
          <w:szCs w:val="32"/>
        </w:rPr>
        <w:t>指标值：</w:t>
      </w:r>
      <w:r>
        <w:t>&lt;=2446.56元/平方米</w:t>
      </w:r>
      <w:r>
        <w:rPr>
          <w:rFonts w:hint="eastAsia"/>
          <w:color w:val="auto"/>
          <w:sz w:val="32"/>
          <w:szCs w:val="32"/>
        </w:rPr>
        <w:t>，实际完成值</w:t>
      </w:r>
      <w:r>
        <w:rPr>
          <w:rFonts w:hint="eastAsia"/>
          <w:color w:val="auto"/>
          <w:sz w:val="32"/>
          <w:szCs w:val="32"/>
          <w:lang w:eastAsia="zh-CN"/>
        </w:rPr>
        <w:t>：</w:t>
      </w:r>
      <w:r>
        <w:t>&lt;=2446.56元/平方米</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b w:val="0"/>
          <w:bCs w:val="0"/>
          <w:lang w:eastAsia="zh-CN"/>
        </w:rPr>
      </w:pPr>
      <w:r>
        <w:rPr>
          <w:rFonts w:hint="eastAsia" w:ascii="仿宋_GB2312" w:hAnsi="仿宋_GB2312" w:eastAsia="仿宋_GB2312" w:cs="仿宋_GB2312"/>
          <w:b w:val="0"/>
          <w:bCs w:val="0"/>
          <w:color w:val="auto"/>
          <w:sz w:val="32"/>
          <w:szCs w:val="32"/>
        </w:rPr>
        <w:t>指标</w:t>
      </w: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rPr>
        <w:t>支付比例</w:t>
      </w:r>
      <w:r>
        <w:rPr>
          <w:rFonts w:hint="eastAsia" w:ascii="仿宋_GB2312" w:hAnsi="仿宋_GB2312" w:eastAsia="仿宋_GB2312" w:cs="仿宋_GB2312"/>
          <w:b w:val="0"/>
          <w:bCs w:val="0"/>
          <w:lang w:eastAsia="zh-CN"/>
        </w:rPr>
        <w:t>，</w:t>
      </w:r>
      <w:r>
        <w:rPr>
          <w:rFonts w:hint="eastAsia"/>
          <w:color w:val="auto"/>
          <w:sz w:val="32"/>
          <w:szCs w:val="32"/>
        </w:rPr>
        <w:t>指标值：</w:t>
      </w:r>
      <w:r>
        <w:t>&lt;=23.26%</w:t>
      </w:r>
      <w:r>
        <w:rPr>
          <w:rFonts w:hint="eastAsia"/>
        </w:rPr>
        <w:t>，</w:t>
      </w:r>
      <w:r>
        <w:rPr>
          <w:rFonts w:hint="eastAsia"/>
          <w:color w:val="auto"/>
          <w:sz w:val="32"/>
          <w:szCs w:val="32"/>
        </w:rPr>
        <w:t>实际完成值</w:t>
      </w:r>
      <w:r>
        <w:rPr>
          <w:rFonts w:hint="eastAsia"/>
          <w:color w:val="auto"/>
          <w:sz w:val="32"/>
          <w:szCs w:val="32"/>
          <w:lang w:eastAsia="zh-CN"/>
        </w:rPr>
        <w:t>：</w:t>
      </w:r>
      <w:r>
        <w:t>&lt;=23.26%</w:t>
      </w:r>
      <w:r>
        <w:rPr>
          <w:rFonts w:hint="eastAsia"/>
        </w:rPr>
        <w:t>，</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6"/>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olor w:val="auto"/>
          <w:sz w:val="32"/>
          <w:szCs w:val="32"/>
          <w:lang w:val="en-US" w:eastAsia="zh-CN"/>
        </w:rPr>
      </w:pPr>
      <w:r>
        <w:rPr>
          <w:rFonts w:hint="eastAsia"/>
          <w:color w:val="auto"/>
          <w:sz w:val="32"/>
          <w:szCs w:val="32"/>
          <w:lang w:val="en-US" w:eastAsia="zh-CN"/>
        </w:rPr>
        <w:t>项目效益类指标包括项目实施效益和满意度两方面的内容，由2个三级指标构成，权重分为30分，实际得分30分，得分率为100%。具体效益指标及满意度指标完成情况如下：</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1.实施效益</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lang w:val="en-US" w:eastAsia="zh-CN"/>
        </w:rPr>
        <w:t>①</w:t>
      </w:r>
      <w:r>
        <w:rPr>
          <w:rFonts w:hint="eastAsia"/>
          <w:color w:val="auto"/>
          <w:sz w:val="32"/>
          <w:szCs w:val="32"/>
        </w:rPr>
        <w:t>社会效益指标：提升学校教学环境</w:t>
      </w:r>
      <w:r>
        <w:rPr>
          <w:rFonts w:hint="eastAsia"/>
          <w:color w:val="auto"/>
          <w:sz w:val="32"/>
          <w:szCs w:val="32"/>
          <w:lang w:eastAsia="zh-CN"/>
        </w:rPr>
        <w:t>，</w:t>
      </w:r>
      <w:r>
        <w:rPr>
          <w:rFonts w:hint="eastAsia"/>
          <w:color w:val="auto"/>
          <w:sz w:val="32"/>
          <w:szCs w:val="32"/>
        </w:rPr>
        <w:t>指标值：</w:t>
      </w:r>
      <w:r>
        <w:rPr>
          <w:rFonts w:hint="eastAsia"/>
          <w:color w:val="auto"/>
          <w:sz w:val="32"/>
          <w:szCs w:val="32"/>
          <w:lang w:eastAsia="zh-CN"/>
        </w:rPr>
        <w:t>有效提升，</w:t>
      </w:r>
      <w:r>
        <w:rPr>
          <w:rFonts w:hint="eastAsia"/>
          <w:color w:val="auto"/>
          <w:sz w:val="32"/>
          <w:szCs w:val="32"/>
        </w:rPr>
        <w:t>实际完成值</w:t>
      </w:r>
      <w:r>
        <w:rPr>
          <w:rFonts w:hint="eastAsia"/>
          <w:color w:val="auto"/>
          <w:sz w:val="32"/>
          <w:szCs w:val="32"/>
          <w:lang w:eastAsia="zh-CN"/>
        </w:rPr>
        <w:t>：有效提升</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lang w:val="en-US" w:eastAsia="zh-CN"/>
        </w:rPr>
        <w:t>2.满意度</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color w:val="auto"/>
          <w:sz w:val="32"/>
          <w:szCs w:val="32"/>
          <w:lang w:val="en-US" w:eastAsia="zh-CN"/>
        </w:rPr>
        <w:t>满意度指标：</w:t>
      </w:r>
      <w:r>
        <w:rPr>
          <w:rFonts w:hint="eastAsia"/>
          <w:color w:val="auto"/>
          <w:sz w:val="32"/>
          <w:szCs w:val="32"/>
        </w:rPr>
        <w:t>师生满意度</w:t>
      </w:r>
      <w:r>
        <w:rPr>
          <w:rFonts w:hint="eastAsia"/>
          <w:color w:val="auto"/>
          <w:sz w:val="32"/>
          <w:szCs w:val="32"/>
          <w:lang w:eastAsia="zh-CN"/>
        </w:rPr>
        <w:t>，</w:t>
      </w:r>
      <w:r>
        <w:rPr>
          <w:rFonts w:hint="eastAsia"/>
          <w:color w:val="auto"/>
          <w:sz w:val="32"/>
          <w:szCs w:val="32"/>
        </w:rPr>
        <w:t>指标值：&gt;=95%，实际完成值</w:t>
      </w:r>
      <w:r>
        <w:rPr>
          <w:rFonts w:hint="eastAsia"/>
          <w:color w:val="auto"/>
          <w:sz w:val="32"/>
          <w:szCs w:val="32"/>
          <w:lang w:eastAsia="zh-CN"/>
        </w:rPr>
        <w:t>：</w:t>
      </w:r>
      <w:r>
        <w:rPr>
          <w:rFonts w:hint="eastAsia"/>
          <w:color w:val="auto"/>
          <w:sz w:val="32"/>
          <w:szCs w:val="32"/>
        </w:rPr>
        <w:t>95%，指标完成率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　</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shd w:val="clear" w:color="auto" w:fill="auto"/>
        </w:rPr>
      </w:pPr>
      <w:r>
        <w:rPr>
          <w:rFonts w:hint="eastAsia" w:ascii="仿宋_GB2312" w:hAnsi="仿宋_GB2312" w:eastAsia="仿宋_GB2312" w:cs="仿宋_GB2312"/>
          <w:color w:val="auto"/>
          <w:kern w:val="0"/>
          <w:sz w:val="32"/>
          <w:szCs w:val="32"/>
          <w:shd w:val="clear" w:color="auto" w:fill="auto"/>
          <w:lang w:eastAsia="zh-CN"/>
        </w:rPr>
        <w:t>中等职业学校建设</w:t>
      </w:r>
      <w:r>
        <w:rPr>
          <w:rFonts w:hint="eastAsia" w:ascii="仿宋_GB2312" w:hAnsi="仿宋_GB2312" w:eastAsia="仿宋_GB2312" w:cs="仿宋_GB2312"/>
          <w:color w:val="auto"/>
          <w:sz w:val="32"/>
          <w:szCs w:val="32"/>
          <w:shd w:val="clear" w:color="auto" w:fill="auto"/>
        </w:rPr>
        <w:t>项目</w:t>
      </w:r>
      <w:r>
        <w:rPr>
          <w:rFonts w:hint="eastAsia" w:ascii="仿宋_GB2312" w:hAnsi="仿宋_GB2312" w:eastAsia="仿宋_GB2312" w:cs="仿宋_GB2312"/>
          <w:color w:val="auto"/>
          <w:kern w:val="2"/>
          <w:sz w:val="32"/>
          <w:szCs w:val="32"/>
          <w:shd w:val="clear" w:color="auto" w:fill="auto"/>
          <w:lang w:val="en-US" w:eastAsia="zh-CN" w:bidi="ar-SA"/>
        </w:rPr>
        <w:t>年初预算1300万元，全年预算1300万元，实际支出1300万元，预算执行率为100%，项目绩效指标总体完成率为100.27%，</w:t>
      </w:r>
      <w:r>
        <w:rPr>
          <w:rFonts w:hint="eastAsia" w:ascii="仿宋_GB2312" w:hAnsi="仿宋_GB2312" w:eastAsia="仿宋_GB2312" w:cs="仿宋_GB2312"/>
          <w:color w:val="auto"/>
          <w:kern w:val="2"/>
          <w:sz w:val="32"/>
          <w:szCs w:val="32"/>
          <w:shd w:val="clear" w:color="auto" w:fill="auto"/>
          <w:lang w:val="en-US" w:eastAsia="zh-Hans" w:bidi="ar-SA"/>
        </w:rPr>
        <w:t>总体</w:t>
      </w:r>
      <w:r>
        <w:rPr>
          <w:rFonts w:hint="eastAsia" w:ascii="仿宋_GB2312" w:hAnsi="仿宋_GB2312" w:eastAsia="仿宋_GB2312" w:cs="仿宋_GB2312"/>
          <w:color w:val="auto"/>
          <w:kern w:val="2"/>
          <w:sz w:val="32"/>
          <w:szCs w:val="32"/>
          <w:shd w:val="clear" w:color="auto" w:fill="auto"/>
          <w:lang w:val="en-US" w:eastAsia="zh-CN" w:bidi="ar-SA"/>
        </w:rPr>
        <w:t>偏差率为0.27%,</w:t>
      </w:r>
      <w:r>
        <w:rPr>
          <w:rFonts w:hint="eastAsia" w:ascii="仿宋_GB2312" w:hAnsi="仿宋_GB2312" w:eastAsia="仿宋_GB2312" w:cs="仿宋_GB2312"/>
          <w:color w:val="auto"/>
          <w:kern w:val="2"/>
          <w:sz w:val="32"/>
          <w:szCs w:val="32"/>
          <w:shd w:val="clear" w:color="auto" w:fill="auto"/>
          <w:lang w:val="en-US" w:eastAsia="zh-Hans" w:bidi="ar-SA"/>
        </w:rPr>
        <w:t>偏差</w:t>
      </w:r>
      <w:r>
        <w:rPr>
          <w:rFonts w:hint="eastAsia" w:ascii="仿宋_GB2312" w:hAnsi="仿宋_GB2312" w:eastAsia="仿宋_GB2312" w:cs="仿宋_GB2312"/>
          <w:color w:val="auto"/>
          <w:kern w:val="2"/>
          <w:sz w:val="32"/>
          <w:szCs w:val="32"/>
          <w:shd w:val="clear" w:color="auto" w:fill="auto"/>
          <w:lang w:val="en-US" w:eastAsia="zh-CN" w:bidi="ar-SA"/>
        </w:rPr>
        <w:t>原因：因前期设置指标值数据有误，现按照实际</w:t>
      </w:r>
      <w:r>
        <w:rPr>
          <w:rFonts w:hint="eastAsia" w:ascii="仿宋_GB2312" w:hAnsi="仿宋_GB2312" w:eastAsia="仿宋_GB2312" w:cs="仿宋_GB2312"/>
          <w:sz w:val="32"/>
          <w:szCs w:val="32"/>
        </w:rPr>
        <w:t>建设教学楼建筑总面积</w:t>
      </w:r>
      <w:r>
        <w:rPr>
          <w:rFonts w:hint="eastAsia" w:ascii="仿宋_GB2312" w:hAnsi="仿宋_GB2312" w:eastAsia="仿宋_GB2312" w:cs="仿宋_GB2312"/>
          <w:sz w:val="32"/>
          <w:szCs w:val="32"/>
          <w:lang w:val="en-US" w:eastAsia="zh-CN"/>
        </w:rPr>
        <w:t>填</w:t>
      </w:r>
      <w:r>
        <w:rPr>
          <w:rFonts w:hint="eastAsia" w:ascii="仿宋_GB2312" w:hAnsi="仿宋_GB2312" w:eastAsia="仿宋_GB2312" w:cs="仿宋_GB2312"/>
          <w:sz w:val="32"/>
          <w:szCs w:val="32"/>
          <w:lang w:eastAsia="zh-CN"/>
        </w:rPr>
        <w:t>写。</w:t>
      </w:r>
    </w:p>
    <w:p>
      <w:pPr>
        <w:spacing w:line="560" w:lineRule="exact"/>
        <w:rPr>
          <w:rFonts w:hint="eastAsia" w:ascii="Times New Roman" w:hAnsi="Times New Roman" w:eastAsia="黑体" w:cs="Times New Roman"/>
          <w:bCs/>
          <w:sz w:val="32"/>
          <w:szCs w:val="32"/>
          <w:lang w:val="en-US" w:eastAsia="zh-CN"/>
        </w:rPr>
      </w:pPr>
      <w:bookmarkStart w:id="17"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7"/>
    </w:p>
    <w:p>
      <w:pPr>
        <w:spacing w:line="560" w:lineRule="exact"/>
        <w:rPr>
          <w:rFonts w:hint="eastAsia" w:ascii="Times New Roman" w:hAnsi="Times New Roman" w:eastAsia="楷体_GB2312" w:cs="Times New Roman"/>
          <w:b/>
          <w:bCs/>
          <w:kern w:val="2"/>
          <w:sz w:val="32"/>
          <w:szCs w:val="32"/>
          <w:lang w:val="en-US" w:eastAsia="zh-CN" w:bidi="ar-SA"/>
        </w:rPr>
      </w:pPr>
      <w:bookmarkStart w:id="18" w:name="_Toc68703843"/>
      <w:r>
        <w:rPr>
          <w:rFonts w:hint="eastAsia" w:ascii="Times New Roman" w:hAnsi="Times New Roman" w:eastAsia="楷体_GB2312" w:cs="Times New Roman"/>
          <w:b/>
          <w:bCs/>
          <w:kern w:val="2"/>
          <w:sz w:val="32"/>
          <w:szCs w:val="32"/>
          <w:lang w:val="en-US" w:eastAsia="zh-CN" w:bidi="ar-SA"/>
        </w:rPr>
        <w:t>（一）主要经验及做法</w:t>
      </w:r>
      <w:bookmarkEnd w:id="18"/>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9"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9"/>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20"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20"/>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bookmarkStart w:id="24" w:name="_GoBack"/>
      <w:bookmarkEnd w:id="24"/>
    </w:p>
    <w:p>
      <w:pPr>
        <w:pageBreakBefore w:val="0"/>
        <w:widowControl w:val="0"/>
        <w:kinsoku/>
        <w:wordWrap/>
        <w:overflowPunct/>
        <w:topLinePunct w:val="0"/>
        <w:autoSpaceDE/>
        <w:autoSpaceDN/>
        <w:bidi w:val="0"/>
        <w:adjustRightInd/>
        <w:snapToGrid/>
        <w:spacing w:line="560" w:lineRule="exact"/>
        <w:textAlignment w:val="auto"/>
        <w:outlineLvl w:val="9"/>
        <w:rPr>
          <w:rFonts w:ascii="宋体" w:hAnsi="宋体" w:eastAsia="宋体"/>
          <w:sz w:val="32"/>
          <w:szCs w:val="32"/>
        </w:rPr>
      </w:pPr>
      <w:bookmarkStart w:id="21" w:name="_Toc68703846"/>
      <w:r>
        <w:rPr>
          <w:rFonts w:hint="eastAsia" w:ascii="宋体" w:hAnsi="宋体" w:eastAsia="宋体"/>
          <w:sz w:val="32"/>
          <w:szCs w:val="32"/>
          <w:lang w:eastAsia="zh-CN"/>
        </w:rPr>
        <w:t>八</w:t>
      </w:r>
      <w:r>
        <w:rPr>
          <w:rFonts w:hint="eastAsia" w:ascii="宋体" w:hAnsi="宋体" w:eastAsia="宋体"/>
          <w:sz w:val="32"/>
          <w:szCs w:val="32"/>
        </w:rPr>
        <w:t>、其他需要说明的问题</w:t>
      </w:r>
      <w:bookmarkEnd w:id="21"/>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tbl>
      <w:tblPr>
        <w:tblStyle w:val="11"/>
        <w:tblW w:w="8834" w:type="dxa"/>
        <w:tblInd w:w="0" w:type="dxa"/>
        <w:tblLayout w:type="fixed"/>
        <w:tblCellMar>
          <w:top w:w="0" w:type="dxa"/>
          <w:left w:w="0" w:type="dxa"/>
          <w:bottom w:w="0" w:type="dxa"/>
          <w:right w:w="0" w:type="dxa"/>
        </w:tblCellMar>
      </w:tblPr>
      <w:tblGrid>
        <w:gridCol w:w="695"/>
        <w:gridCol w:w="531"/>
        <w:gridCol w:w="859"/>
        <w:gridCol w:w="695"/>
        <w:gridCol w:w="646"/>
        <w:gridCol w:w="40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18"/>
                <w:szCs w:val="18"/>
                <w:u w:val="single"/>
              </w:rPr>
            </w:pPr>
            <w:r>
              <w:rPr>
                <w:rFonts w:hint="eastAsia" w:ascii="宋体" w:hAnsi="宋体" w:eastAsia="宋体" w:cs="宋体"/>
                <w:b/>
                <w:i w:val="0"/>
                <w:color w:val="000000"/>
                <w:kern w:val="0"/>
                <w:sz w:val="18"/>
                <w:szCs w:val="18"/>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ascii="宋体" w:hAnsi="宋体" w:eastAsia="宋体" w:cs="宋体"/>
                <w:kern w:val="0"/>
                <w:sz w:val="18"/>
                <w:szCs w:val="18"/>
                <w:lang w:eastAsia="zh-CN"/>
              </w:rPr>
              <w:t>中等职业学校建设</w:t>
            </w:r>
            <w:r>
              <w:rPr>
                <w:rFonts w:hint="eastAsia" w:ascii="仿宋_GB2312" w:hAnsi="仿宋_GB2312" w:eastAsia="仿宋_GB2312" w:cs="仿宋_GB2312"/>
                <w:sz w:val="18"/>
                <w:szCs w:val="18"/>
              </w:rPr>
              <w:t>项目</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eastAsia="zh-CN" w:bidi="ar"/>
              </w:rPr>
            </w:pPr>
            <w:r>
              <w:rPr>
                <w:rFonts w:hint="eastAsia" w:eastAsia="宋体" w:cs="Times New Roman"/>
                <w:kern w:val="0"/>
                <w:sz w:val="18"/>
                <w:szCs w:val="18"/>
                <w:lang w:eastAsia="zh-CN" w:bidi="ar"/>
              </w:rPr>
              <w:t>霍尔果斯市教育局</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r>
              <w:rPr>
                <w:rFonts w:hint="eastAsia" w:eastAsia="宋体" w:cs="Times New Roman"/>
                <w:kern w:val="0"/>
                <w:sz w:val="18"/>
                <w:szCs w:val="18"/>
                <w:lang w:eastAsia="zh-CN" w:bidi="ar"/>
              </w:rPr>
              <w:t>霍尔果斯市教育局</w:t>
            </w: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18"/>
                <w:szCs w:val="18"/>
                <w:u w:val="none"/>
                <w:lang w:val="en-US" w:eastAsia="zh-CN" w:bidi="ar"/>
              </w:rPr>
              <w:t>1300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color w:val="000000"/>
                <w:kern w:val="0"/>
                <w:sz w:val="18"/>
                <w:szCs w:val="18"/>
                <w:u w:val="none"/>
                <w:lang w:val="en-US" w:eastAsia="zh-CN" w:bidi="ar"/>
              </w:rPr>
              <w:t>1300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18"/>
                <w:szCs w:val="18"/>
                <w:u w:val="none"/>
                <w:lang w:val="en-US" w:eastAsia="zh-CN" w:bidi="ar"/>
              </w:rPr>
              <w:t>1300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10.00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 xml:space="preserve">1300 </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color w:val="000000"/>
                <w:kern w:val="0"/>
                <w:sz w:val="18"/>
                <w:szCs w:val="18"/>
                <w:u w:val="none"/>
                <w:lang w:val="en-US" w:eastAsia="zh-CN" w:bidi="ar"/>
              </w:rPr>
              <w:t>1300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18"/>
                <w:szCs w:val="18"/>
                <w:u w:val="none"/>
                <w:lang w:val="en-US" w:eastAsia="zh-CN" w:bidi="ar"/>
              </w:rPr>
              <w:t>1300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18"/>
                <w:szCs w:val="18"/>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18"/>
                <w:szCs w:val="18"/>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仿宋_GB2312" w:cs="Times New Roman"/>
                <w:kern w:val="2"/>
                <w:sz w:val="18"/>
                <w:szCs w:val="18"/>
                <w:lang w:val="en-US" w:eastAsia="zh-CN" w:bidi="ar-SA"/>
              </w:rPr>
            </w:pPr>
            <w:r>
              <w:rPr>
                <w:rFonts w:hint="eastAsia" w:ascii="宋体" w:hAnsi="宋体" w:eastAsia="宋体" w:cs="宋体"/>
                <w:i w:val="0"/>
                <w:color w:val="000000"/>
                <w:kern w:val="0"/>
                <w:sz w:val="18"/>
                <w:szCs w:val="18"/>
                <w:u w:val="none"/>
                <w:lang w:val="en-US" w:eastAsia="zh-CN" w:bidi="ar"/>
              </w:rPr>
              <w:t>10.00</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建设霍尔果斯中等职业学校，可满足学生的学习环境要求。为加快推进霍尔果斯市城市基础设施建设，进一步改善民生、促进社会和谐稳步发展。项目在建设和运行中选用高效节能设备和产品，加强节能管理，提高资源利用效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Times New Roman" w:hAnsi="Times New Roman" w:eastAsia="宋体" w:cs="Times New Roman"/>
                <w:kern w:val="0"/>
                <w:sz w:val="18"/>
                <w:szCs w:val="18"/>
                <w:lang w:bidi="ar"/>
              </w:rPr>
              <w:t>2023年已完成霍尔果斯中等职业学校建设项目。进一步改善民生、促进社会和谐稳步发展。</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color w:val="000000"/>
                <w:kern w:val="0"/>
                <w:sz w:val="18"/>
                <w:szCs w:val="18"/>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建设教学楼建筑总面积</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&gt;=22000平方米</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22847.89平方米</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6</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仿宋_GB2312"/>
                <w:sz w:val="18"/>
                <w:szCs w:val="18"/>
                <w:lang w:val="en-US" w:eastAsia="zh-CN"/>
              </w:rPr>
            </w:pPr>
            <w:r>
              <w:rPr>
                <w:rFonts w:hint="eastAsia"/>
                <w:sz w:val="18"/>
                <w:szCs w:val="18"/>
                <w:lang w:val="en-US" w:eastAsia="zh-CN"/>
              </w:rPr>
              <w:t>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eastAsia="zh-CN" w:bidi="ar"/>
              </w:rPr>
            </w:pPr>
            <w:r>
              <w:rPr>
                <w:rFonts w:hint="eastAsia" w:eastAsia="宋体" w:cs="Times New Roman"/>
                <w:kern w:val="0"/>
                <w:sz w:val="18"/>
                <w:szCs w:val="18"/>
                <w:lang w:val="en-US" w:eastAsia="zh-CN" w:bidi="ar"/>
              </w:rPr>
              <w:t>建设教学楼建筑总面积按实际面积填写</w:t>
            </w: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建设教学楼学校个数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=1所</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=1所</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6</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仿宋_GB2312"/>
                <w:sz w:val="18"/>
                <w:szCs w:val="18"/>
                <w:lang w:val="en-US" w:eastAsia="zh-CN"/>
              </w:rPr>
            </w:pPr>
            <w:r>
              <w:rPr>
                <w:rFonts w:hint="eastAsia"/>
                <w:sz w:val="18"/>
                <w:szCs w:val="18"/>
                <w:lang w:val="en-US" w:eastAsia="zh-CN"/>
              </w:rPr>
              <w:t>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验收合格率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6</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仿宋_GB2312"/>
                <w:sz w:val="18"/>
                <w:szCs w:val="18"/>
                <w:lang w:val="en-US" w:eastAsia="zh-CN"/>
              </w:rPr>
            </w:pPr>
            <w:r>
              <w:rPr>
                <w:rFonts w:hint="eastAsia"/>
                <w:sz w:val="18"/>
                <w:szCs w:val="18"/>
                <w:lang w:val="en-US" w:eastAsia="zh-CN"/>
              </w:rPr>
              <w:t>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项目资金支付率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&gt;=20%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6</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仿宋_GB2312"/>
                <w:sz w:val="18"/>
                <w:szCs w:val="18"/>
                <w:lang w:val="en-US" w:eastAsia="zh-CN"/>
              </w:rPr>
            </w:pPr>
            <w:r>
              <w:rPr>
                <w:rFonts w:hint="eastAsia"/>
                <w:sz w:val="18"/>
                <w:szCs w:val="18"/>
                <w:lang w:val="en-US" w:eastAsia="zh-CN"/>
              </w:rPr>
              <w:t>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设计变更率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&lt;=5%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6</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仿宋_GB2312"/>
                <w:sz w:val="18"/>
                <w:szCs w:val="18"/>
                <w:lang w:val="en-US" w:eastAsia="zh-CN"/>
              </w:rPr>
            </w:pPr>
            <w:r>
              <w:rPr>
                <w:rFonts w:hint="eastAsia"/>
                <w:sz w:val="18"/>
                <w:szCs w:val="18"/>
                <w:lang w:val="en-US" w:eastAsia="zh-CN"/>
              </w:rPr>
              <w:t>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项目按计划开工时间</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2023年4月30日之前</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2023年4月30日之前</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仿宋_GB2312"/>
                <w:sz w:val="18"/>
                <w:szCs w:val="18"/>
                <w:lang w:val="en-US" w:eastAsia="zh-CN"/>
              </w:rPr>
            </w:pPr>
            <w:r>
              <w:rPr>
                <w:rFonts w:hint="eastAsia"/>
                <w:sz w:val="18"/>
                <w:szCs w:val="18"/>
                <w:lang w:val="en-US" w:eastAsia="zh-CN"/>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项目按计划竣工时间</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2023年11月29日</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2023年11月29日之前</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仿宋_GB2312"/>
                <w:sz w:val="18"/>
                <w:szCs w:val="18"/>
                <w:lang w:val="en-US" w:eastAsia="zh-CN"/>
              </w:rPr>
            </w:pPr>
            <w:r>
              <w:rPr>
                <w:rFonts w:hint="eastAsia"/>
                <w:sz w:val="18"/>
                <w:szCs w:val="18"/>
                <w:lang w:val="en-US" w:eastAsia="zh-CN"/>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restart"/>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项目建设成本</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&lt;=2446.56元/平方米</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&lt;=2446.56元/平方米</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仿宋_GB2312"/>
                <w:sz w:val="18"/>
                <w:szCs w:val="18"/>
                <w:lang w:val="en-US" w:eastAsia="zh-CN"/>
              </w:rPr>
            </w:pPr>
            <w:r>
              <w:rPr>
                <w:rFonts w:hint="eastAsia"/>
                <w:sz w:val="18"/>
                <w:szCs w:val="18"/>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支付比例</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&lt;=23.26%</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&lt;=23.26%</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仿宋_GB2312"/>
                <w:sz w:val="18"/>
                <w:szCs w:val="18"/>
                <w:lang w:val="en-US" w:eastAsia="zh-CN"/>
              </w:rPr>
            </w:pPr>
            <w:r>
              <w:rPr>
                <w:rFonts w:hint="eastAsia"/>
                <w:sz w:val="18"/>
                <w:szCs w:val="18"/>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18"/>
                <w:szCs w:val="18"/>
                <w:u w:val="none"/>
                <w:lang w:val="en-US" w:eastAsia="zh-CN" w:bidi="ar"/>
              </w:rPr>
              <w:t>社会效益指标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提升学校教学环境</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有效提升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有效提升</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仿宋_GB2312"/>
                <w:sz w:val="18"/>
                <w:szCs w:val="18"/>
                <w:lang w:val="en-US" w:eastAsia="zh-CN"/>
              </w:rPr>
            </w:pPr>
            <w:r>
              <w:rPr>
                <w:rFonts w:hint="eastAsia"/>
                <w:sz w:val="18"/>
                <w:szCs w:val="18"/>
                <w:lang w:val="en-US" w:eastAsia="zh-CN"/>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PrEx>
        <w:trPr>
          <w:trHeight w:val="432"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满意度指标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师生满意度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18"/>
                <w:szCs w:val="18"/>
                <w:lang w:val="en-US" w:eastAsia="zh-CN" w:bidi="ar"/>
              </w:rPr>
            </w:pPr>
            <w:r>
              <w:rPr>
                <w:rFonts w:hint="eastAsia" w:eastAsia="宋体" w:cs="Times New Roman"/>
                <w:kern w:val="0"/>
                <w:sz w:val="18"/>
                <w:szCs w:val="18"/>
                <w:lang w:val="en-US" w:eastAsia="zh-CN"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仿宋_GB2312"/>
                <w:sz w:val="18"/>
                <w:szCs w:val="18"/>
                <w:lang w:val="en-US" w:eastAsia="zh-CN"/>
              </w:rPr>
            </w:pPr>
            <w:r>
              <w:rPr>
                <w:rFonts w:hint="eastAsia"/>
                <w:sz w:val="18"/>
                <w:szCs w:val="18"/>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2" w:name="_Toc30064_WPSOffice_Level1"/>
      <w:bookmarkStart w:id="23" w:name="_Toc26499_WPSOffice_Level2"/>
      <w:r>
        <w:rPr>
          <w:rFonts w:hint="eastAsia"/>
          <w:b/>
          <w:bCs/>
          <w:sz w:val="28"/>
          <w:szCs w:val="40"/>
          <w:lang w:eastAsia="zh-CN"/>
        </w:rPr>
        <w:t>中等职业学校建设</w:t>
      </w:r>
      <w:r>
        <w:rPr>
          <w:rFonts w:hint="eastAsia"/>
          <w:b/>
          <w:bCs/>
          <w:sz w:val="28"/>
          <w:szCs w:val="40"/>
        </w:rPr>
        <w:t>项目绩效评价指标体系及综合评分表</w:t>
      </w:r>
      <w:bookmarkEnd w:id="22"/>
      <w:bookmarkEnd w:id="23"/>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Pr>
        <w:rPr>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3292E3E"/>
    <w:rsid w:val="05253FFE"/>
    <w:rsid w:val="0AB603E9"/>
    <w:rsid w:val="0AD57ECF"/>
    <w:rsid w:val="0B8B40D1"/>
    <w:rsid w:val="0C8E0C73"/>
    <w:rsid w:val="0F2A6BF7"/>
    <w:rsid w:val="109627EE"/>
    <w:rsid w:val="1349510E"/>
    <w:rsid w:val="17136327"/>
    <w:rsid w:val="17BE6FD2"/>
    <w:rsid w:val="181871E2"/>
    <w:rsid w:val="19166846"/>
    <w:rsid w:val="19272241"/>
    <w:rsid w:val="1A921693"/>
    <w:rsid w:val="20E92B23"/>
    <w:rsid w:val="21612E30"/>
    <w:rsid w:val="22AC2218"/>
    <w:rsid w:val="2729052F"/>
    <w:rsid w:val="28C14634"/>
    <w:rsid w:val="2D0830EF"/>
    <w:rsid w:val="2DD63B79"/>
    <w:rsid w:val="2EC724D4"/>
    <w:rsid w:val="2EE30257"/>
    <w:rsid w:val="34DA27CE"/>
    <w:rsid w:val="357C20D3"/>
    <w:rsid w:val="36411DC5"/>
    <w:rsid w:val="36B72533"/>
    <w:rsid w:val="392519F7"/>
    <w:rsid w:val="3BFE07FA"/>
    <w:rsid w:val="4057649F"/>
    <w:rsid w:val="443F3210"/>
    <w:rsid w:val="447B2AF7"/>
    <w:rsid w:val="450B6AE4"/>
    <w:rsid w:val="46A737DD"/>
    <w:rsid w:val="4A00311F"/>
    <w:rsid w:val="51E41407"/>
    <w:rsid w:val="54873A1A"/>
    <w:rsid w:val="56714FC7"/>
    <w:rsid w:val="56796849"/>
    <w:rsid w:val="568F383B"/>
    <w:rsid w:val="575C1A00"/>
    <w:rsid w:val="57B31C8E"/>
    <w:rsid w:val="58E66345"/>
    <w:rsid w:val="5CD26842"/>
    <w:rsid w:val="5D555EEF"/>
    <w:rsid w:val="5DA95371"/>
    <w:rsid w:val="654031AC"/>
    <w:rsid w:val="660F4EC9"/>
    <w:rsid w:val="686F7714"/>
    <w:rsid w:val="6A862BA8"/>
    <w:rsid w:val="6DDE52C0"/>
    <w:rsid w:val="6DFC1C65"/>
    <w:rsid w:val="71B63EFD"/>
    <w:rsid w:val="75FA041F"/>
    <w:rsid w:val="760F49BD"/>
    <w:rsid w:val="76E870A0"/>
    <w:rsid w:val="7AE40DD7"/>
    <w:rsid w:val="7E363E56"/>
    <w:rsid w:val="7EEF3B60"/>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5042</Words>
  <Characters>5242</Characters>
  <Lines>37</Lines>
  <Paragraphs>10</Paragraphs>
  <TotalTime>5</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2024-06-11T13:23:33Z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2CC6490BA5BB49479943EDC769392779</vt:lpwstr>
  </property>
</Properties>
</file>