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霍尔果斯市政协2023年度会议费</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both"/>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霍尔果斯市政协2023年度会议费</w:t>
      </w:r>
    </w:p>
    <w:p>
      <w:pPr>
        <w:spacing w:line="560" w:lineRule="exact"/>
        <w:ind w:left="4498" w:hanging="4498" w:hangingChars="14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中国人民政治协商会议霍尔果斯市委员会</w:t>
      </w:r>
    </w:p>
    <w:p>
      <w:pPr>
        <w:spacing w:line="560" w:lineRule="exact"/>
        <w:ind w:left="4498" w:hanging="4498" w:hangingChars="1400"/>
        <w:jc w:val="both"/>
        <w:rPr>
          <w:rFonts w:hint="eastAsia" w:ascii="宋体" w:hAnsi="宋体" w:eastAsia="宋体" w:cs="仿宋_GB2312"/>
          <w:b/>
          <w:bCs/>
          <w:color w:val="000000"/>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中国人民政治协商会议霍尔果斯市委员会</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潘丽娟</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25</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spacing w:line="560" w:lineRule="exact"/>
        <w:ind w:firstLine="640" w:firstLineChars="200"/>
        <w:rPr>
          <w:sz w:val="32"/>
          <w:szCs w:val="32"/>
        </w:rPr>
      </w:pPr>
      <w:r>
        <w:rPr>
          <w:rFonts w:hint="eastAsia" w:ascii="仿宋_GB2312" w:hAnsi="仿宋"/>
          <w:sz w:val="32"/>
          <w:szCs w:val="32"/>
        </w:rPr>
        <w:t>根据《政协章程》每年召开一次政协全体会议，202</w:t>
      </w:r>
      <w:r>
        <w:rPr>
          <w:rFonts w:hint="eastAsia" w:ascii="仿宋_GB2312" w:hAnsi="仿宋"/>
          <w:sz w:val="32"/>
          <w:szCs w:val="32"/>
          <w:lang w:val="en-US" w:eastAsia="zh-CN"/>
        </w:rPr>
        <w:t>3</w:t>
      </w:r>
      <w:r>
        <w:rPr>
          <w:rFonts w:hint="eastAsia" w:ascii="仿宋_GB2312" w:hAnsi="仿宋"/>
          <w:sz w:val="32"/>
          <w:szCs w:val="32"/>
        </w:rPr>
        <w:t>年专项政协会议费1</w:t>
      </w:r>
      <w:r>
        <w:rPr>
          <w:rFonts w:hint="eastAsia" w:ascii="仿宋_GB2312" w:hAnsi="仿宋"/>
          <w:sz w:val="32"/>
          <w:szCs w:val="32"/>
          <w:lang w:val="en-US" w:eastAsia="zh-CN"/>
        </w:rPr>
        <w:t>6.86</w:t>
      </w:r>
      <w:r>
        <w:rPr>
          <w:rFonts w:hint="eastAsia" w:ascii="仿宋_GB2312" w:hAnsi="仿宋"/>
          <w:sz w:val="32"/>
          <w:szCs w:val="32"/>
        </w:rPr>
        <w:t>万元用于政协二届</w:t>
      </w:r>
      <w:r>
        <w:rPr>
          <w:rFonts w:hint="eastAsia" w:ascii="仿宋_GB2312" w:hAnsi="仿宋"/>
          <w:sz w:val="32"/>
          <w:szCs w:val="32"/>
          <w:lang w:val="en-US" w:eastAsia="zh-CN"/>
        </w:rPr>
        <w:t>三</w:t>
      </w:r>
      <w:r>
        <w:rPr>
          <w:rFonts w:hint="eastAsia" w:ascii="仿宋_GB2312" w:hAnsi="仿宋"/>
          <w:sz w:val="32"/>
          <w:szCs w:val="32"/>
        </w:rPr>
        <w:t>次全体会议各项费用支出。完成各项会议议程，保证</w:t>
      </w:r>
      <w:r>
        <w:rPr>
          <w:rFonts w:hint="eastAsia" w:ascii="仿宋_GB2312" w:hAnsi="仿宋"/>
          <w:sz w:val="32"/>
          <w:szCs w:val="32"/>
          <w:lang w:val="en-US" w:eastAsia="zh-CN"/>
        </w:rPr>
        <w:t>129</w:t>
      </w:r>
      <w:r>
        <w:rPr>
          <w:rFonts w:hint="eastAsia" w:ascii="仿宋_GB2312" w:hAnsi="仿宋"/>
          <w:sz w:val="32"/>
          <w:szCs w:val="32"/>
        </w:rPr>
        <w:t>名政协委员和工作人员会议期间的住宿，就餐，会场租赁，会议材料印刷会议用品费用支出。</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spacing w:line="560" w:lineRule="exact"/>
        <w:ind w:firstLine="640" w:firstLineChars="200"/>
        <w:rPr>
          <w:rFonts w:ascii="仿宋_GB2312"/>
          <w:color w:val="FF0000"/>
          <w:sz w:val="32"/>
          <w:szCs w:val="32"/>
        </w:rPr>
      </w:pPr>
      <w:r>
        <w:rPr>
          <w:rFonts w:hint="eastAsia" w:ascii="仿宋_GB2312"/>
          <w:sz w:val="32"/>
          <w:szCs w:val="32"/>
        </w:rPr>
        <w:t>主要内容：</w:t>
      </w:r>
      <w:r>
        <w:rPr>
          <w:rFonts w:ascii="仿宋_GB2312"/>
          <w:color w:val="FF0000"/>
          <w:sz w:val="32"/>
          <w:szCs w:val="32"/>
        </w:rPr>
        <w:t xml:space="preserve"> </w:t>
      </w:r>
    </w:p>
    <w:p>
      <w:pPr>
        <w:spacing w:line="560" w:lineRule="exact"/>
        <w:ind w:firstLine="640" w:firstLineChars="200"/>
        <w:rPr>
          <w:rFonts w:ascii="仿宋_GB2312"/>
          <w:sz w:val="32"/>
          <w:szCs w:val="32"/>
        </w:rPr>
      </w:pPr>
      <w:r>
        <w:rPr>
          <w:rFonts w:hint="eastAsia" w:ascii="仿宋_GB2312"/>
          <w:sz w:val="32"/>
          <w:szCs w:val="32"/>
        </w:rPr>
        <w:t>202</w:t>
      </w:r>
      <w:r>
        <w:rPr>
          <w:rFonts w:hint="eastAsia" w:ascii="仿宋_GB2312"/>
          <w:sz w:val="32"/>
          <w:szCs w:val="32"/>
          <w:lang w:val="en-US" w:eastAsia="zh-CN"/>
        </w:rPr>
        <w:t>3</w:t>
      </w:r>
      <w:r>
        <w:rPr>
          <w:rFonts w:hint="eastAsia" w:ascii="仿宋_GB2312"/>
          <w:sz w:val="32"/>
          <w:szCs w:val="32"/>
        </w:rPr>
        <w:t>年市政协围绕</w:t>
      </w:r>
      <w:r>
        <w:rPr>
          <w:rFonts w:hint="eastAsia" w:ascii="仿宋_GB2312"/>
          <w:sz w:val="32"/>
          <w:szCs w:val="32"/>
          <w:lang w:eastAsia="zh-CN"/>
        </w:rPr>
        <w:t>市委市政府</w:t>
      </w:r>
      <w:r>
        <w:rPr>
          <w:rFonts w:hint="eastAsia" w:ascii="仿宋_GB2312"/>
          <w:sz w:val="32"/>
          <w:szCs w:val="32"/>
        </w:rPr>
        <w:t>中心工作，认真履行政治协商、民主监督、参政议政职能胜利召开政协召开市政协二届</w:t>
      </w:r>
      <w:r>
        <w:rPr>
          <w:rFonts w:hint="eastAsia" w:ascii="仿宋_GB2312"/>
          <w:sz w:val="32"/>
          <w:szCs w:val="32"/>
          <w:lang w:val="en-US" w:eastAsia="zh-CN"/>
        </w:rPr>
        <w:t>三</w:t>
      </w:r>
      <w:r>
        <w:rPr>
          <w:rFonts w:hint="eastAsia" w:ascii="仿宋_GB2312"/>
          <w:sz w:val="32"/>
          <w:szCs w:val="32"/>
        </w:rPr>
        <w:t>次会议，完成各项会议议程，保证1</w:t>
      </w:r>
      <w:r>
        <w:rPr>
          <w:rFonts w:hint="eastAsia" w:ascii="仿宋_GB2312"/>
          <w:sz w:val="32"/>
          <w:szCs w:val="32"/>
          <w:lang w:val="en-US" w:eastAsia="zh-CN"/>
        </w:rPr>
        <w:t>29</w:t>
      </w:r>
      <w:r>
        <w:rPr>
          <w:rFonts w:hint="eastAsia" w:ascii="仿宋_GB2312"/>
          <w:sz w:val="32"/>
          <w:szCs w:val="32"/>
        </w:rPr>
        <w:t>名政协委员和工作人员会议期间的住宿，就餐，会场租赁，会议材料印刷会议用品、防疫物资等费用支出。圆满完成了会议各项任务。</w:t>
      </w:r>
    </w:p>
    <w:p>
      <w:pPr>
        <w:spacing w:line="560" w:lineRule="exact"/>
        <w:ind w:firstLine="640" w:firstLineChars="200"/>
      </w:pPr>
      <w:r>
        <w:rPr>
          <w:rFonts w:hint="eastAsia" w:ascii="仿宋_GB2312"/>
          <w:sz w:val="32"/>
          <w:szCs w:val="32"/>
        </w:rPr>
        <w:t>实施情况：</w:t>
      </w:r>
      <w:r>
        <w:rPr>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spacing w:line="560" w:lineRule="exact"/>
        <w:ind w:firstLine="640" w:firstLineChars="200"/>
        <w:rPr>
          <w:color w:val="000000" w:themeColor="text1"/>
          <w:sz w:val="32"/>
          <w:szCs w:val="32"/>
          <w14:textFill>
            <w14:solidFill>
              <w14:schemeClr w14:val="tx1"/>
            </w14:solidFill>
          </w14:textFill>
        </w:rPr>
      </w:pPr>
      <w:r>
        <w:rPr>
          <w:rFonts w:hint="eastAsia"/>
          <w:sz w:val="32"/>
          <w:szCs w:val="32"/>
        </w:rPr>
        <w:t>资金投入情况：</w:t>
      </w:r>
      <w:r>
        <w:rPr>
          <w:rFonts w:hint="eastAsia"/>
          <w:color w:val="000000" w:themeColor="text1"/>
          <w:sz w:val="32"/>
          <w:szCs w:val="32"/>
          <w14:textFill>
            <w14:solidFill>
              <w14:schemeClr w14:val="tx1"/>
            </w14:solidFill>
          </w14:textFill>
        </w:rPr>
        <w:t>该项目年初预算数</w:t>
      </w:r>
      <w:r>
        <w:rPr>
          <w:rFonts w:hint="eastAsia"/>
          <w:color w:val="000000" w:themeColor="text1"/>
          <w:sz w:val="32"/>
          <w:szCs w:val="32"/>
          <w:lang w:val="en-US" w:eastAsia="zh-CN"/>
          <w14:textFill>
            <w14:solidFill>
              <w14:schemeClr w14:val="tx1"/>
            </w14:solidFill>
          </w14:textFill>
        </w:rPr>
        <w:t>16.86</w:t>
      </w:r>
      <w:r>
        <w:rPr>
          <w:rFonts w:hint="eastAsia"/>
          <w:color w:val="000000" w:themeColor="text1"/>
          <w:sz w:val="32"/>
          <w:szCs w:val="32"/>
          <w14:textFill>
            <w14:solidFill>
              <w14:schemeClr w14:val="tx1"/>
            </w14:solidFill>
          </w14:textFill>
        </w:rPr>
        <w:t>万元，全年预算数1</w:t>
      </w:r>
      <w:r>
        <w:rPr>
          <w:rFonts w:hint="eastAsia"/>
          <w:color w:val="000000" w:themeColor="text1"/>
          <w:sz w:val="32"/>
          <w:szCs w:val="32"/>
          <w:lang w:val="en-US" w:eastAsia="zh-CN"/>
          <w14:textFill>
            <w14:solidFill>
              <w14:schemeClr w14:val="tx1"/>
            </w14:solidFill>
          </w14:textFill>
        </w:rPr>
        <w:t>6.86</w:t>
      </w:r>
      <w:r>
        <w:rPr>
          <w:rFonts w:hint="eastAsia"/>
          <w:color w:val="000000" w:themeColor="text1"/>
          <w:sz w:val="32"/>
          <w:szCs w:val="32"/>
          <w14:textFill>
            <w14:solidFill>
              <w14:schemeClr w14:val="tx1"/>
            </w14:solidFill>
          </w14:textFill>
        </w:rPr>
        <w:t>万元，实际总投入1</w:t>
      </w:r>
      <w:r>
        <w:rPr>
          <w:rFonts w:hint="eastAsia"/>
          <w:color w:val="000000" w:themeColor="text1"/>
          <w:sz w:val="32"/>
          <w:szCs w:val="32"/>
          <w:lang w:val="en-US" w:eastAsia="zh-CN"/>
          <w14:textFill>
            <w14:solidFill>
              <w14:schemeClr w14:val="tx1"/>
            </w14:solidFill>
          </w14:textFill>
        </w:rPr>
        <w:t>6.86</w:t>
      </w:r>
      <w:r>
        <w:rPr>
          <w:rFonts w:hint="eastAsia"/>
          <w:color w:val="000000" w:themeColor="text1"/>
          <w:sz w:val="32"/>
          <w:szCs w:val="32"/>
          <w14:textFill>
            <w14:solidFill>
              <w14:schemeClr w14:val="tx1"/>
            </w14:solidFill>
          </w14:textFill>
        </w:rPr>
        <w:t>万元，该项目资金已全部落实到位，资金来源为财政预算。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16.86</w:t>
      </w:r>
      <w:r>
        <w:rPr>
          <w:rFonts w:hint="eastAsia"/>
          <w:color w:val="auto"/>
          <w:sz w:val="32"/>
          <w:szCs w:val="32"/>
        </w:rPr>
        <w:t>万元，全年预算数</w:t>
      </w:r>
      <w:r>
        <w:rPr>
          <w:rFonts w:hint="eastAsia"/>
          <w:color w:val="auto"/>
          <w:sz w:val="32"/>
          <w:szCs w:val="32"/>
          <w:lang w:val="en-US" w:eastAsia="zh-CN"/>
        </w:rPr>
        <w:t>16.86</w:t>
      </w:r>
      <w:r>
        <w:rPr>
          <w:rFonts w:hint="eastAsia"/>
          <w:color w:val="auto"/>
          <w:sz w:val="32"/>
          <w:szCs w:val="32"/>
        </w:rPr>
        <w:t>万元，全年执行数</w:t>
      </w:r>
      <w:r>
        <w:rPr>
          <w:rFonts w:hint="eastAsia"/>
          <w:color w:val="auto"/>
          <w:sz w:val="32"/>
          <w:szCs w:val="32"/>
          <w:lang w:val="en-US" w:eastAsia="zh-CN"/>
        </w:rPr>
        <w:t>16.86</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用于：每个委员450元/人/天标准*1</w:t>
      </w:r>
      <w:r>
        <w:rPr>
          <w:rFonts w:hint="eastAsia"/>
          <w:color w:val="auto"/>
          <w:sz w:val="32"/>
          <w:szCs w:val="32"/>
          <w:lang w:val="en-US" w:eastAsia="zh-CN"/>
        </w:rPr>
        <w:t>29</w:t>
      </w:r>
      <w:r>
        <w:rPr>
          <w:rFonts w:hint="eastAsia"/>
          <w:color w:val="auto"/>
          <w:sz w:val="32"/>
          <w:szCs w:val="32"/>
        </w:rPr>
        <w:t>人*</w:t>
      </w:r>
      <w:r>
        <w:rPr>
          <w:rFonts w:hint="eastAsia"/>
          <w:color w:val="auto"/>
          <w:sz w:val="32"/>
          <w:szCs w:val="32"/>
          <w:lang w:val="en-US" w:eastAsia="zh-CN"/>
        </w:rPr>
        <w:t>3</w:t>
      </w:r>
      <w:r>
        <w:rPr>
          <w:rFonts w:hint="eastAsia"/>
          <w:color w:val="auto"/>
          <w:sz w:val="32"/>
          <w:szCs w:val="32"/>
        </w:rPr>
        <w:t>天=</w:t>
      </w:r>
      <w:r>
        <w:rPr>
          <w:rFonts w:hint="eastAsia"/>
          <w:color w:val="auto"/>
          <w:sz w:val="32"/>
          <w:szCs w:val="32"/>
          <w:lang w:val="en-US" w:eastAsia="zh-CN"/>
        </w:rPr>
        <w:t>174150</w:t>
      </w:r>
      <w:r>
        <w:rPr>
          <w:rFonts w:hint="eastAsia"/>
          <w:color w:val="auto"/>
          <w:sz w:val="32"/>
          <w:szCs w:val="32"/>
        </w:rPr>
        <w:t>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tabs>
          <w:tab w:val="left" w:pos="312"/>
        </w:tabs>
        <w:spacing w:line="560" w:lineRule="exact"/>
        <w:ind w:firstLine="640" w:firstLineChars="200"/>
        <w:rPr>
          <w:rFonts w:hint="eastAsia"/>
          <w:sz w:val="32"/>
          <w:szCs w:val="32"/>
          <w:highlight w:val="none"/>
        </w:rPr>
      </w:pPr>
      <w:bookmarkStart w:id="3" w:name="_Toc68703830"/>
      <w:r>
        <w:rPr>
          <w:rFonts w:hint="eastAsia"/>
          <w:sz w:val="32"/>
          <w:szCs w:val="32"/>
          <w:lang w:val="en-US" w:eastAsia="zh-CN"/>
        </w:rPr>
        <w:t>1、总体目标</w:t>
      </w:r>
      <w:r>
        <w:rPr>
          <w:rFonts w:hint="eastAsia"/>
          <w:sz w:val="32"/>
          <w:szCs w:val="32"/>
          <w:highlight w:val="none"/>
          <w:lang w:val="en-US" w:eastAsia="zh-CN"/>
        </w:rPr>
        <w:t>：</w:t>
      </w:r>
      <w:r>
        <w:rPr>
          <w:rFonts w:hint="eastAsia"/>
          <w:sz w:val="32"/>
          <w:szCs w:val="32"/>
          <w:highlight w:val="none"/>
        </w:rPr>
        <w:t>保障中国人民政治协商会议霍尔果斯市第二届委员会第三次会议胜利召开，政协委员履职尽职，完成政协全体会议各项议程。会议费用于参会政协委员及与会人员会场租赁、住宿、就餐、会场布置氛围营造、会议材料印刷、会议办公用品、农牧民委员参加会议期间德误工补助等各项支出。</w:t>
      </w:r>
    </w:p>
    <w:p>
      <w:pPr>
        <w:tabs>
          <w:tab w:val="left" w:pos="312"/>
        </w:tabs>
        <w:spacing w:line="560" w:lineRule="exact"/>
        <w:ind w:firstLine="640" w:firstLineChars="200"/>
        <w:rPr>
          <w:rFonts w:hint="eastAsia"/>
          <w:sz w:val="32"/>
          <w:szCs w:val="32"/>
          <w:lang w:eastAsia="zh-CN"/>
        </w:rPr>
      </w:pPr>
      <w:r>
        <w:rPr>
          <w:rFonts w:hint="eastAsia"/>
          <w:sz w:val="32"/>
          <w:szCs w:val="32"/>
          <w:highlight w:val="none"/>
          <w:lang w:val="en-US" w:eastAsia="zh-CN"/>
        </w:rPr>
        <w:t>2.</w:t>
      </w:r>
      <w:r>
        <w:rPr>
          <w:rFonts w:hint="eastAsia"/>
          <w:sz w:val="32"/>
          <w:szCs w:val="32"/>
          <w:highlight w:val="none"/>
        </w:rPr>
        <w:t>阶段性目标：</w:t>
      </w:r>
      <w:r>
        <w:rPr>
          <w:rFonts w:hint="eastAsia"/>
          <w:sz w:val="32"/>
          <w:szCs w:val="32"/>
          <w:highlight w:val="none"/>
          <w:lang w:eastAsia="zh-CN"/>
        </w:rPr>
        <w:t>完成政协霍尔果斯市第二届委</w:t>
      </w:r>
      <w:r>
        <w:rPr>
          <w:rFonts w:hint="eastAsia"/>
          <w:sz w:val="32"/>
          <w:szCs w:val="32"/>
          <w:lang w:eastAsia="zh-CN"/>
        </w:rPr>
        <w:t>员会第三次会议全部议程，保障会议期间产生的所有费用支出，保障会议胜利召开，达到预期目标。</w:t>
      </w:r>
    </w:p>
    <w:p>
      <w:pPr>
        <w:numPr>
          <w:ilvl w:val="0"/>
          <w:numId w:val="0"/>
        </w:numPr>
        <w:spacing w:line="560" w:lineRule="exact"/>
        <w:ind w:left="320" w:leftChars="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kern w:val="0"/>
          <w:sz w:val="32"/>
          <w:szCs w:val="32"/>
          <w:lang w:val="en-US" w:eastAsia="zh-CN" w:bidi="ar-SA"/>
        </w:rPr>
        <w:t>政协会议费项目所包</w:t>
      </w:r>
      <w:r>
        <w:rPr>
          <w:rFonts w:hint="eastAsia" w:ascii="仿宋_GB2312" w:hAnsi="仿宋_GB2312" w:eastAsia="仿宋_GB2312" w:cs="仿宋_GB2312"/>
          <w:sz w:val="32"/>
          <w:szCs w:val="32"/>
        </w:rPr>
        <w:t>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val="en-US" w:eastAsia="zh-CN"/>
        </w:rPr>
        <w:t>政协会议费</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pPr>
      <w:r>
        <w:rPr>
          <w:rFonts w:ascii="Times New Roman" w:hAnsi="Times New Roman" w:eastAsia="仿宋_GB2312"/>
          <w:b w:val="0"/>
          <w:bCs w:val="0"/>
        </w:rPr>
        <w:t>（4）公开透明。绩效评价结果应依法依规公开，并自觉接受社会监督。</w:t>
      </w:r>
    </w:p>
    <w:p>
      <w:pPr>
        <w:keepNext w:val="0"/>
        <w:keepLines w:val="0"/>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sz w:val="32"/>
          <w:szCs w:val="32"/>
        </w:rPr>
      </w:pPr>
      <w:r>
        <w:rPr>
          <w:rFonts w:hint="eastAsia"/>
        </w:rPr>
        <w:t>2、</w:t>
      </w:r>
      <w:r>
        <w:rPr>
          <w:rFonts w:hint="eastAsia"/>
          <w:sz w:val="32"/>
          <w:szCs w:val="32"/>
        </w:rPr>
        <w:t>评价指标体系</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w:t>
      </w:r>
      <w:r>
        <w:rPr>
          <w:rFonts w:eastAsia="仿宋_GB2312"/>
          <w:color w:val="000000"/>
          <w:spacing w:val="17"/>
          <w:w w:val="95"/>
          <w:sz w:val="32"/>
          <w:szCs w:val="32"/>
        </w:rPr>
        <w:t>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rPr>
      </w:pPr>
      <w:r>
        <w:rPr>
          <w:rFonts w:ascii="Times New Roman" w:hAnsi="Times New Roman" w:eastAsia="仿宋_GB2312"/>
          <w:b w:val="0"/>
          <w:bCs w:val="0"/>
          <w:color w:val="000000"/>
          <w:spacing w:val="17"/>
        </w:rPr>
        <w:t>具体评价指标体系详情见附件1</w:t>
      </w:r>
    </w:p>
    <w:p>
      <w:pPr>
        <w:pStyle w:val="6"/>
        <w:keepNext w:val="0"/>
        <w:keepLines w:val="0"/>
        <w:pageBreakBefore w:val="0"/>
        <w:kinsoku/>
        <w:wordWrap/>
        <w:overflowPunct/>
        <w:topLinePunct w:val="0"/>
        <w:autoSpaceDE/>
        <w:autoSpaceDN/>
        <w:bidi w:val="0"/>
        <w:adjustRightInd/>
        <w:snapToGrid/>
        <w:spacing w:line="560" w:lineRule="exact"/>
        <w:textAlignment w:val="auto"/>
        <w:rPr>
          <w:rFonts w:hint="eastAsia"/>
          <w:sz w:val="32"/>
          <w:szCs w:val="32"/>
        </w:rPr>
      </w:pPr>
      <w:r>
        <w:rPr>
          <w:rFonts w:hint="eastAsia"/>
          <w:sz w:val="32"/>
          <w:szCs w:val="32"/>
        </w:rPr>
        <w:t>3、评价方法</w:t>
      </w:r>
    </w:p>
    <w:p>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w w:val="103"/>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w:t>
      </w:r>
      <w:r>
        <w:rPr>
          <w:rFonts w:eastAsia="仿宋_GB2312"/>
          <w:color w:val="000000" w:themeColor="text1"/>
          <w:spacing w:val="17"/>
          <w:w w:val="103"/>
          <w:sz w:val="32"/>
          <w:szCs w:val="32"/>
          <w14:textFill>
            <w14:solidFill>
              <w14:schemeClr w14:val="tx1"/>
            </w14:solidFill>
          </w14:textFill>
        </w:rPr>
        <w:t>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w:t>
      </w:r>
      <w:r>
        <w:rPr>
          <w:rFonts w:hint="eastAsia"/>
          <w:bCs/>
          <w:color w:val="000000" w:themeColor="text1"/>
          <w:sz w:val="32"/>
          <w:szCs w:val="32"/>
          <w:lang w:eastAsia="zh-CN"/>
          <w14:textFill>
            <w14:solidFill>
              <w14:schemeClr w14:val="tx1"/>
            </w14:solidFill>
          </w14:textFill>
        </w:rPr>
        <w:t>：</w:t>
      </w:r>
      <w:r>
        <w:rPr>
          <w:rFonts w:hint="eastAsia"/>
          <w:bCs/>
          <w:color w:val="000000" w:themeColor="text1"/>
          <w:sz w:val="32"/>
          <w:szCs w:val="32"/>
          <w14:textFill>
            <w14:solidFill>
              <w14:schemeClr w14:val="tx1"/>
            </w14:solidFill>
          </w14:textFill>
        </w:rPr>
        <w:t>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w w:val="102"/>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w:t>
      </w:r>
      <w:r>
        <w:rPr>
          <w:rFonts w:hint="eastAsia" w:eastAsia="仿宋_GB2312"/>
          <w:bCs/>
          <w:w w:val="102"/>
          <w:sz w:val="32"/>
          <w:szCs w:val="32"/>
        </w:rPr>
        <w:t>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 xml:space="preserve">分，属于“优”。其中，项目决策类指标权重为20分，得分为 </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40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lang w:val="en-US" w:eastAsia="zh-CN" w:bidi="ar-SA"/>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b w:val="0"/>
          <w:bCs w:val="0"/>
          <w:sz w:val="32"/>
          <w:szCs w:val="32"/>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ascii="仿宋_GB2312" w:hAnsi="仿宋_GB2312" w:cs="仿宋_GB2312"/>
          <w:sz w:val="32"/>
          <w:szCs w:val="32"/>
          <w:lang w:val="en-US" w:eastAsia="zh-CN"/>
        </w:rPr>
        <w:t>经费支出经党组会议研究</w:t>
      </w:r>
      <w:r>
        <w:rPr>
          <w:rFonts w:hint="eastAsia" w:ascii="仿宋_GB2312" w:hAnsi="仿宋_GB2312" w:eastAsia="仿宋_GB2312" w:cs="仿宋_GB2312"/>
          <w:sz w:val="32"/>
          <w:szCs w:val="32"/>
          <w:lang w:val="en-US" w:eastAsia="zh-CN"/>
        </w:rPr>
        <w:t>，保障了程序的规范性。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w:t>
      </w:r>
      <w:r>
        <w:rPr>
          <w:rFonts w:hint="eastAsia" w:ascii="仿宋_GB2312" w:hAnsi="仿宋_GB2312" w:eastAsia="仿宋_GB2312" w:cs="仿宋_GB2312"/>
          <w:sz w:val="32"/>
          <w:szCs w:val="32"/>
          <w:highlight w:val="none"/>
          <w:lang w:val="en-US" w:eastAsia="zh-CN"/>
        </w:rPr>
        <w:t>值为20分，实际得分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16.86</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16.86</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会议次数</w:t>
      </w:r>
      <w:r>
        <w:rPr>
          <w:rFonts w:hint="eastAsia"/>
          <w:color w:val="auto"/>
          <w:sz w:val="32"/>
          <w:szCs w:val="32"/>
        </w:rPr>
        <w:t>，指标值：</w:t>
      </w:r>
      <w:r>
        <w:rPr>
          <w:rFonts w:hint="eastAsia"/>
          <w:color w:val="auto"/>
          <w:sz w:val="32"/>
          <w:szCs w:val="32"/>
          <w:lang w:eastAsia="zh-CN"/>
        </w:rPr>
        <w:t>=1次</w:t>
      </w:r>
      <w:r>
        <w:rPr>
          <w:rFonts w:hint="eastAsia"/>
          <w:color w:val="auto"/>
          <w:sz w:val="32"/>
          <w:szCs w:val="32"/>
        </w:rPr>
        <w:t>，实际完成值</w:t>
      </w:r>
      <w:r>
        <w:rPr>
          <w:rFonts w:hint="eastAsia"/>
          <w:color w:val="auto"/>
          <w:sz w:val="32"/>
          <w:szCs w:val="32"/>
          <w:lang w:eastAsia="zh-CN"/>
        </w:rPr>
        <w:t>：=1次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w:t>
      </w:r>
      <w:r>
        <w:rPr>
          <w:rFonts w:hint="eastAsia"/>
          <w:color w:val="auto"/>
          <w:sz w:val="32"/>
          <w:szCs w:val="32"/>
          <w:lang w:eastAsia="zh-CN"/>
        </w:rPr>
        <w:t>参会人数</w:t>
      </w:r>
      <w:r>
        <w:rPr>
          <w:rFonts w:hint="eastAsia"/>
          <w:color w:val="auto"/>
          <w:sz w:val="32"/>
          <w:szCs w:val="32"/>
        </w:rPr>
        <w:t>，指标值：</w:t>
      </w:r>
      <w:r>
        <w:rPr>
          <w:rFonts w:hint="eastAsia"/>
          <w:color w:val="auto"/>
          <w:sz w:val="32"/>
          <w:szCs w:val="32"/>
          <w:lang w:eastAsia="zh-CN"/>
        </w:rPr>
        <w:t>=125人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=125人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color w:val="auto"/>
          <w:sz w:val="32"/>
          <w:szCs w:val="32"/>
        </w:rPr>
        <w:t>：</w:t>
      </w:r>
      <w:r>
        <w:rPr>
          <w:rFonts w:hint="eastAsia"/>
          <w:color w:val="auto"/>
          <w:sz w:val="32"/>
          <w:szCs w:val="32"/>
          <w:lang w:val="en-US" w:eastAsia="zh-CN"/>
        </w:rPr>
        <w:t>会议天数</w:t>
      </w:r>
      <w:r>
        <w:rPr>
          <w:rFonts w:hint="eastAsia"/>
          <w:color w:val="auto"/>
          <w:sz w:val="32"/>
          <w:szCs w:val="32"/>
        </w:rPr>
        <w:t>，指标值：</w:t>
      </w:r>
      <w:r>
        <w:rPr>
          <w:rFonts w:hint="eastAsia"/>
          <w:color w:val="auto"/>
          <w:sz w:val="32"/>
          <w:szCs w:val="32"/>
          <w:lang w:eastAsia="zh-CN"/>
        </w:rPr>
        <w:t>=</w:t>
      </w:r>
      <w:r>
        <w:rPr>
          <w:rFonts w:hint="eastAsia"/>
          <w:color w:val="auto"/>
          <w:sz w:val="32"/>
          <w:szCs w:val="32"/>
          <w:lang w:val="en-US" w:eastAsia="zh-CN"/>
        </w:rPr>
        <w:t>3天</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=3天</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lang w:val="en-US" w:eastAsia="zh-CN"/>
        </w:rPr>
      </w:pPr>
      <w:r>
        <w:rPr>
          <w:rFonts w:hint="eastAsia"/>
          <w:color w:val="auto"/>
          <w:sz w:val="32"/>
          <w:szCs w:val="32"/>
        </w:rPr>
        <w:t>指标1：</w:t>
      </w:r>
      <w:r>
        <w:rPr>
          <w:rFonts w:hint="eastAsia"/>
          <w:color w:val="auto"/>
          <w:sz w:val="32"/>
          <w:szCs w:val="32"/>
          <w:lang w:val="en-US" w:eastAsia="zh-CN"/>
        </w:rPr>
        <w:t>会议出勤率</w:t>
      </w:r>
      <w:r>
        <w:rPr>
          <w:rFonts w:hint="eastAsia"/>
          <w:color w:val="auto"/>
          <w:sz w:val="32"/>
          <w:szCs w:val="32"/>
        </w:rPr>
        <w:t>，指标值：</w:t>
      </w:r>
      <w:r>
        <w:rPr>
          <w:rFonts w:hint="eastAsia"/>
          <w:color w:val="auto"/>
          <w:sz w:val="32"/>
          <w:szCs w:val="32"/>
          <w:lang w:eastAsia="zh-CN"/>
        </w:rPr>
        <w:t>&gt;=90%</w:t>
      </w:r>
      <w:r>
        <w:rPr>
          <w:rFonts w:hint="eastAsia"/>
          <w:color w:val="auto"/>
          <w:sz w:val="32"/>
          <w:szCs w:val="32"/>
        </w:rPr>
        <w:t>，实际完成值</w:t>
      </w:r>
      <w:r>
        <w:rPr>
          <w:rFonts w:hint="eastAsia"/>
          <w:color w:val="auto"/>
          <w:sz w:val="32"/>
          <w:szCs w:val="32"/>
          <w:lang w:eastAsia="zh-CN"/>
        </w:rPr>
        <w:t>：=90%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bookmarkStart w:id="14" w:name="_Toc68703841"/>
      <w:r>
        <w:rPr>
          <w:rFonts w:hint="eastAsia"/>
          <w:color w:val="auto"/>
          <w:sz w:val="32"/>
          <w:szCs w:val="32"/>
        </w:rPr>
        <w:t>指标1：</w:t>
      </w:r>
      <w:r>
        <w:rPr>
          <w:rFonts w:hint="eastAsia"/>
          <w:color w:val="auto"/>
          <w:sz w:val="32"/>
          <w:szCs w:val="32"/>
          <w:lang w:val="en-US" w:eastAsia="zh-CN"/>
        </w:rPr>
        <w:t>会议按期完成率</w:t>
      </w:r>
      <w:r>
        <w:rPr>
          <w:rFonts w:hint="eastAsia"/>
          <w:color w:val="auto"/>
          <w:sz w:val="32"/>
          <w:szCs w:val="32"/>
        </w:rPr>
        <w:t>，指标值：</w:t>
      </w:r>
      <w:r>
        <w:rPr>
          <w:rFonts w:hint="eastAsia"/>
          <w:color w:val="auto"/>
          <w:sz w:val="32"/>
          <w:szCs w:val="32"/>
          <w:lang w:eastAsia="zh-CN"/>
        </w:rPr>
        <w:t>=100%</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ascii="仿宋_GB2312" w:hAnsi="仿宋_GB2312" w:eastAsia="仿宋_GB2312" w:cs="仿宋_GB2312"/>
          <w:sz w:val="32"/>
          <w:szCs w:val="32"/>
          <w:highlight w:val="none"/>
          <w:lang w:val="en-US" w:eastAsia="zh-CN"/>
        </w:rPr>
        <w:t>会议人均支出标准</w:t>
      </w:r>
      <w:r>
        <w:rPr>
          <w:rFonts w:hint="eastAsia"/>
          <w:color w:val="auto"/>
          <w:sz w:val="32"/>
          <w:szCs w:val="32"/>
        </w:rPr>
        <w:t>，指标值：</w:t>
      </w:r>
      <w:r>
        <w:rPr>
          <w:rFonts w:hint="eastAsia"/>
          <w:color w:val="auto"/>
          <w:sz w:val="32"/>
          <w:szCs w:val="32"/>
          <w:lang w:eastAsia="zh-CN"/>
        </w:rPr>
        <w:t>&lt;=450元/人.天</w:t>
      </w:r>
      <w:r>
        <w:rPr>
          <w:rFonts w:hint="eastAsia"/>
          <w:color w:val="auto"/>
          <w:sz w:val="32"/>
          <w:szCs w:val="32"/>
        </w:rPr>
        <w:t>，实际完成值</w:t>
      </w:r>
      <w:r>
        <w:rPr>
          <w:rFonts w:hint="eastAsia"/>
          <w:color w:val="auto"/>
          <w:sz w:val="32"/>
          <w:szCs w:val="32"/>
          <w:lang w:eastAsia="zh-CN"/>
        </w:rPr>
        <w:t>：=450元/人.天</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val="en-US" w:eastAsia="zh-CN"/>
        </w:rPr>
      </w:pPr>
      <w:r>
        <w:rPr>
          <w:rFonts w:hint="eastAsia"/>
          <w:color w:val="auto"/>
          <w:sz w:val="32"/>
          <w:szCs w:val="32"/>
        </w:rPr>
        <w:t>指标1：</w:t>
      </w:r>
      <w:r>
        <w:rPr>
          <w:rFonts w:hint="eastAsia" w:ascii="仿宋_GB2312" w:hAnsi="仿宋_GB2312" w:eastAsia="仿宋_GB2312" w:cs="仿宋_GB2312"/>
          <w:sz w:val="32"/>
          <w:szCs w:val="32"/>
          <w:highlight w:val="none"/>
          <w:lang w:val="en-US" w:eastAsia="zh-CN"/>
        </w:rPr>
        <w:t>发挥政协委员参政议政职能</w:t>
      </w:r>
      <w:r>
        <w:rPr>
          <w:rFonts w:hint="eastAsia"/>
          <w:color w:val="auto"/>
          <w:sz w:val="32"/>
          <w:szCs w:val="32"/>
        </w:rPr>
        <w:t>，指标值：</w:t>
      </w:r>
      <w:r>
        <w:rPr>
          <w:rFonts w:hint="eastAsia"/>
          <w:color w:val="auto"/>
          <w:sz w:val="32"/>
          <w:szCs w:val="32"/>
          <w:lang w:eastAsia="zh-CN"/>
        </w:rPr>
        <w:t>有效发挥</w:t>
      </w:r>
      <w:r>
        <w:rPr>
          <w:rFonts w:hint="eastAsia"/>
          <w:color w:val="auto"/>
          <w:sz w:val="32"/>
          <w:szCs w:val="32"/>
        </w:rPr>
        <w:t>，实际完成值</w:t>
      </w:r>
      <w:r>
        <w:rPr>
          <w:rFonts w:hint="eastAsia"/>
          <w:color w:val="auto"/>
          <w:sz w:val="32"/>
          <w:szCs w:val="32"/>
          <w:lang w:eastAsia="zh-CN"/>
        </w:rPr>
        <w:t>：有效发挥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shd w:val="clear"/>
        <w:spacing w:line="600" w:lineRule="exact"/>
        <w:ind w:firstLine="640" w:firstLineChars="200"/>
        <w:outlineLvl w:val="0"/>
        <w:rPr>
          <w:rFonts w:hint="eastAsia"/>
          <w:color w:val="auto"/>
          <w:sz w:val="32"/>
          <w:szCs w:val="32"/>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ascii="仿宋_GB2312" w:hAnsi="仿宋_GB2312" w:eastAsia="仿宋_GB2312" w:cs="仿宋_GB2312"/>
          <w:sz w:val="32"/>
          <w:szCs w:val="32"/>
          <w:highlight w:val="none"/>
          <w:lang w:val="en-US" w:eastAsia="zh-CN"/>
        </w:rPr>
        <w:t>委员积极建言献策，更好地服务于社会和经济发展</w:t>
      </w:r>
      <w:r>
        <w:rPr>
          <w:rFonts w:hint="eastAsia"/>
          <w:color w:val="auto"/>
          <w:sz w:val="32"/>
          <w:szCs w:val="32"/>
        </w:rPr>
        <w:t>，指标值：</w:t>
      </w:r>
      <w:r>
        <w:rPr>
          <w:rFonts w:hint="eastAsia"/>
          <w:color w:val="auto"/>
          <w:sz w:val="32"/>
          <w:szCs w:val="32"/>
          <w:lang w:eastAsia="zh-CN"/>
        </w:rPr>
        <w:t>效果显著</w:t>
      </w:r>
      <w:r>
        <w:rPr>
          <w:rFonts w:hint="eastAsia"/>
          <w:color w:val="auto"/>
          <w:sz w:val="32"/>
          <w:szCs w:val="32"/>
        </w:rPr>
        <w:t>，实际完成值</w:t>
      </w:r>
      <w:r>
        <w:rPr>
          <w:rFonts w:hint="eastAsia"/>
          <w:color w:val="auto"/>
          <w:sz w:val="32"/>
          <w:szCs w:val="32"/>
          <w:lang w:eastAsia="zh-CN"/>
        </w:rPr>
        <w:t>：效果显著</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ascii="仿宋_GB2312" w:hAnsi="仿宋_GB2312" w:eastAsia="仿宋_GB2312" w:cs="仿宋_GB2312"/>
          <w:sz w:val="32"/>
          <w:szCs w:val="32"/>
          <w:highlight w:val="none"/>
          <w:lang w:val="en-US" w:eastAsia="zh-CN"/>
        </w:rPr>
        <w:t>政协委员满意度</w:t>
      </w:r>
      <w:r>
        <w:rPr>
          <w:rFonts w:hint="eastAsia"/>
          <w:color w:val="auto"/>
          <w:sz w:val="32"/>
          <w:szCs w:val="32"/>
        </w:rPr>
        <w:t>，指标值：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keepNext w:val="0"/>
        <w:keepLines w:val="0"/>
        <w:pageBreakBefore w:val="0"/>
        <w:widowControl w:val="0"/>
        <w:kinsoku/>
        <w:wordWrap/>
        <w:overflowPunct/>
        <w:topLinePunct w:val="0"/>
        <w:autoSpaceDE/>
        <w:autoSpaceDN/>
        <w:bidi w:val="0"/>
        <w:adjustRightInd/>
        <w:snapToGrid/>
        <w:spacing w:line="560" w:lineRule="exact"/>
        <w:ind w:firstLine="640"/>
        <w:textAlignment w:val="auto"/>
      </w:pPr>
      <w:r>
        <w:rPr>
          <w:rFonts w:hint="eastAsia" w:ascii="仿宋_GB2312" w:hAnsi="仿宋_GB2312" w:cs="仿宋_GB2312"/>
          <w:kern w:val="2"/>
          <w:sz w:val="32"/>
          <w:szCs w:val="32"/>
          <w:lang w:val="en-US" w:eastAsia="zh-CN" w:bidi="ar-SA"/>
        </w:rPr>
        <w:t>霍尔果斯市政协2023年度会议费</w:t>
      </w:r>
      <w:r>
        <w:rPr>
          <w:rFonts w:hint="eastAsia" w:ascii="仿宋_GB2312" w:hAnsi="仿宋_GB2312" w:eastAsia="仿宋_GB2312" w:cs="仿宋_GB2312"/>
          <w:kern w:val="2"/>
          <w:sz w:val="32"/>
          <w:szCs w:val="32"/>
          <w:lang w:val="en-US" w:eastAsia="zh-CN" w:bidi="ar-SA"/>
        </w:rPr>
        <w:t>项目年初预算16.86万元，全年预算16.86万元，实际支出16.86万元，预算执行率为100%，项目绩效指标总体完成率为100%，</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偏差率为0%,</w:t>
      </w:r>
      <w:r>
        <w:rPr>
          <w:rFonts w:hint="eastAsia" w:ascii="仿宋_GB2312" w:hAnsi="仿宋_GB2312" w:eastAsia="仿宋_GB2312" w:cs="仿宋_GB2312"/>
          <w:kern w:val="2"/>
          <w:sz w:val="32"/>
          <w:szCs w:val="32"/>
          <w:lang w:val="en-US" w:eastAsia="zh-Hans" w:bidi="ar-SA"/>
        </w:rPr>
        <w:t>偏差</w:t>
      </w:r>
      <w:r>
        <w:rPr>
          <w:rFonts w:hint="eastAsia" w:ascii="仿宋_GB2312" w:hAnsi="仿宋_GB2312" w:eastAsia="仿宋_GB2312" w:cs="仿宋_GB2312"/>
          <w:kern w:val="2"/>
          <w:sz w:val="32"/>
          <w:szCs w:val="32"/>
          <w:lang w:val="en-US" w:eastAsia="zh-CN" w:bidi="ar-SA"/>
        </w:rPr>
        <w:t>原因无，</w:t>
      </w:r>
      <w:r>
        <w:rPr>
          <w:rFonts w:hint="eastAsia" w:ascii="仿宋_GB2312" w:hAnsi="仿宋_GB2312" w:eastAsia="仿宋_GB2312" w:cs="仿宋_GB2312"/>
          <w:kern w:val="2"/>
          <w:sz w:val="32"/>
          <w:szCs w:val="32"/>
          <w:lang w:val="en-US" w:eastAsia="zh-Hans" w:bidi="ar-SA"/>
        </w:rPr>
        <w:t>改进</w:t>
      </w:r>
      <w:r>
        <w:rPr>
          <w:rFonts w:hint="eastAsia" w:ascii="仿宋_GB2312" w:hAnsi="仿宋_GB2312" w:eastAsia="仿宋_GB2312" w:cs="仿宋_GB2312"/>
          <w:kern w:val="2"/>
          <w:sz w:val="32"/>
          <w:szCs w:val="32"/>
          <w:lang w:val="en-US" w:eastAsia="zh-CN" w:bidi="ar-SA"/>
        </w:rPr>
        <w:t>措施无。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19" w:name="_Toc68703846"/>
      <w:r>
        <w:rPr>
          <w:rFonts w:hint="eastAsia" w:ascii="宋体" w:hAnsi="宋体" w:eastAsia="宋体"/>
          <w:sz w:val="32"/>
          <w:szCs w:val="32"/>
          <w:lang w:eastAsia="zh-CN"/>
        </w:rPr>
        <w:t>八</w:t>
      </w:r>
      <w:r>
        <w:rPr>
          <w:rFonts w:hint="eastAsia" w:ascii="宋体" w:hAnsi="宋体" w:eastAsia="宋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pPr>
    </w:p>
    <w:p/>
    <w:p/>
    <w:p>
      <w:pPr>
        <w:pStyle w:val="2"/>
        <w:jc w:val="both"/>
      </w:pPr>
    </w:p>
    <w:p/>
    <w:p/>
    <w:p>
      <w:pPr>
        <w:pStyle w:val="2"/>
      </w:pPr>
    </w:p>
    <w:p/>
    <w:tbl>
      <w:tblPr>
        <w:tblStyle w:val="11"/>
        <w:tblW w:w="10500" w:type="dxa"/>
        <w:jc w:val="center"/>
        <w:tblInd w:w="-20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75"/>
        <w:gridCol w:w="801"/>
        <w:gridCol w:w="1100"/>
        <w:gridCol w:w="444"/>
        <w:gridCol w:w="1610"/>
        <w:gridCol w:w="503"/>
        <w:gridCol w:w="864"/>
        <w:gridCol w:w="870"/>
        <w:gridCol w:w="460"/>
        <w:gridCol w:w="417"/>
        <w:gridCol w:w="467"/>
        <w:gridCol w:w="344"/>
        <w:gridCol w:w="384"/>
        <w:gridCol w:w="16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jc w:val="center"/>
        </w:trPr>
        <w:tc>
          <w:tcPr>
            <w:tcW w:w="1050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050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9124"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霍尔果斯市政协2023年度会议费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52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中国人民政治协商会议霍尔果斯市委员会</w:t>
            </w:r>
          </w:p>
        </w:tc>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2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中国人民政治协商会议霍尔果斯市委员会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3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30" w:hRule="atLeast"/>
          <w:jc w:val="center"/>
        </w:trPr>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16.86</w:t>
            </w:r>
          </w:p>
        </w:tc>
        <w:tc>
          <w:tcPr>
            <w:tcW w:w="13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16.86</w:t>
            </w:r>
          </w:p>
        </w:tc>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16.86</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16.86</w:t>
            </w:r>
          </w:p>
        </w:tc>
        <w:tc>
          <w:tcPr>
            <w:tcW w:w="13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16.86</w:t>
            </w:r>
          </w:p>
        </w:tc>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jc w:val="center"/>
        </w:trPr>
        <w:tc>
          <w:tcPr>
            <w:tcW w:w="13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6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532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60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9"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322"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中国人民政治协商会议霍尔果斯市第二届委员会第三次会议胜利召开，政协委员履职尽职，完成政协全体会议各项议程。会议费用于参会政协委员及与会人员会场租赁、住宿、就餐、会场布置氛围营造、会议材料印刷、会议办公用品、农牧民委员参加会议期间德误工补助等各项支出。</w:t>
            </w:r>
          </w:p>
        </w:tc>
        <w:tc>
          <w:tcPr>
            <w:tcW w:w="460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中国人民政治协商会议霍尔果斯市第二届委员会第三次会议胜利召开，政协委员履职尽职，完成政协全体会议各项议程。会议费用于参会政协委员及与会人员会场租赁、住宿、就餐、会场布置氛围营造、会议材料印刷、会议办公用品、农牧民委员参加会议期间德误工补助等各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55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8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20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会议次数</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1次</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参会人数</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=125人</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125人</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会议天数</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=3天</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3天</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会议出勤率</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会议按期完成率</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会议人均支出标准</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&lt;=450元/人.天</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450元/人·天</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发挥政协委员参政议政职能</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有效发挥</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有效发挥</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委员积极建言献策，更好地服务于社会和经济发展</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效果显著</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效果明显</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jc w:val="center"/>
        </w:trPr>
        <w:tc>
          <w:tcPr>
            <w:tcW w:w="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5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政协委员满意度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676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8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100分</w:t>
            </w:r>
          </w:p>
        </w:tc>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spacing w:line="600" w:lineRule="exact"/>
        <w:rPr>
          <w:rFonts w:hint="eastAsia" w:ascii="黑体" w:hAnsi="黑体" w:eastAsia="黑体" w:cs="黑体"/>
          <w:bCs/>
          <w:sz w:val="32"/>
          <w:szCs w:val="32"/>
        </w:rPr>
        <w:sectPr>
          <w:headerReference r:id="rId3" w:type="default"/>
          <w:pgSz w:w="11906" w:h="16838"/>
          <w:pgMar w:top="2098" w:right="1531" w:bottom="1984" w:left="153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sz w:val="28"/>
          <w:szCs w:val="40"/>
          <w:highlight w:val="none"/>
          <w:lang w:val="en-US" w:eastAsia="zh-CN"/>
        </w:rPr>
        <w:t>霍尔果斯市政协2023年度会议费</w:t>
      </w:r>
      <w:r>
        <w:rPr>
          <w:rFonts w:hint="eastAsia"/>
          <w:b/>
          <w:bCs/>
          <w:sz w:val="28"/>
          <w:szCs w:val="40"/>
          <w:highlight w:val="none"/>
        </w:rPr>
        <w:t>项目绩</w:t>
      </w:r>
      <w:r>
        <w:rPr>
          <w:rFonts w:hint="eastAsia"/>
          <w:b/>
          <w:bCs/>
          <w:sz w:val="28"/>
          <w:szCs w:val="40"/>
        </w:rPr>
        <w:t>效评价指标体系及综合评分表</w:t>
      </w:r>
      <w:bookmarkEnd w:id="20"/>
      <w:bookmarkEnd w:id="21"/>
    </w:p>
    <w:tbl>
      <w:tblPr>
        <w:tblStyle w:val="11"/>
        <w:tblW w:w="15760" w:type="dxa"/>
        <w:jc w:val="center"/>
        <w:tblInd w:w="-126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77"/>
        <w:gridCol w:w="1197"/>
        <w:gridCol w:w="1429"/>
        <w:gridCol w:w="3567"/>
        <w:gridCol w:w="7257"/>
        <w:gridCol w:w="766"/>
        <w:gridCol w:w="7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65" w:hRule="atLeast"/>
          <w:jc w:val="center"/>
        </w:trPr>
        <w:tc>
          <w:tcPr>
            <w:tcW w:w="14227"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霍尔果斯市政协2023年度会议费项目支出绩效评价指标体系</w:t>
            </w:r>
          </w:p>
        </w:tc>
        <w:tc>
          <w:tcPr>
            <w:tcW w:w="766"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67" w:type="dxa"/>
            <w:tcBorders>
              <w:top w:val="nil"/>
              <w:left w:val="nil"/>
              <w:bottom w:val="nil"/>
              <w:right w:val="nil"/>
            </w:tcBorders>
            <w:shd w:val="clear" w:color="auto" w:fill="auto"/>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08" w:hRule="atLeast"/>
          <w:jc w:val="center"/>
        </w:trPr>
        <w:tc>
          <w:tcPr>
            <w:tcW w:w="77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一级指标</w:t>
            </w:r>
          </w:p>
        </w:tc>
        <w:tc>
          <w:tcPr>
            <w:tcW w:w="119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二级指标</w:t>
            </w:r>
          </w:p>
        </w:tc>
        <w:tc>
          <w:tcPr>
            <w:tcW w:w="142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三级指标</w:t>
            </w:r>
          </w:p>
        </w:tc>
        <w:tc>
          <w:tcPr>
            <w:tcW w:w="356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指标解释</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指标说明</w:t>
            </w:r>
          </w:p>
        </w:tc>
        <w:tc>
          <w:tcPr>
            <w:tcW w:w="76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分值</w:t>
            </w:r>
          </w:p>
        </w:tc>
        <w:tc>
          <w:tcPr>
            <w:tcW w:w="76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决策　（20）</w:t>
            </w: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项目立项(6)</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立项依据充分性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项目立项是否符合法律法规、相关政策、发展规划以及部门职责，用以反映和考核项目立项依据情况。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①项目立项是否符合国家法律法规、国民经济发展规划和相关政策；</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②项目立项是否符合行业发展规划和政策要求；</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③项目立项是否与部门职责范围相符，属于部门履职所需；</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④项目是否属于公共财政支持范围，是否符合中央、地方事权支出责任划分原则；</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⑤项目是否与相关部门同类项目或部门内部相关项目重复。</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立项程序规范性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项目申请、设立过程是否符合相关要求，用以反映和考核项目立项的规范情况。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①项目是否按照规定的程序申请设立；</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②审批文件、材料是否符合相关要求；</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③事前是否已经过必要的可行性研究、专家论证、风险评估、绩效评估、集体决策。</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0.60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绩效目标合理性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项目所设定的绩效目标是否依据充分，是否符合客观实际，用以反映和考核项目绩效目标与项目实施的相符情况。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（如未设定预算绩效目标，也可考核其他工作任务目标）</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①项目是否有绩效目标；</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②项目绩效目标与实际工作内容是否具有相关性；</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③项目预期产出效益和效果是否符合正常的业绩水平；</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④是否与预算确定的项目投资额或资金量相匹配。</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绩效目标（3）</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绩效指标明确性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依据绩效目标设定的绩效指标是否清晰、细化、可衡量等，用以反映和考核项目绩效目标的明细化情况。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①是否将项目绩效目标细化分解为具体的绩效指标；</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②是否通过清晰、可衡量的指标值予以体现；</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③是否与项目目标任务数或计划数相对应。</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资金投入（8）</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预算编制科学性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项目预算编制是否经过科学论证、有明确标准，资金额度与年度目标是否相适应，用以反映和考核项目预算编制的科学性、合理性情况。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①预算编制是否经过科学论证；</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②预算内容与项目内容是否匹配；</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③预算额度测算依据是否充分，是否按照标准编制；</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④预算确定的项目投资额或资金量是否与工作任务相匹配。</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资金分配合理性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项目预算资金分配是否有测算依据，与补助单位或地方实际是否相适应，用以反映和考核项目预算资金分配的科学性、合理性情况。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①预算资金分配依据是否充分；</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②资金分配额度是否合理，与项目单位或地方实际是否相适应。</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过程（20）</w:t>
            </w: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资金管理(8)</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实际到位资金与预算资金的比率，用以反映和考核资金落实情况对项目实施的总体保障程度。</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资金到位率=（实际到位资金/预算资金）×100%。</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实际到位资金：一定时期（本年度或项目期）内落实到具体项目的资金。</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预算资金：一定时期（本年度或项目期）内预算安排到具体项目的资金。</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项目预算资金是否按照计划执行，用以反映或考核项目预算执行情况。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预算执行率=（实际支出资金/实际到位资金）×100%。</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实际支出资金：一定时期（本年度或项目期）内项目实际拨付的资金。</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资金管理(4)</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资金使用合规性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项目资金使用是否符合相关的财务管理制度规定，用以反映和考核项目资金的规范运行情况。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①是否符合国家财经法规和财务管理制度以及有关专项资金管理办法的规定；</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②资金的拨付是否有完整的审批程序和手续；</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③是否符合项目预算批复或合同规定的用途；</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④是否存在截留、挤占、挪用、虚列支出等情况。</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组织实施（8）</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管理制度健全性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项目实施单位的财务和业务管理制度是否健全，用以反映和考核财务和业务管理制度对项目顺利实施的保障情况。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①是否已制定或具有相应的财务和业务管理制度；</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②财务和业务管理制度是否合法、合规、完整。</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制度执行有效性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项目实施是否符合相关管理规定，用以反映和考核相关管理制度的有效执行情况。</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评价要点：</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①是否遵守相关法律法规和相关管理规定；</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②项目调整及支出调整手续是否完备；</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③项目合同书、验收报告、技术鉴定等资料是否齐全并及时归档；</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④项目实施的人员条件、场地设备、信息支撑等是否落实到位。</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产出（40）</w:t>
            </w: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产出数量(10)</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项目实施的实际产出数与计划产出数的比率，用以反映和考核项目产出数量目标的实现程度。</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实际完成率=（实际产出数/计划产出数）×100%。</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实际产出数：一定时期（本年度或项目期）内项目实际产出的产品或提供的服务数量。</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55"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计划产出数：项目绩效目标确定的在一定时期（本年度或项目期）内计划产出的产品或提供的服务数量。</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产出质量(10)</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项目完成的质量达标产出数与实际产出数的比率，用以反映和考核项目产出质量目标的实现程度。</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质量达标率=（质量达标产出数/实际产出数）×100%。</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25"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产出时效(10)</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完成及时性</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项目实际完成时间与计划完成时间的比较，用以反映和考核项目产出时效目标的实现程度。</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实际完成时间：项目实施单位完成该项目实际所耗用的时间。</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计划完成时间：按照项目实施计划或相关规定完成该项目所需的时间。</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产出成本(10)</w:t>
            </w:r>
          </w:p>
        </w:tc>
        <w:tc>
          <w:tcPr>
            <w:tcW w:w="142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w:t>
            </w:r>
          </w:p>
        </w:tc>
        <w:tc>
          <w:tcPr>
            <w:tcW w:w="356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完成项目计划工作目标的实际节约成本与计划成本的比率，用以反映和考核项目的成本节约程度。</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成本节约率=[（计划成本-实际成本）/计划成本]×100%。</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实际成本：项目实施单位如期、保质、保量完成既定工作目标实际所耗费的支出。</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8"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56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计划成本：项目实施单位为完成工作目标计划安排的支出，一般以项目预算为参考。</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99" w:hRule="atLeast"/>
          <w:jc w:val="center"/>
        </w:trPr>
        <w:tc>
          <w:tcPr>
            <w:tcW w:w="77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效益（20）</w:t>
            </w:r>
          </w:p>
        </w:tc>
        <w:tc>
          <w:tcPr>
            <w:tcW w:w="119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项目效益（20）</w:t>
            </w:r>
          </w:p>
        </w:tc>
        <w:tc>
          <w:tcPr>
            <w:tcW w:w="142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实施效益</w:t>
            </w:r>
          </w:p>
        </w:tc>
        <w:tc>
          <w:tcPr>
            <w:tcW w:w="356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项目实施所产生的效益。</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项目实施所产生的社会效益、经济效益、生态效益、可持续影响等。可根据项目实际情况有选择地设置和细化。</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99" w:hRule="atLeast"/>
          <w:jc w:val="center"/>
        </w:trPr>
        <w:tc>
          <w:tcPr>
            <w:tcW w:w="77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9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w:t>
            </w:r>
          </w:p>
        </w:tc>
        <w:tc>
          <w:tcPr>
            <w:tcW w:w="356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社会公众或服务对象对项目实施效果的满意程度。</w:t>
            </w:r>
          </w:p>
        </w:tc>
        <w:tc>
          <w:tcPr>
            <w:tcW w:w="725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社会公众或服务对象是指因该项目实施而受到影响的部门（单位）、群体或个人。一般采取社会调查的方式。</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99" w:hRule="atLeast"/>
          <w:jc w:val="center"/>
        </w:trPr>
        <w:tc>
          <w:tcPr>
            <w:tcW w:w="14227" w:type="dxa"/>
            <w:gridSpan w:val="5"/>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总分</w:t>
            </w:r>
          </w:p>
        </w:tc>
        <w:tc>
          <w:tcPr>
            <w:tcW w:w="76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c>
          <w:tcPr>
            <w:tcW w:w="767"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 xml:space="preserve">100.00 </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1N2NiNmE0MTdhNDQ5MDczNjFkYjk3NGE4NDI0ZDQ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0FB00BF3"/>
    <w:rsid w:val="109627EE"/>
    <w:rsid w:val="126C0193"/>
    <w:rsid w:val="17136327"/>
    <w:rsid w:val="181871E2"/>
    <w:rsid w:val="19166846"/>
    <w:rsid w:val="19840764"/>
    <w:rsid w:val="20E92B23"/>
    <w:rsid w:val="21787F51"/>
    <w:rsid w:val="22AC2218"/>
    <w:rsid w:val="2729052F"/>
    <w:rsid w:val="28B73FCC"/>
    <w:rsid w:val="28C14634"/>
    <w:rsid w:val="2AB9119D"/>
    <w:rsid w:val="2EC724D4"/>
    <w:rsid w:val="2EE30257"/>
    <w:rsid w:val="34DA27CE"/>
    <w:rsid w:val="36411DC5"/>
    <w:rsid w:val="36B72533"/>
    <w:rsid w:val="3AF24D23"/>
    <w:rsid w:val="4057649F"/>
    <w:rsid w:val="436312FD"/>
    <w:rsid w:val="444038DD"/>
    <w:rsid w:val="450B6AE4"/>
    <w:rsid w:val="4ADC1444"/>
    <w:rsid w:val="4F5D074F"/>
    <w:rsid w:val="54873A1A"/>
    <w:rsid w:val="56796849"/>
    <w:rsid w:val="567C6984"/>
    <w:rsid w:val="568F383B"/>
    <w:rsid w:val="5C632664"/>
    <w:rsid w:val="5D555EEF"/>
    <w:rsid w:val="5DA95371"/>
    <w:rsid w:val="5E107BF0"/>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