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bookmarkStart w:id="0" w:name="_Hlk163932718"/>
      <w:r>
        <w:rPr>
          <w:rFonts w:hint="eastAsia" w:eastAsia="方正小标宋_GBK"/>
          <w:kern w:val="0"/>
          <w:sz w:val="48"/>
          <w:szCs w:val="48"/>
        </w:rPr>
        <w:t>2022-2023年民贸民品贷款贴息项目</w:t>
      </w:r>
      <w:bookmarkEnd w:id="0"/>
      <w:r>
        <w:rPr>
          <w:rFonts w:eastAsia="方正小标宋_GBK"/>
          <w:kern w:val="0"/>
          <w:sz w:val="48"/>
          <w:szCs w:val="48"/>
        </w:rPr>
        <w:t>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rPr>
        <w:t>3年度）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　　　　项目名称：2022-2023年民贸民品贷款贴息项目</w:t>
      </w:r>
    </w:p>
    <w:p>
      <w:pPr>
        <w:spacing w:line="560" w:lineRule="exact"/>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　　　　　实施单位（公章）：</w:t>
      </w:r>
      <w:r>
        <w:rPr>
          <w:rFonts w:hint="eastAsia" w:ascii="宋体" w:hAnsi="宋体" w:eastAsia="宋体" w:cs="仿宋_GB2312"/>
          <w:b/>
          <w:bCs/>
          <w:color w:val="000000"/>
          <w:kern w:val="0"/>
          <w:sz w:val="32"/>
          <w:szCs w:val="32"/>
          <w:lang w:eastAsia="zh-CN"/>
        </w:rPr>
        <w:t>市委统战部（民宗局）</w:t>
      </w:r>
    </w:p>
    <w:p>
      <w:pPr>
        <w:spacing w:line="560" w:lineRule="exact"/>
        <w:rPr>
          <w:rFonts w:ascii="宋体" w:hAnsi="宋体" w:eastAsia="宋体" w:cs="宋体"/>
          <w:kern w:val="0"/>
          <w:sz w:val="32"/>
          <w:szCs w:val="32"/>
        </w:rPr>
      </w:pPr>
      <w:r>
        <w:rPr>
          <w:rFonts w:hint="eastAsia" w:ascii="宋体" w:hAnsi="宋体" w:eastAsia="宋体" w:cs="仿宋_GB2312"/>
          <w:b/>
          <w:bCs/>
          <w:color w:val="000000"/>
          <w:kern w:val="0"/>
          <w:sz w:val="32"/>
          <w:szCs w:val="32"/>
        </w:rPr>
        <w:t>　　　　　主管部门（公章）：</w:t>
      </w:r>
      <w:r>
        <w:rPr>
          <w:rFonts w:hint="eastAsia" w:ascii="宋体" w:hAnsi="宋体" w:eastAsia="宋体" w:cs="仿宋_GB2312"/>
          <w:b/>
          <w:bCs/>
          <w:color w:val="000000"/>
          <w:kern w:val="0"/>
          <w:sz w:val="32"/>
          <w:szCs w:val="32"/>
          <w:lang w:eastAsia="zh-CN"/>
        </w:rPr>
        <w:t>市委统战部（民宗局）</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　　　　项目负责人（签章）：陈海京</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　　　　填报时间：</w:t>
      </w:r>
      <w:r>
        <w:rPr>
          <w:rFonts w:hint="eastAsia" w:ascii="宋体" w:hAnsi="宋体" w:eastAsia="宋体" w:cs="仿宋_GB2312"/>
          <w:color w:val="000000"/>
          <w:kern w:val="0"/>
          <w:sz w:val="32"/>
          <w:szCs w:val="32"/>
        </w:rPr>
        <w:t>2024年4月12日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bookmarkStart w:id="1" w:name="_Toc68703827"/>
      <w:r>
        <w:rPr>
          <w:rFonts w:hint="eastAsia" w:eastAsia="黑体"/>
          <w:bCs/>
          <w:sz w:val="32"/>
          <w:szCs w:val="32"/>
          <w:lang w:eastAsia="zh-CN"/>
        </w:rPr>
        <w:t>一、</w:t>
      </w:r>
      <w:r>
        <w:rPr>
          <w:rFonts w:hint="eastAsia" w:eastAsia="黑体"/>
          <w:bCs/>
          <w:sz w:val="32"/>
          <w:szCs w:val="32"/>
        </w:rPr>
        <w:t>基本情况</w:t>
      </w:r>
      <w:bookmarkEnd w:id="1"/>
      <w:bookmarkStart w:id="2" w:name="_Toc68703828"/>
    </w:p>
    <w:p>
      <w:pPr>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hint="eastAsia" w:eastAsia="楷体_GB2312"/>
          <w:b/>
          <w:bCs/>
          <w:sz w:val="32"/>
          <w:szCs w:val="32"/>
        </w:rPr>
        <w:t>（一）项目概况</w:t>
      </w:r>
      <w:bookmarkEnd w:id="2"/>
    </w:p>
    <w:p>
      <w:pPr>
        <w:pageBreakBefore w:val="0"/>
        <w:kinsoku/>
        <w:wordWrap/>
        <w:overflowPunct/>
        <w:topLinePunct w:val="0"/>
        <w:autoSpaceDE/>
        <w:autoSpaceDN/>
        <w:bidi w:val="0"/>
        <w:adjustRightInd/>
        <w:snapToGrid/>
        <w:spacing w:line="560" w:lineRule="exact"/>
        <w:ind w:firstLine="643" w:firstLineChars="200"/>
        <w:textAlignment w:val="auto"/>
        <w:rPr>
          <w:b/>
          <w:bCs/>
        </w:rPr>
      </w:pPr>
      <w:r>
        <w:rPr>
          <w:rFonts w:hint="eastAsia"/>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ascii="仿宋_GB2312" w:hAnsi="仿宋"/>
          <w:sz w:val="32"/>
          <w:szCs w:val="32"/>
        </w:rPr>
        <w:t>本项目依据《关于印发民族贸易和民族特需商品生产贷款贴息管理办法的通知》财预〔2022〕76号、《关于下达2022年中央财政民族贸易和民族特需商品生产企业贷款贴息资金的通知》（伊州财金〔2022〕18号）和《关于结算2022年度民族贸易和民族物需商品生产贷款贴息引导支持资金的通知》（</w:t>
      </w:r>
      <w:bookmarkStart w:id="3" w:name="_Hlk67566397"/>
      <w:r>
        <w:rPr>
          <w:rFonts w:hint="eastAsia" w:ascii="仿宋_GB2312" w:hAnsi="仿宋"/>
          <w:sz w:val="32"/>
          <w:szCs w:val="32"/>
        </w:rPr>
        <w:t>伊州财金〔2023〕</w:t>
      </w:r>
      <w:r>
        <w:rPr>
          <w:rFonts w:ascii="仿宋_GB2312" w:hAnsi="仿宋"/>
          <w:sz w:val="32"/>
          <w:szCs w:val="32"/>
        </w:rPr>
        <w:t>5</w:t>
      </w:r>
      <w:r>
        <w:rPr>
          <w:rFonts w:hint="eastAsia" w:ascii="仿宋_GB2312" w:hAnsi="仿宋"/>
          <w:sz w:val="32"/>
          <w:szCs w:val="32"/>
        </w:rPr>
        <w:t>号</w:t>
      </w:r>
      <w:bookmarkEnd w:id="3"/>
      <w:r>
        <w:rPr>
          <w:rFonts w:hint="eastAsia" w:ascii="仿宋_GB2312" w:hAnsi="仿宋"/>
          <w:sz w:val="32"/>
          <w:szCs w:val="32"/>
        </w:rPr>
        <w:t>）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kinsoku/>
        <w:wordWrap/>
        <w:overflowPunct/>
        <w:topLinePunct w:val="0"/>
        <w:autoSpaceDE/>
        <w:autoSpaceDN/>
        <w:bidi w:val="0"/>
        <w:adjustRightInd/>
        <w:snapToGrid/>
        <w:spacing w:line="560" w:lineRule="exact"/>
        <w:ind w:firstLine="643" w:firstLineChars="200"/>
        <w:textAlignment w:val="auto"/>
        <w:rPr>
          <w:b/>
          <w:bCs/>
          <w:sz w:val="32"/>
          <w:szCs w:val="32"/>
        </w:rPr>
      </w:pPr>
      <w:r>
        <w:rPr>
          <w:rFonts w:hint="eastAsia"/>
          <w:b/>
          <w:bCs/>
          <w:sz w:val="32"/>
          <w:szCs w:val="32"/>
        </w:rPr>
        <w:t>2.主要内容及实施情况</w:t>
      </w:r>
    </w:p>
    <w:p>
      <w:pPr>
        <w:pageBreakBefore w:val="0"/>
        <w:kinsoku/>
        <w:wordWrap/>
        <w:overflowPunct/>
        <w:topLinePunct w:val="0"/>
        <w:autoSpaceDE/>
        <w:autoSpaceDN/>
        <w:bidi w:val="0"/>
        <w:adjustRightInd/>
        <w:snapToGrid/>
        <w:spacing w:line="560" w:lineRule="exact"/>
        <w:ind w:firstLine="643" w:firstLineChars="200"/>
        <w:textAlignment w:val="auto"/>
        <w:rPr>
          <w:rFonts w:ascii="仿宋_GB2312"/>
          <w:color w:val="FF0000"/>
          <w:sz w:val="32"/>
          <w:szCs w:val="32"/>
        </w:rPr>
      </w:pPr>
      <w:r>
        <w:rPr>
          <w:rFonts w:hint="eastAsia" w:ascii="仿宋_GB2312"/>
          <w:b/>
          <w:bCs/>
          <w:sz w:val="32"/>
          <w:szCs w:val="32"/>
        </w:rPr>
        <w:t>主要内容：</w:t>
      </w:r>
      <w:r>
        <w:rPr>
          <w:rFonts w:hint="eastAsia" w:ascii="仿宋_GB2312"/>
          <w:sz w:val="32"/>
          <w:szCs w:val="32"/>
        </w:rPr>
        <w:t>为满足少数民族群众生产生活需要，促进民族地区贸易发展，保障民族特需商品供应，加强民族贸易和民族特需商品生产贷款贴息管理，提高贴息资金使用效益，引导支持地方落实贴息政策。</w:t>
      </w:r>
    </w:p>
    <w:p>
      <w:pPr>
        <w:pageBreakBefore w:val="0"/>
        <w:kinsoku/>
        <w:wordWrap/>
        <w:overflowPunct/>
        <w:topLinePunct w:val="0"/>
        <w:autoSpaceDE/>
        <w:autoSpaceDN/>
        <w:bidi w:val="0"/>
        <w:adjustRightInd/>
        <w:snapToGrid/>
        <w:spacing w:line="560" w:lineRule="exact"/>
        <w:ind w:firstLine="643" w:firstLineChars="200"/>
        <w:textAlignment w:val="auto"/>
      </w:pPr>
      <w:r>
        <w:rPr>
          <w:rFonts w:hint="eastAsia" w:ascii="仿宋_GB2312"/>
          <w:b/>
          <w:bCs/>
          <w:sz w:val="32"/>
          <w:szCs w:val="32"/>
        </w:rPr>
        <w:t>实施情况：</w:t>
      </w:r>
      <w:r>
        <w:rPr>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643" w:firstLineChars="200"/>
        <w:textAlignment w:val="auto"/>
        <w:rPr>
          <w:b/>
          <w:bCs/>
          <w:sz w:val="32"/>
          <w:szCs w:val="32"/>
        </w:rPr>
      </w:pPr>
      <w:r>
        <w:rPr>
          <w:rFonts w:hint="eastAsia"/>
          <w:b/>
          <w:bCs/>
          <w:sz w:val="32"/>
          <w:szCs w:val="32"/>
        </w:rPr>
        <w:t>3.资金投入和使用情况</w:t>
      </w:r>
    </w:p>
    <w:p>
      <w:pPr>
        <w:pageBreakBefore w:val="0"/>
        <w:kinsoku/>
        <w:wordWrap/>
        <w:overflowPunct/>
        <w:topLinePunct w:val="0"/>
        <w:autoSpaceDE/>
        <w:autoSpaceDN/>
        <w:bidi w:val="0"/>
        <w:adjustRightInd/>
        <w:snapToGrid/>
        <w:spacing w:line="560" w:lineRule="exact"/>
        <w:ind w:firstLine="643" w:firstLineChars="200"/>
        <w:textAlignment w:val="auto"/>
        <w:rPr>
          <w:color w:val="FF0000"/>
          <w:sz w:val="32"/>
          <w:szCs w:val="32"/>
        </w:rPr>
      </w:pPr>
      <w:r>
        <w:rPr>
          <w:rFonts w:hint="eastAsia"/>
          <w:b/>
          <w:bCs/>
          <w:sz w:val="32"/>
          <w:szCs w:val="32"/>
        </w:rPr>
        <w:t>资金投入情况：</w:t>
      </w:r>
      <w:r>
        <w:rPr>
          <w:rFonts w:hint="eastAsia"/>
          <w:sz w:val="32"/>
          <w:szCs w:val="32"/>
        </w:rPr>
        <w:t>该项目年初预算数206.43万元，全年预算数206.43万元，实际总投入206.43万元，该项目资金已全部落实到位，资金来源为财政拨款。</w:t>
      </w:r>
    </w:p>
    <w:p>
      <w:pPr>
        <w:pageBreakBefore w:val="0"/>
        <w:kinsoku/>
        <w:wordWrap/>
        <w:overflowPunct/>
        <w:topLinePunct w:val="0"/>
        <w:autoSpaceDE/>
        <w:autoSpaceDN/>
        <w:bidi w:val="0"/>
        <w:adjustRightInd/>
        <w:snapToGrid/>
        <w:spacing w:line="560" w:lineRule="exact"/>
        <w:ind w:firstLine="643" w:firstLineChars="200"/>
        <w:textAlignment w:val="auto"/>
        <w:rPr>
          <w:color w:val="FF0000"/>
          <w:sz w:val="32"/>
          <w:szCs w:val="32"/>
        </w:rPr>
      </w:pPr>
      <w:r>
        <w:rPr>
          <w:rFonts w:hint="eastAsia"/>
          <w:b/>
          <w:bCs/>
          <w:sz w:val="32"/>
          <w:szCs w:val="32"/>
        </w:rPr>
        <w:t>资金使用情况：</w:t>
      </w:r>
      <w:r>
        <w:rPr>
          <w:rFonts w:hint="eastAsia"/>
          <w:sz w:val="32"/>
          <w:szCs w:val="32"/>
        </w:rPr>
        <w:t>该项目年初预算数206.43万元，全年预算数206.43万元，全年执行数206.43万元，预算执行率为100%，主要用于：民贸民品贷款贴息206.43万元</w:t>
      </w:r>
      <w:bookmarkStart w:id="4" w:name="_Toc68703829"/>
      <w:r>
        <w:rPr>
          <w:rFonts w:hint="eastAsia"/>
          <w:sz w:val="32"/>
          <w:szCs w:val="32"/>
        </w:rPr>
        <w:t>。</w:t>
      </w:r>
    </w:p>
    <w:p>
      <w:pPr>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hint="eastAsia" w:eastAsia="楷体_GB2312"/>
          <w:b/>
          <w:bCs/>
          <w:sz w:val="32"/>
          <w:szCs w:val="32"/>
        </w:rPr>
        <w:t>（二）项目绩效目标</w:t>
      </w:r>
      <w:bookmarkEnd w:id="4"/>
    </w:p>
    <w:p>
      <w:pPr>
        <w:pageBreakBefore w:val="0"/>
        <w:kinsoku/>
        <w:wordWrap/>
        <w:overflowPunct/>
        <w:topLinePunct w:val="0"/>
        <w:autoSpaceDE/>
        <w:autoSpaceDN/>
        <w:bidi w:val="0"/>
        <w:adjustRightInd/>
        <w:snapToGrid/>
        <w:spacing w:line="560" w:lineRule="exact"/>
        <w:ind w:firstLine="643" w:firstLineChars="200"/>
        <w:textAlignment w:val="auto"/>
        <w:rPr>
          <w:color w:val="FF0000"/>
          <w:sz w:val="32"/>
          <w:szCs w:val="32"/>
        </w:rPr>
      </w:pPr>
      <w:r>
        <w:rPr>
          <w:rFonts w:hint="eastAsia"/>
          <w:b/>
          <w:bCs/>
          <w:sz w:val="32"/>
          <w:szCs w:val="32"/>
        </w:rPr>
        <w:t>1.总体目标：</w:t>
      </w:r>
      <w:r>
        <w:rPr>
          <w:rFonts w:hint="eastAsia"/>
          <w:sz w:val="32"/>
          <w:szCs w:val="32"/>
        </w:rPr>
        <w:t>对2022-2023年度民族贸易和民族特需商品生产企业贷款贴息，为霍尔果斯市民族贸易和民族特需商品生产企业贷款贴息引导支持，促进相关企业健康发展。</w:t>
      </w:r>
    </w:p>
    <w:p>
      <w:pPr>
        <w:pageBreakBefore w:val="0"/>
        <w:kinsoku/>
        <w:wordWrap/>
        <w:overflowPunct/>
        <w:topLinePunct w:val="0"/>
        <w:autoSpaceDE/>
        <w:autoSpaceDN/>
        <w:bidi w:val="0"/>
        <w:adjustRightInd/>
        <w:snapToGrid/>
        <w:spacing w:line="560" w:lineRule="exact"/>
        <w:ind w:firstLine="643" w:firstLineChars="200"/>
        <w:textAlignment w:val="auto"/>
        <w:rPr>
          <w:color w:val="FF0000"/>
          <w:sz w:val="32"/>
          <w:szCs w:val="32"/>
        </w:rPr>
      </w:pPr>
      <w:r>
        <w:rPr>
          <w:rFonts w:hint="eastAsia"/>
          <w:b/>
          <w:bCs/>
          <w:sz w:val="32"/>
          <w:szCs w:val="32"/>
        </w:rPr>
        <w:t>2.阶段性目标：</w:t>
      </w:r>
      <w:bookmarkStart w:id="5" w:name="_Toc68703830"/>
      <w:r>
        <w:rPr>
          <w:rFonts w:hint="eastAsia"/>
          <w:sz w:val="32"/>
          <w:szCs w:val="32"/>
        </w:rPr>
        <w:t>2022年完成贷款贴息补贴111.42万元。2023年完成贷款贴息补贴95.01万元。</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hint="eastAsia" w:eastAsia="黑体"/>
          <w:bCs/>
          <w:sz w:val="32"/>
          <w:szCs w:val="32"/>
        </w:rPr>
        <w:t>二、绩效评价工作开展情况</w:t>
      </w:r>
      <w:bookmarkEnd w:id="5"/>
    </w:p>
    <w:p>
      <w:pPr>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bookmarkStart w:id="6" w:name="_Toc68703831"/>
      <w:r>
        <w:rPr>
          <w:rFonts w:hint="eastAsia" w:eastAsia="楷体_GB2312"/>
          <w:b/>
          <w:bCs/>
          <w:sz w:val="32"/>
          <w:szCs w:val="32"/>
        </w:rPr>
        <w:t>（一）绩效评价目的、对象和范围</w:t>
      </w:r>
      <w:bookmarkEnd w:id="6"/>
    </w:p>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sz w:val="32"/>
          <w:szCs w:val="32"/>
        </w:rPr>
        <w:t>1.绩效评价目的</w:t>
      </w:r>
    </w:p>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pPr>
      <w:r>
        <w:rPr>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sz w:val="32"/>
          <w:szCs w:val="32"/>
        </w:rPr>
      </w:pPr>
      <w:r>
        <w:rPr>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pPr>
      <w:r>
        <w:rPr>
          <w:sz w:val="32"/>
          <w:szCs w:val="32"/>
        </w:rPr>
        <w:t>（2）项目绩效管理财政支出运行提供及时、有效的信息。</w:t>
      </w:r>
    </w:p>
    <w:p>
      <w:pPr>
        <w:pStyle w:val="21"/>
        <w:pageBreakBefore w:val="0"/>
        <w:kinsoku/>
        <w:wordWrap/>
        <w:overflowPunct/>
        <w:topLinePunct w:val="0"/>
        <w:autoSpaceDE/>
        <w:autoSpaceDN/>
        <w:bidi w:val="0"/>
        <w:adjustRightInd/>
        <w:snapToGrid/>
        <w:spacing w:line="560" w:lineRule="exact"/>
        <w:ind w:firstLine="640" w:firstLineChars="200"/>
        <w:textAlignment w:val="auto"/>
        <w:rPr>
          <w:rFonts w:eastAsia="方正仿宋_GBK" w:cs="方正仿宋_GBK"/>
          <w:sz w:val="32"/>
          <w:szCs w:val="32"/>
        </w:rPr>
      </w:pPr>
      <w:r>
        <w:rPr>
          <w:sz w:val="32"/>
          <w:szCs w:val="32"/>
        </w:rPr>
        <w:t>综合来看，通过开展有效的财政支出绩效评价管理，</w:t>
      </w:r>
      <w:r>
        <w:rPr>
          <w:rFonts w:hint="eastAsia"/>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sz w:val="32"/>
          <w:szCs w:val="32"/>
        </w:rPr>
        <w:t>2.绩效评价对象：</w:t>
      </w:r>
    </w:p>
    <w:p>
      <w:pPr>
        <w:pageBreakBefore w:val="0"/>
        <w:kinsoku/>
        <w:wordWrap/>
        <w:overflowPunct/>
        <w:topLinePunct w:val="0"/>
        <w:autoSpaceDE/>
        <w:autoSpaceDN/>
        <w:bidi w:val="0"/>
        <w:adjustRightInd/>
        <w:snapToGrid/>
        <w:spacing w:line="560" w:lineRule="exact"/>
        <w:ind w:firstLine="608" w:firstLineChars="200"/>
        <w:textAlignment w:val="auto"/>
        <w:rPr>
          <w:rFonts w:ascii="仿宋_GB2312" w:hAnsi="仿宋_GB2312" w:cs="仿宋_GB2312"/>
          <w:w w:val="95"/>
          <w:sz w:val="32"/>
          <w:szCs w:val="32"/>
        </w:rPr>
      </w:pPr>
      <w:r>
        <w:rPr>
          <w:rFonts w:hint="eastAsia" w:ascii="仿宋_GB2312" w:hAnsi="仿宋_GB2312" w:cs="仿宋_GB2312"/>
          <w:w w:val="95"/>
          <w:sz w:val="32"/>
          <w:szCs w:val="32"/>
        </w:rPr>
        <w:t>2022-2023年民贸民品贷款贴息项目所包含的全部项目内容。</w:t>
      </w:r>
    </w:p>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sz w:val="32"/>
          <w:szCs w:val="32"/>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sz w:val="32"/>
          <w:szCs w:val="32"/>
        </w:rPr>
        <w:t>本次评价从项目决策（包括绩效目标、决策过程）、项目管理（包括项目资金、项目实施）、项目产出（包括项目产出数量、产出质量、产出时效和产出成本）项目效益四个维度进行2022-2023年民贸民品贷款贴息项目评价，评价核心为资金的支出完成情况和效果。</w:t>
      </w:r>
    </w:p>
    <w:p>
      <w:pPr>
        <w:pStyle w:val="4"/>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Times New Roman" w:hAnsi="Times New Roman" w:eastAsia="楷体_GB2312" w:cs="Times New Roman"/>
        </w:rPr>
      </w:pPr>
      <w:bookmarkStart w:id="7" w:name="_Toc68703832"/>
      <w:r>
        <w:rPr>
          <w:rFonts w:hint="eastAsia" w:ascii="Times New Roman" w:hAnsi="Times New Roman" w:eastAsia="楷体_GB2312" w:cs="Times New Roman"/>
        </w:rPr>
        <w:t>（二）绩效评价原则、评价指标体系</w:t>
      </w:r>
      <w:r>
        <w:rPr>
          <w:rFonts w:eastAsia="楷体_GB2312"/>
        </w:rPr>
        <w:t>（详情见表1）</w:t>
      </w:r>
      <w:r>
        <w:rPr>
          <w:rFonts w:hint="eastAsia" w:ascii="Times New Roman" w:hAnsi="Times New Roman" w:eastAsia="楷体_GB2312" w:cs="Times New Roman"/>
        </w:rPr>
        <w:t>、评价方法、评价标准</w:t>
      </w:r>
      <w:bookmarkEnd w:id="7"/>
    </w:p>
    <w:p>
      <w:pPr>
        <w:pageBreakBefore w:val="0"/>
        <w:widowControl w:val="0"/>
        <w:kinsoku/>
        <w:wordWrap/>
        <w:overflowPunct/>
        <w:topLinePunct w:val="0"/>
        <w:autoSpaceDE/>
        <w:autoSpaceDN/>
        <w:bidi w:val="0"/>
        <w:adjustRightInd/>
        <w:snapToGrid/>
        <w:spacing w:line="560" w:lineRule="exact"/>
        <w:ind w:firstLine="643" w:firstLineChars="200"/>
        <w:jc w:val="left"/>
        <w:textAlignment w:val="auto"/>
        <w:rPr>
          <w:b/>
          <w:bCs/>
          <w:sz w:val="32"/>
          <w:szCs w:val="32"/>
        </w:rPr>
      </w:pPr>
      <w:r>
        <w:rPr>
          <w:rFonts w:hint="eastAsia"/>
          <w:b/>
          <w:bCs/>
          <w:sz w:val="32"/>
          <w:szCs w:val="32"/>
        </w:rPr>
        <w:t>1.绩效评价原则</w:t>
      </w:r>
    </w:p>
    <w:p>
      <w:pPr>
        <w:pageBreakBefore w:val="0"/>
        <w:kinsoku/>
        <w:wordWrap/>
        <w:overflowPunct/>
        <w:topLinePunct w:val="0"/>
        <w:autoSpaceDE/>
        <w:autoSpaceDN/>
        <w:bidi w:val="0"/>
        <w:adjustRightInd/>
        <w:snapToGrid/>
        <w:spacing w:line="560" w:lineRule="exact"/>
        <w:ind w:firstLine="640" w:firstLineChars="200"/>
        <w:textAlignment w:val="auto"/>
        <w:rPr>
          <w:color w:val="000000"/>
          <w:sz w:val="32"/>
          <w:szCs w:val="32"/>
        </w:rPr>
      </w:pPr>
      <w:r>
        <w:rPr>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pPr>
      <w:r>
        <w:rPr>
          <w:rFonts w:ascii="Times New Roman" w:hAnsi="Times New Roman" w:eastAsia="仿宋_GB2312"/>
          <w:b w:val="0"/>
          <w:bCs w:val="0"/>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02" w:firstLineChars="200"/>
        <w:jc w:val="left"/>
        <w:textAlignment w:val="auto"/>
        <w:rPr>
          <w:sz w:val="32"/>
          <w:szCs w:val="32"/>
        </w:rPr>
      </w:pPr>
      <w:r>
        <w:rPr>
          <w:rFonts w:hint="eastAsia"/>
          <w:b/>
          <w:bCs/>
        </w:rPr>
        <w:t>2、</w:t>
      </w:r>
      <w:r>
        <w:rPr>
          <w:rFonts w:hint="eastAsia"/>
          <w:b/>
          <w:bCs/>
          <w:sz w:val="32"/>
          <w:szCs w:val="32"/>
        </w:rPr>
        <w:t>评价指标体系</w:t>
      </w:r>
    </w:p>
    <w:p>
      <w:pPr>
        <w:pageBreakBefore w:val="0"/>
        <w:kinsoku/>
        <w:wordWrap/>
        <w:overflowPunct/>
        <w:topLinePunct w:val="0"/>
        <w:autoSpaceDE/>
        <w:autoSpaceDN/>
        <w:bidi w:val="0"/>
        <w:adjustRightInd/>
        <w:snapToGrid/>
        <w:spacing w:line="560" w:lineRule="exact"/>
        <w:ind w:firstLine="708" w:firstLineChars="200"/>
        <w:textAlignment w:val="auto"/>
        <w:rPr>
          <w:color w:val="000000"/>
          <w:spacing w:val="17"/>
          <w:sz w:val="32"/>
          <w:szCs w:val="32"/>
        </w:rPr>
      </w:pPr>
      <w:r>
        <w:rPr>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11" w:firstLineChars="200"/>
        <w:textAlignment w:val="auto"/>
        <w:rPr>
          <w:b/>
          <w:bCs/>
          <w:color w:val="000000"/>
          <w:spacing w:val="17"/>
          <w:sz w:val="32"/>
          <w:szCs w:val="32"/>
        </w:rPr>
      </w:pPr>
      <w:r>
        <w:rPr>
          <w:b/>
          <w:bCs/>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708" w:firstLineChars="200"/>
        <w:textAlignment w:val="auto"/>
        <w:rPr>
          <w:color w:val="000000"/>
          <w:spacing w:val="17"/>
          <w:sz w:val="32"/>
          <w:szCs w:val="32"/>
        </w:rPr>
      </w:pPr>
      <w:r>
        <w:rPr>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11" w:firstLineChars="200"/>
        <w:textAlignment w:val="auto"/>
        <w:rPr>
          <w:b/>
          <w:bCs/>
          <w:color w:val="000000"/>
          <w:spacing w:val="17"/>
          <w:sz w:val="32"/>
          <w:szCs w:val="32"/>
        </w:rPr>
      </w:pPr>
      <w:r>
        <w:rPr>
          <w:b/>
          <w:bCs/>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708" w:firstLineChars="200"/>
        <w:textAlignment w:val="auto"/>
        <w:rPr>
          <w:color w:val="000000"/>
          <w:spacing w:val="17"/>
          <w:sz w:val="32"/>
          <w:szCs w:val="32"/>
        </w:rPr>
      </w:pPr>
      <w:r>
        <w:rPr>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708" w:firstLineChars="200"/>
        <w:textAlignment w:val="auto"/>
        <w:rPr>
          <w:color w:val="000000"/>
          <w:spacing w:val="17"/>
          <w:sz w:val="32"/>
          <w:szCs w:val="32"/>
        </w:rPr>
      </w:pPr>
      <w:r>
        <w:rPr>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pPr>
      <w:r>
        <w:rPr>
          <w:rFonts w:ascii="Times New Roman" w:hAnsi="Times New Roman" w:eastAsia="仿宋_GB2312"/>
          <w:b w:val="0"/>
          <w:bCs w:val="0"/>
          <w:color w:val="000000"/>
          <w:spacing w:val="17"/>
        </w:rPr>
        <w:t>具体评价指标体系详情见附件1</w:t>
      </w:r>
    </w:p>
    <w:p>
      <w:pPr>
        <w:pStyle w:val="6"/>
        <w:pageBreakBefore w:val="0"/>
        <w:kinsoku/>
        <w:wordWrap/>
        <w:overflowPunct/>
        <w:topLinePunct w:val="0"/>
        <w:autoSpaceDE/>
        <w:autoSpaceDN/>
        <w:bidi w:val="0"/>
        <w:adjustRightInd/>
        <w:snapToGrid/>
        <w:spacing w:line="560" w:lineRule="exact"/>
        <w:ind w:firstLine="643" w:firstLineChars="200"/>
        <w:textAlignment w:val="auto"/>
        <w:rPr>
          <w:b/>
          <w:bCs/>
          <w:sz w:val="32"/>
          <w:szCs w:val="32"/>
        </w:rPr>
      </w:pPr>
      <w:r>
        <w:rPr>
          <w:rFonts w:hint="eastAsia"/>
          <w:b/>
          <w:bCs/>
          <w:sz w:val="32"/>
          <w:szCs w:val="32"/>
        </w:rPr>
        <w:t>3、评价方法</w:t>
      </w:r>
    </w:p>
    <w:p>
      <w:pPr>
        <w:pageBreakBefore w:val="0"/>
        <w:kinsoku/>
        <w:wordWrap/>
        <w:overflowPunct/>
        <w:topLinePunct w:val="0"/>
        <w:autoSpaceDE/>
        <w:autoSpaceDN/>
        <w:bidi w:val="0"/>
        <w:adjustRightInd/>
        <w:snapToGrid/>
        <w:spacing w:line="560" w:lineRule="exact"/>
        <w:ind w:firstLine="708" w:firstLineChars="200"/>
        <w:textAlignment w:val="auto"/>
        <w:rPr>
          <w:color w:val="000000"/>
          <w:spacing w:val="17"/>
          <w:sz w:val="32"/>
          <w:szCs w:val="32"/>
        </w:rPr>
      </w:pPr>
      <w:r>
        <w:rPr>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textAlignment w:val="auto"/>
        <w:rPr>
          <w:bCs/>
          <w:color w:val="FF0000"/>
          <w:sz w:val="32"/>
          <w:szCs w:val="32"/>
        </w:rPr>
      </w:pPr>
      <w:r>
        <w:rPr>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708" w:firstLineChars="200"/>
        <w:textAlignment w:val="auto"/>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（1）比较法</w:t>
      </w:r>
    </w:p>
    <w:p>
      <w:pPr>
        <w:pageBreakBefore w:val="0"/>
        <w:kinsoku/>
        <w:wordWrap/>
        <w:overflowPunct/>
        <w:topLinePunct w:val="0"/>
        <w:autoSpaceDE/>
        <w:autoSpaceDN/>
        <w:bidi w:val="0"/>
        <w:adjustRightInd/>
        <w:snapToGrid/>
        <w:spacing w:line="560" w:lineRule="exact"/>
        <w:ind w:firstLine="708" w:firstLineChars="200"/>
        <w:textAlignment w:val="auto"/>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通过对绩效目标与实施效果、历史与当期情况，综合分析绩效目标实现程度。对</w:t>
      </w:r>
      <w:r>
        <w:rPr>
          <w:color w:val="000000" w:themeColor="text1"/>
          <w:sz w:val="32"/>
          <w:szCs w:val="32"/>
          <w14:textFill>
            <w14:solidFill>
              <w14:schemeClr w14:val="tx1"/>
            </w14:solidFill>
          </w14:textFill>
        </w:rPr>
        <w:t>项目</w:t>
      </w:r>
      <w:r>
        <w:rPr>
          <w:color w:val="000000" w:themeColor="text1"/>
          <w:spacing w:val="17"/>
          <w:sz w:val="32"/>
          <w:szCs w:val="32"/>
          <w14:textFill>
            <w14:solidFill>
              <w14:schemeClr w14:val="tx1"/>
            </w14:solidFill>
          </w14:textFill>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708" w:firstLineChars="200"/>
        <w:textAlignment w:val="auto"/>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（2）因素分析法</w:t>
      </w:r>
    </w:p>
    <w:p>
      <w:pPr>
        <w:pageBreakBefore w:val="0"/>
        <w:kinsoku/>
        <w:wordWrap/>
        <w:overflowPunct/>
        <w:topLinePunct w:val="0"/>
        <w:autoSpaceDE/>
        <w:autoSpaceDN/>
        <w:bidi w:val="0"/>
        <w:adjustRightInd/>
        <w:snapToGrid/>
        <w:spacing w:line="560" w:lineRule="exact"/>
        <w:ind w:firstLine="708" w:firstLineChars="200"/>
        <w:textAlignment w:val="auto"/>
        <w:rPr>
          <w:bCs/>
          <w:color w:val="000000" w:themeColor="text1"/>
          <w:sz w:val="32"/>
          <w:szCs w:val="32"/>
          <w14:textFill>
            <w14:solidFill>
              <w14:schemeClr w14:val="tx1"/>
            </w14:solidFill>
          </w14:textFill>
        </w:rPr>
      </w:pPr>
      <w:r>
        <w:rPr>
          <w:color w:val="000000" w:themeColor="text1"/>
          <w:spacing w:val="17"/>
          <w:sz w:val="32"/>
          <w:szCs w:val="32"/>
          <w14:textFill>
            <w14:solidFill>
              <w14:schemeClr w14:val="tx1"/>
            </w14:solidFill>
          </w14:textFill>
        </w:rPr>
        <w:t>通过综合分析影响绩效目标实现、实施效果的内外因素，评价绩效目标实现程度。通过对</w:t>
      </w:r>
      <w:r>
        <w:rPr>
          <w:color w:val="000000" w:themeColor="text1"/>
          <w:sz w:val="32"/>
          <w:szCs w:val="32"/>
          <w14:textFill>
            <w14:solidFill>
              <w14:schemeClr w14:val="tx1"/>
            </w14:solidFill>
          </w14:textFill>
        </w:rPr>
        <w:t>项目</w:t>
      </w:r>
      <w:r>
        <w:rPr>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kinsoku/>
        <w:wordWrap/>
        <w:overflowPunct/>
        <w:topLinePunct w:val="0"/>
        <w:autoSpaceDE/>
        <w:autoSpaceDN/>
        <w:bidi w:val="0"/>
        <w:adjustRightInd/>
        <w:snapToGrid/>
        <w:spacing w:line="560" w:lineRule="exact"/>
        <w:jc w:val="left"/>
        <w:textAlignment w:val="auto"/>
      </w:pPr>
      <w:r>
        <w:rPr>
          <w:rFonts w:hint="eastAsia"/>
        </w:rPr>
        <w:t>　　</w:t>
      </w:r>
      <w:r>
        <w:rPr>
          <w:rFonts w:hint="eastAsia"/>
          <w:sz w:val="32"/>
          <w:szCs w:val="32"/>
        </w:rPr>
        <w:t>4.评价标准</w:t>
      </w:r>
    </w:p>
    <w:p>
      <w:pPr>
        <w:pageBreakBefore w:val="0"/>
        <w:kinsoku/>
        <w:wordWrap/>
        <w:overflowPunct/>
        <w:topLinePunct w:val="0"/>
        <w:autoSpaceDE/>
        <w:autoSpaceDN/>
        <w:bidi w:val="0"/>
        <w:adjustRightInd/>
        <w:snapToGrid/>
        <w:spacing w:line="560" w:lineRule="exact"/>
        <w:ind w:firstLine="708" w:firstLineChars="200"/>
        <w:textAlignment w:val="auto"/>
        <w:rPr>
          <w:rFonts w:hint="eastAsia" w:eastAsia="仿宋_GB2312"/>
          <w:color w:val="000000"/>
          <w:spacing w:val="17"/>
          <w:sz w:val="32"/>
          <w:szCs w:val="32"/>
          <w:lang w:val="en-US" w:eastAsia="zh-CN"/>
        </w:rPr>
      </w:pPr>
      <w:bookmarkStart w:id="8" w:name="_Toc68703833"/>
      <w:r>
        <w:rPr>
          <w:rFonts w:hint="eastAsia" w:eastAsia="仿宋_GB2312"/>
          <w:color w:val="000000"/>
          <w:spacing w:val="17"/>
          <w:sz w:val="32"/>
          <w:szCs w:val="32"/>
        </w:rPr>
        <w:t>绩效评价标准通常包括计划标准、行业标准、历史标准等，用于对绩效指标完成情况进行比较、分析、评价。本次评价主要采用了</w:t>
      </w:r>
      <w:bookmarkStart w:id="9" w:name="_Toc17882"/>
      <w:bookmarkStart w:id="10" w:name="_Toc31464"/>
      <w:r>
        <w:rPr>
          <w:rFonts w:hint="eastAsia" w:eastAsia="仿宋_GB2312"/>
          <w:color w:val="000000"/>
          <w:spacing w:val="17"/>
          <w:sz w:val="32"/>
          <w:szCs w:val="32"/>
        </w:rPr>
        <w:t>计划标准</w:t>
      </w:r>
      <w:r>
        <w:rPr>
          <w:rFonts w:hint="eastAsia" w:eastAsia="仿宋_GB2312"/>
          <w:color w:val="000000"/>
          <w:spacing w:val="17"/>
          <w:sz w:val="32"/>
          <w:szCs w:val="32"/>
          <w:lang w:eastAsia="zh-CN"/>
        </w:rPr>
        <w:t>，</w:t>
      </w:r>
      <w:bookmarkEnd w:id="9"/>
      <w:bookmarkEnd w:id="10"/>
      <w:r>
        <w:rPr>
          <w:rFonts w:hint="eastAsia" w:eastAsia="仿宋_GB2312"/>
          <w:color w:val="000000"/>
          <w:spacing w:val="17"/>
          <w:sz w:val="32"/>
          <w:szCs w:val="32"/>
          <w:lang w:val="en-US" w:eastAsia="zh-CN"/>
        </w:rPr>
        <w:t>按照年初企业申报，财政、民宗、人民银行等部门联合审核的贴息金额进行评价。</w:t>
      </w:r>
    </w:p>
    <w:p>
      <w:pPr>
        <w:pageBreakBefore w:val="0"/>
        <w:kinsoku/>
        <w:wordWrap/>
        <w:overflowPunct/>
        <w:topLinePunct w:val="0"/>
        <w:autoSpaceDE/>
        <w:autoSpaceDN/>
        <w:bidi w:val="0"/>
        <w:adjustRightInd/>
        <w:snapToGrid/>
        <w:spacing w:line="560" w:lineRule="exact"/>
        <w:ind w:firstLine="708" w:firstLineChars="200"/>
        <w:textAlignment w:val="auto"/>
        <w:rPr>
          <w:rFonts w:hint="eastAsia" w:eastAsia="仿宋_GB2312"/>
          <w:color w:val="000000"/>
          <w:spacing w:val="17"/>
          <w:sz w:val="32"/>
          <w:szCs w:val="32"/>
          <w:lang w:val="en-US" w:eastAsia="zh-CN"/>
        </w:rPr>
      </w:pPr>
      <w:r>
        <w:rPr>
          <w:rFonts w:hint="eastAsia" w:eastAsia="仿宋_GB2312"/>
          <w:color w:val="000000"/>
          <w:spacing w:val="17"/>
          <w:sz w:val="32"/>
          <w:szCs w:val="32"/>
          <w:lang w:val="en-US" w:eastAsia="zh-CN"/>
        </w:rPr>
        <w:t>计划标准：指以预先制定的目标、计划、预算、定额等作为评价标准。</w:t>
      </w:r>
    </w:p>
    <w:p>
      <w:pPr>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hint="eastAsia" w:eastAsia="楷体_GB2312"/>
          <w:b/>
          <w:bCs/>
          <w:sz w:val="32"/>
          <w:szCs w:val="32"/>
        </w:rPr>
        <w:t>（三）绩效评价工作过程</w:t>
      </w:r>
      <w:bookmarkEnd w:id="8"/>
    </w:p>
    <w:p>
      <w:pPr>
        <w:pageBreakBefore w:val="0"/>
        <w:kinsoku/>
        <w:wordWrap/>
        <w:overflowPunct/>
        <w:topLinePunct w:val="0"/>
        <w:autoSpaceDE/>
        <w:autoSpaceDN/>
        <w:bidi w:val="0"/>
        <w:adjustRightInd/>
        <w:snapToGrid/>
        <w:spacing w:line="560" w:lineRule="exact"/>
        <w:ind w:firstLine="643" w:firstLineChars="200"/>
        <w:jc w:val="left"/>
        <w:textAlignment w:val="auto"/>
        <w:rPr>
          <w:b/>
          <w:bCs/>
          <w:sz w:val="32"/>
          <w:szCs w:val="32"/>
        </w:rPr>
      </w:pPr>
      <w:r>
        <w:rPr>
          <w:rFonts w:hint="eastAsia"/>
          <w:b/>
          <w:bCs/>
          <w:sz w:val="32"/>
          <w:szCs w:val="32"/>
        </w:rPr>
        <w:t>1.前期准备：</w:t>
      </w:r>
    </w:p>
    <w:p>
      <w:pPr>
        <w:pageBreakBefore w:val="0"/>
        <w:kinsoku/>
        <w:wordWrap/>
        <w:overflowPunct/>
        <w:topLinePunct w:val="0"/>
        <w:autoSpaceDE/>
        <w:autoSpaceDN/>
        <w:bidi w:val="0"/>
        <w:adjustRightInd/>
        <w:snapToGrid/>
        <w:spacing w:line="560" w:lineRule="exact"/>
        <w:ind w:firstLine="640" w:firstLineChars="200"/>
        <w:textAlignment w:val="auto"/>
        <w:rPr>
          <w:bCs/>
          <w:sz w:val="32"/>
          <w:szCs w:val="32"/>
        </w:rPr>
      </w:pPr>
      <w:r>
        <w:rPr>
          <w:rFonts w:hint="eastAsia"/>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3" w:firstLineChars="200"/>
        <w:jc w:val="left"/>
        <w:textAlignment w:val="auto"/>
        <w:rPr>
          <w:b/>
          <w:bCs/>
          <w:sz w:val="32"/>
          <w:szCs w:val="32"/>
        </w:rPr>
      </w:pPr>
      <w:r>
        <w:rPr>
          <w:rFonts w:hint="eastAsia"/>
          <w:b/>
          <w:bCs/>
          <w:sz w:val="32"/>
          <w:szCs w:val="32"/>
        </w:rPr>
        <w:t>2.组织实施：</w:t>
      </w:r>
    </w:p>
    <w:p>
      <w:pPr>
        <w:pageBreakBefore w:val="0"/>
        <w:kinsoku/>
        <w:wordWrap/>
        <w:overflowPunct/>
        <w:topLinePunct w:val="0"/>
        <w:autoSpaceDE/>
        <w:autoSpaceDN/>
        <w:bidi w:val="0"/>
        <w:adjustRightInd/>
        <w:snapToGrid/>
        <w:spacing w:line="560" w:lineRule="exact"/>
        <w:ind w:firstLine="640" w:firstLineChars="200"/>
        <w:textAlignment w:val="auto"/>
        <w:rPr>
          <w:bCs/>
          <w:sz w:val="32"/>
          <w:szCs w:val="32"/>
        </w:rPr>
      </w:pPr>
      <w:r>
        <w:rPr>
          <w:rFonts w:hint="eastAsia"/>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3" w:firstLineChars="200"/>
        <w:jc w:val="left"/>
        <w:textAlignment w:val="auto"/>
        <w:rPr>
          <w:b/>
          <w:bCs/>
          <w:sz w:val="32"/>
          <w:szCs w:val="32"/>
        </w:rPr>
      </w:pPr>
      <w:r>
        <w:rPr>
          <w:rFonts w:hint="eastAsia"/>
          <w:b/>
          <w:bCs/>
          <w:sz w:val="32"/>
          <w:szCs w:val="32"/>
        </w:rPr>
        <w:t>3.分析评价：</w:t>
      </w:r>
    </w:p>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pPr>
      <w:bookmarkStart w:id="11" w:name="_Toc68703834"/>
      <w:r>
        <w:rPr>
          <w:rFonts w:hint="eastAsia"/>
          <w:bCs/>
          <w:sz w:val="32"/>
          <w:szCs w:val="32"/>
        </w:rPr>
        <w:t>根据收集梳理的资料围绕项目立项、资金落实、业务管理、财务管理、项目产出、项目效益等内容，对照已确定的绩效评价</w:t>
      </w:r>
      <w:r>
        <w:rPr>
          <w:rFonts w:hint="eastAsia"/>
          <w:bCs/>
          <w:w w:val="102"/>
          <w:sz w:val="32"/>
          <w:szCs w:val="32"/>
        </w:rPr>
        <w:t>指标进行详细全面的分析评价，逐项打分并形成绩效评价最终结果</w:t>
      </w:r>
      <w:r>
        <w:rPr>
          <w:rFonts w:hint="eastAsia"/>
          <w:bCs/>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hint="eastAsia" w:eastAsia="黑体"/>
          <w:bCs/>
          <w:sz w:val="32"/>
          <w:szCs w:val="32"/>
        </w:rPr>
        <w:t>三、综合评价情况及评价结论</w:t>
      </w:r>
      <w:bookmarkEnd w:id="11"/>
      <w:r>
        <w:rPr>
          <w:rFonts w:eastAsia="黑体"/>
          <w:sz w:val="32"/>
          <w:szCs w:val="32"/>
        </w:rPr>
        <w:t>（附相关评分表）</w:t>
      </w:r>
    </w:p>
    <w:p>
      <w:pPr>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bookmarkStart w:id="12" w:name="_Toc68703835"/>
      <w:r>
        <w:rPr>
          <w:rFonts w:hint="eastAsia" w:eastAsia="楷体_GB2312"/>
          <w:b/>
          <w:bCs/>
          <w:sz w:val="32"/>
          <w:szCs w:val="32"/>
        </w:rPr>
        <w:t>（一）综合评价情况</w:t>
      </w:r>
      <w:bookmarkEnd w:id="12"/>
    </w:p>
    <w:p>
      <w:pPr>
        <w:pageBreakBefore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kinsoku/>
        <w:wordWrap/>
        <w:overflowPunct/>
        <w:topLinePunct w:val="0"/>
        <w:autoSpaceDE/>
        <w:autoSpaceDN/>
        <w:bidi w:val="0"/>
        <w:adjustRightInd/>
        <w:snapToGrid/>
        <w:spacing w:before="0" w:after="0" w:line="560" w:lineRule="exact"/>
        <w:ind w:firstLine="643" w:firstLineChars="200"/>
        <w:textAlignment w:val="auto"/>
        <w:rPr>
          <w:rFonts w:ascii="Times New Roman" w:hAnsi="Times New Roman" w:eastAsia="楷体_GB2312" w:cs="Times New Roman"/>
        </w:rPr>
      </w:pPr>
      <w:bookmarkStart w:id="13" w:name="_Toc68703836"/>
      <w:r>
        <w:rPr>
          <w:rFonts w:hint="eastAsia" w:ascii="Times New Roman" w:hAnsi="Times New Roman" w:eastAsia="楷体_GB2312" w:cs="Times New Roman"/>
        </w:rPr>
        <w:t>（二）评价结论</w:t>
      </w:r>
      <w:bookmarkEnd w:id="13"/>
    </w:p>
    <w:p>
      <w:pPr>
        <w:pStyle w:val="2"/>
        <w:pageBreakBefore w:val="0"/>
        <w:kinsoku/>
        <w:wordWrap/>
        <w:overflowPunct/>
        <w:topLinePunct w:val="0"/>
        <w:autoSpaceDE/>
        <w:autoSpaceDN/>
        <w:bidi w:val="0"/>
        <w:adjustRightInd/>
        <w:snapToGrid/>
        <w:spacing w:before="0" w:after="0" w:line="560" w:lineRule="exact"/>
        <w:jc w:val="both"/>
        <w:textAlignment w:val="auto"/>
      </w:pPr>
      <w:r>
        <w:rPr>
          <w:rFonts w:hint="eastAsia" w:ascii="Times New Roman" w:hAnsi="Times New Roman" w:eastAsia="仿宋_GB2312"/>
          <w:b w:val="0"/>
          <w:bCs w:val="0"/>
        </w:rPr>
        <w:t>　　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p>
    <w:p>
      <w:pPr>
        <w:pageBreakBefore w:val="0"/>
        <w:kinsoku/>
        <w:wordWrap/>
        <w:overflowPunct/>
        <w:topLinePunct w:val="0"/>
        <w:autoSpaceDE/>
        <w:autoSpaceDN/>
        <w:bidi w:val="0"/>
        <w:adjustRightInd/>
        <w:snapToGrid/>
        <w:spacing w:line="560" w:lineRule="exact"/>
        <w:ind w:firstLine="600" w:firstLineChars="200"/>
        <w:textAlignment w:val="auto"/>
        <w:rPr>
          <w:kern w:val="28"/>
          <w:sz w:val="32"/>
          <w:szCs w:val="32"/>
        </w:rPr>
      </w:pPr>
      <w:r>
        <w:rPr>
          <w:rFonts w:hint="eastAsia"/>
          <w:szCs w:val="30"/>
        </w:rPr>
        <w:t>　　　　　　　　</w:t>
      </w:r>
      <w:r>
        <w:rPr>
          <w:rFonts w:hint="eastAsia"/>
          <w:kern w:val="28"/>
          <w:sz w:val="32"/>
          <w:szCs w:val="32"/>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eastAsia" w:eastAsia="宋体"/>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color w:val="000000"/>
                <w:sz w:val="22"/>
                <w:lang w:val="en-US" w:eastAsia="zh-CN"/>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color w:val="000000"/>
                <w:sz w:val="22"/>
                <w:lang w:val="en-US" w:eastAsia="zh-CN"/>
              </w:rPr>
            </w:pPr>
            <w:r>
              <w:rPr>
                <w:rFonts w:hint="eastAsia"/>
                <w:color w:val="000000"/>
                <w:sz w:val="22"/>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eastAsia" w:eastAsia="宋体"/>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color w:val="000000"/>
                <w:sz w:val="22"/>
                <w:lang w:val="en-US" w:eastAsia="zh-CN"/>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color w:val="000000"/>
                <w:sz w:val="22"/>
                <w:lang w:val="en-US" w:eastAsia="zh-CN"/>
              </w:rPr>
            </w:pPr>
            <w:r>
              <w:rPr>
                <w:rFonts w:hint="eastAsia"/>
                <w:color w:val="000000"/>
                <w:sz w:val="22"/>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100</w:t>
            </w:r>
          </w:p>
        </w:tc>
      </w:tr>
    </w:tbl>
    <w:p>
      <w:pPr>
        <w:pageBreakBefore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bookmarkStart w:id="14" w:name="_Toc68703837"/>
      <w:r>
        <w:rPr>
          <w:rFonts w:hint="eastAsia" w:eastAsia="黑体"/>
          <w:bCs/>
          <w:sz w:val="32"/>
          <w:szCs w:val="32"/>
        </w:rPr>
        <w:t>四、绩效评价指标分析</w:t>
      </w:r>
      <w:bookmarkEnd w:id="14"/>
    </w:p>
    <w:p>
      <w:pPr>
        <w:pStyle w:val="2"/>
        <w:spacing w:before="0" w:after="0" w:line="560" w:lineRule="exact"/>
        <w:ind w:firstLine="643" w:firstLineChars="200"/>
        <w:jc w:val="both"/>
        <w:rPr>
          <w:rFonts w:ascii="Times New Roman" w:hAnsi="Times New Roman" w:eastAsia="楷体_GB2312"/>
        </w:rPr>
      </w:pPr>
      <w:bookmarkStart w:id="15" w:name="_Toc68703838"/>
      <w:r>
        <w:rPr>
          <w:rFonts w:ascii="Times New Roman" w:hAnsi="Times New Roman" w:eastAsia="楷体_GB2312"/>
        </w:rPr>
        <w:t>（一）项目决策情况</w:t>
      </w:r>
    </w:p>
    <w:p>
      <w:pPr>
        <w:spacing w:line="600" w:lineRule="exact"/>
        <w:ind w:firstLine="640" w:firstLineChars="200"/>
        <w:outlineLvl w:val="0"/>
        <w:rPr>
          <w:rFonts w:ascii="仿宋_GB2312" w:hAnsi="仿宋_GB2312" w:eastAsia="仿宋_GB2312" w:cs="仿宋_GB2312"/>
          <w:sz w:val="30"/>
          <w:szCs w:val="30"/>
          <w:highlight w:val="none"/>
        </w:rPr>
      </w:pPr>
      <w:r>
        <w:rPr>
          <w:rFonts w:hint="eastAsia" w:ascii="仿宋_GB2312" w:hAnsi="仿宋_GB2312" w:eastAsia="仿宋_GB2312" w:cs="仿宋_GB2312"/>
          <w:sz w:val="32"/>
          <w:szCs w:val="32"/>
        </w:rPr>
        <w:t>项目决策类指标包括项目立项、绩效目标和资金投入三方面的内容，由6个三级指标构成，权重分值为20分</w:t>
      </w:r>
      <w:r>
        <w:rPr>
          <w:rFonts w:hint="eastAsia" w:ascii="仿宋_GB2312" w:hAnsi="仿宋_GB2312" w:eastAsia="仿宋_GB2312" w:cs="仿宋_GB2312"/>
          <w:sz w:val="32"/>
          <w:szCs w:val="32"/>
          <w:highlight w:val="none"/>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pStyle w:val="21"/>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1.项目立项</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（1）立项依据充分性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（2）立项程序规范性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1"/>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2.绩效目标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（2）绩效指标明确性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项目设置了明确的预期产出效益和效果，将绩效目标细化分解为具体的绩效指标，绩效目标与项目目标任务数相对应，绩效目标设定的绩效指标清晰、细化、可衡量。</w:t>
      </w:r>
    </w:p>
    <w:p>
      <w:pPr>
        <w:pStyle w:val="21"/>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（1）预算编制科学性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预算编制经过科学论证，提供充分的测算依据佐证资料，预算内容与项目内容相匹配。项目投资额与工作任务相匹配。</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（2）资金分配合理性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资金分配额度与项目单位实际工作内容相适应，资金分配额度合理，资金分配依据充分。</w:t>
      </w:r>
    </w:p>
    <w:p>
      <w:pPr>
        <w:pStyle w:val="2"/>
        <w:numPr>
          <w:ilvl w:val="0"/>
          <w:numId w:val="2"/>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项目过程类指标包括资金管理和组织实施两方面的内容，由5个三级指标构成，权重分值为20分</w:t>
      </w:r>
      <w:r>
        <w:rPr>
          <w:rFonts w:hint="eastAsia" w:ascii="仿宋_GB2312" w:hAnsi="仿宋_GB2312" w:eastAsia="仿宋_GB2312" w:cs="仿宋_GB2312"/>
          <w:sz w:val="32"/>
          <w:szCs w:val="32"/>
          <w:highlight w:val="none"/>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1.资金管理</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（1）资金到位率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本项</w:t>
      </w:r>
      <w:r>
        <w:rPr>
          <w:rFonts w:hint="eastAsia" w:ascii="仿宋_GB2312" w:hAnsi="仿宋_GB2312" w:eastAsia="仿宋_GB2312" w:cs="仿宋_GB2312"/>
          <w:sz w:val="32"/>
          <w:szCs w:val="32"/>
          <w:highlight w:val="none"/>
        </w:rPr>
        <w:t>目总投资</w:t>
      </w:r>
      <w:r>
        <w:rPr>
          <w:rFonts w:hint="eastAsia"/>
          <w:sz w:val="32"/>
          <w:szCs w:val="32"/>
          <w:highlight w:val="none"/>
        </w:rPr>
        <w:t>206.43</w:t>
      </w:r>
      <w:r>
        <w:rPr>
          <w:rFonts w:hint="eastAsia" w:ascii="仿宋_GB2312" w:hAnsi="仿宋_GB2312" w:eastAsia="仿宋_GB2312" w:cs="仿宋_GB2312"/>
          <w:sz w:val="32"/>
          <w:szCs w:val="32"/>
          <w:highlight w:val="none"/>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%，预算资</w:t>
      </w:r>
      <w:r>
        <w:rPr>
          <w:rFonts w:hint="eastAsia" w:ascii="仿宋_GB2312" w:hAnsi="仿宋_GB2312" w:eastAsia="仿宋_GB2312" w:cs="仿宋_GB2312"/>
          <w:sz w:val="32"/>
          <w:szCs w:val="32"/>
        </w:rPr>
        <w:t>金按计划进度执行。</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（2）预算执行率</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预算编制较为详细，项目资金支出总体能够按照预算执行，</w:t>
      </w:r>
      <w:r>
        <w:rPr>
          <w:rFonts w:hint="eastAsia" w:ascii="仿宋_GB2312" w:hAnsi="仿宋_GB2312" w:eastAsia="仿宋_GB2312" w:cs="仿宋_GB2312"/>
          <w:sz w:val="32"/>
          <w:szCs w:val="32"/>
          <w:highlight w:val="none"/>
        </w:rPr>
        <w:t>预算资金支出</w:t>
      </w:r>
      <w:r>
        <w:rPr>
          <w:rFonts w:hint="eastAsia"/>
          <w:sz w:val="32"/>
          <w:szCs w:val="32"/>
          <w:highlight w:val="none"/>
        </w:rPr>
        <w:t>206.43</w:t>
      </w:r>
      <w:r>
        <w:rPr>
          <w:rFonts w:hint="eastAsia" w:ascii="仿宋_GB2312" w:hAnsi="仿宋_GB2312" w:eastAsia="仿宋_GB2312" w:cs="仿宋_GB2312"/>
          <w:sz w:val="32"/>
          <w:szCs w:val="32"/>
          <w:highlight w:val="none"/>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（3）资金使用合规性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2.组织实施</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（1）管理制度健全性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（2）制度执行有效性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pPr>
        <w:pageBreakBefore w:val="0"/>
        <w:kinsoku/>
        <w:wordWrap/>
        <w:overflowPunct/>
        <w:topLinePunct w:val="0"/>
        <w:autoSpaceDE/>
        <w:autoSpaceDN/>
        <w:bidi w:val="0"/>
        <w:adjustRightInd/>
        <w:snapToGrid/>
        <w:spacing w:line="560" w:lineRule="exact"/>
        <w:ind w:firstLine="643" w:firstLineChars="200"/>
        <w:textAlignment w:val="auto"/>
        <w:outlineLvl w:val="0"/>
        <w:rPr>
          <w:rFonts w:eastAsia="楷体_GB2312"/>
          <w:b/>
          <w:bCs/>
          <w:sz w:val="32"/>
          <w:szCs w:val="32"/>
        </w:rPr>
      </w:pPr>
      <w:r>
        <w:rPr>
          <w:rFonts w:hint="eastAsia" w:eastAsia="楷体_GB2312"/>
          <w:b/>
          <w:bCs/>
          <w:sz w:val="32"/>
          <w:szCs w:val="32"/>
        </w:rPr>
        <w:t>（</w:t>
      </w:r>
      <w:r>
        <w:rPr>
          <w:rFonts w:hint="eastAsia" w:eastAsia="楷体_GB2312"/>
          <w:b/>
          <w:bCs/>
          <w:sz w:val="32"/>
          <w:szCs w:val="32"/>
          <w:lang w:val="en-US" w:eastAsia="zh-CN"/>
        </w:rPr>
        <w:t>三</w:t>
      </w:r>
      <w:r>
        <w:rPr>
          <w:rFonts w:hint="eastAsia" w:eastAsia="楷体_GB2312"/>
          <w:b/>
          <w:bCs/>
          <w:sz w:val="32"/>
          <w:szCs w:val="32"/>
        </w:rPr>
        <w:t>）</w:t>
      </w:r>
      <w:bookmarkEnd w:id="15"/>
      <w:bookmarkStart w:id="16" w:name="_Toc68703840"/>
      <w:r>
        <w:rPr>
          <w:rFonts w:hint="eastAsia" w:eastAsia="楷体_GB2312"/>
          <w:b/>
          <w:bCs/>
          <w:sz w:val="32"/>
          <w:szCs w:val="32"/>
        </w:rPr>
        <w:t>项目产出情况</w:t>
      </w:r>
      <w:bookmarkEnd w:id="16"/>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项目产出类指标包括产出数量、产出质量、产出时效、产出成本四方面的内容，由5个三级指标构成，权重分为</w:t>
      </w:r>
      <w:r>
        <w:rPr>
          <w:rFonts w:hint="eastAsia" w:ascii="仿宋_GB2312" w:hAnsi="仿宋_GB2312" w:cs="仿宋_GB2312"/>
          <w:sz w:val="32"/>
          <w:szCs w:val="32"/>
          <w:lang w:val="en-US" w:eastAsia="zh-CN"/>
        </w:rPr>
        <w:t>40</w:t>
      </w:r>
      <w:r>
        <w:rPr>
          <w:rFonts w:hint="eastAsia" w:ascii="仿宋_GB2312" w:hAnsi="仿宋_GB2312" w:cs="仿宋_GB2312"/>
          <w:sz w:val="32"/>
          <w:szCs w:val="32"/>
          <w:highlight w:val="none"/>
        </w:rPr>
        <w:t>分，实际得分40分，得分率为100%。具体产出指标完成情况如下</w:t>
      </w:r>
      <w:r>
        <w:rPr>
          <w:rFonts w:hint="eastAsia" w:ascii="仿宋_GB2312" w:hAnsi="仿宋_GB2312" w:cs="仿宋_GB2312"/>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1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①</w:t>
      </w:r>
      <w:r>
        <w:rPr>
          <w:rFonts w:hint="eastAsia" w:ascii="仿宋_GB2312" w:hAnsi="仿宋_GB2312" w:cs="仿宋_GB2312"/>
          <w:sz w:val="32"/>
          <w:szCs w:val="32"/>
        </w:rPr>
        <w:fldChar w:fldCharType="end"/>
      </w:r>
      <w:r>
        <w:rPr>
          <w:rFonts w:hint="eastAsia" w:ascii="仿宋_GB2312" w:hAnsi="仿宋_GB2312" w:cs="仿宋_GB2312"/>
          <w:sz w:val="32"/>
          <w:szCs w:val="32"/>
        </w:rPr>
        <w:t>数量指标：</w:t>
      </w:r>
    </w:p>
    <w:p>
      <w:pPr>
        <w:pageBreakBefore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sz w:val="32"/>
          <w:szCs w:val="32"/>
        </w:rPr>
        <w:t>指标1：支持民贸民品企业，指标值：≥3家，实际完成值：3家，指标完成率100%，偏差原因：无</w:t>
      </w:r>
      <w:r>
        <w:rPr>
          <w:color w:val="FF0000"/>
          <w:sz w:val="32"/>
          <w:szCs w:val="32"/>
        </w:rPr>
        <w:t xml:space="preserve"> </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2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②</w:t>
      </w:r>
      <w:r>
        <w:rPr>
          <w:rFonts w:hint="eastAsia" w:ascii="仿宋_GB2312" w:hAnsi="仿宋_GB2312" w:cs="仿宋_GB2312"/>
          <w:sz w:val="32"/>
          <w:szCs w:val="32"/>
        </w:rPr>
        <w:fldChar w:fldCharType="end"/>
      </w:r>
      <w:r>
        <w:rPr>
          <w:rFonts w:hint="eastAsia" w:ascii="仿宋_GB2312" w:hAnsi="仿宋_GB2312" w:cs="仿宋_GB2312"/>
          <w:sz w:val="32"/>
          <w:szCs w:val="32"/>
        </w:rPr>
        <w:t>质量指标：</w:t>
      </w:r>
    </w:p>
    <w:p>
      <w:pPr>
        <w:pageBreakBefore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sz w:val="32"/>
          <w:szCs w:val="32"/>
        </w:rPr>
        <w:t>指标1：贴息足额拨付率，指标值：</w:t>
      </w:r>
      <w:r>
        <w:rPr>
          <w:sz w:val="32"/>
          <w:szCs w:val="32"/>
        </w:rPr>
        <w:t>=100%</w:t>
      </w:r>
      <w:r>
        <w:rPr>
          <w:rFonts w:hint="eastAsia"/>
          <w:sz w:val="32"/>
          <w:szCs w:val="32"/>
        </w:rPr>
        <w:t>，实际完成值：</w:t>
      </w:r>
      <w:r>
        <w:rPr>
          <w:sz w:val="32"/>
          <w:szCs w:val="32"/>
        </w:rPr>
        <w:t>100%</w:t>
      </w:r>
      <w:r>
        <w:rPr>
          <w:rFonts w:hint="eastAsia"/>
          <w:sz w:val="32"/>
          <w:szCs w:val="32"/>
        </w:rPr>
        <w:t>，指标完成率100%，偏差原因：无</w:t>
      </w:r>
      <w:r>
        <w:rPr>
          <w:color w:val="FF0000"/>
          <w:sz w:val="32"/>
          <w:szCs w:val="32"/>
        </w:rPr>
        <w:t xml:space="preserve"> </w:t>
      </w:r>
    </w:p>
    <w:p>
      <w:pPr>
        <w:pageBreakBefore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sz w:val="32"/>
          <w:szCs w:val="32"/>
        </w:rPr>
        <w:t>指标2：贴息资金管理规范率，指标值：</w:t>
      </w:r>
      <w:r>
        <w:rPr>
          <w:sz w:val="32"/>
          <w:szCs w:val="32"/>
        </w:rPr>
        <w:t>=100%</w:t>
      </w:r>
      <w:r>
        <w:rPr>
          <w:rFonts w:hint="eastAsia"/>
          <w:sz w:val="32"/>
          <w:szCs w:val="32"/>
        </w:rPr>
        <w:t>，实际完成值：</w:t>
      </w:r>
      <w:r>
        <w:rPr>
          <w:sz w:val="32"/>
          <w:szCs w:val="32"/>
        </w:rPr>
        <w:t>100%</w:t>
      </w:r>
      <w:r>
        <w:rPr>
          <w:rFonts w:hint="eastAsia"/>
          <w:sz w:val="32"/>
          <w:szCs w:val="32"/>
        </w:rPr>
        <w:t>，指标完成率100%，偏差原因：无</w:t>
      </w:r>
      <w:r>
        <w:rPr>
          <w:color w:val="FF0000"/>
          <w:sz w:val="32"/>
          <w:szCs w:val="32"/>
        </w:rPr>
        <w:t xml:space="preserve"> </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3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③</w:t>
      </w:r>
      <w:r>
        <w:rPr>
          <w:rFonts w:hint="eastAsia" w:ascii="仿宋_GB2312" w:hAnsi="仿宋_GB2312" w:cs="仿宋_GB2312"/>
          <w:sz w:val="32"/>
          <w:szCs w:val="32"/>
        </w:rPr>
        <w:fldChar w:fldCharType="end"/>
      </w:r>
      <w:r>
        <w:rPr>
          <w:rFonts w:hint="eastAsia" w:ascii="仿宋_GB2312" w:hAnsi="仿宋_GB2312" w:cs="仿宋_GB2312"/>
          <w:sz w:val="32"/>
          <w:szCs w:val="32"/>
        </w:rPr>
        <w:t>时效指标：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bookmarkStart w:id="17" w:name="_Toc68703841"/>
      <w:r>
        <w:rPr>
          <w:rFonts w:hint="eastAsia" w:ascii="仿宋_GB2312" w:hAnsi="仿宋_GB2312" w:cs="仿宋_GB2312"/>
          <w:sz w:val="32"/>
          <w:szCs w:val="32"/>
        </w:rPr>
        <w:t>指标1：收到上级拨付资金拨付时间，指标值：&lt;=30日，实际完成值：30日内，指标完成率100%，偏差原因：无</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指标2：上级资金拨付及时到位率，指标值：=100%，实际完成值：100%，指标完成率100%，偏差原因：无</w:t>
      </w:r>
      <w:r>
        <w:rPr>
          <w:rFonts w:ascii="仿宋_GB2312" w:hAnsi="仿宋_GB2312" w:cs="仿宋_GB2312"/>
          <w:sz w:val="32"/>
          <w:szCs w:val="32"/>
        </w:rPr>
        <w:t xml:space="preserve"> </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4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④</w:t>
      </w:r>
      <w:r>
        <w:rPr>
          <w:rFonts w:hint="eastAsia" w:ascii="仿宋_GB2312" w:hAnsi="仿宋_GB2312" w:cs="仿宋_GB2312"/>
          <w:sz w:val="32"/>
          <w:szCs w:val="32"/>
        </w:rPr>
        <w:fldChar w:fldCharType="end"/>
      </w:r>
      <w:r>
        <w:rPr>
          <w:rFonts w:hint="eastAsia" w:ascii="仿宋_GB2312" w:hAnsi="仿宋_GB2312" w:cs="仿宋_GB2312"/>
          <w:sz w:val="32"/>
          <w:szCs w:val="32"/>
        </w:rPr>
        <w:t>成本指标：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指标1：2022年贷款贴息补贴金额，指标值：&lt;=111.42万元，实际完成值：111.42万元，指标完成率</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ascii="仿宋_GB2312" w:hAnsi="仿宋_GB2312" w:cs="仿宋_GB2312"/>
          <w:sz w:val="32"/>
          <w:szCs w:val="32"/>
        </w:rPr>
        <w:t xml:space="preserve"> </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指标2：2023年贷款贴息补贴金额，指标值：&lt;=95.01万元，实际完成值：95.01万元，指标完成率</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ascii="仿宋_GB2312" w:hAnsi="仿宋_GB2312" w:cs="仿宋_GB2312"/>
          <w:sz w:val="32"/>
          <w:szCs w:val="32"/>
        </w:rPr>
        <w:t xml:space="preserve"> </w:t>
      </w:r>
    </w:p>
    <w:p>
      <w:pPr>
        <w:pStyle w:val="4"/>
        <w:pageBreakBefore w:val="0"/>
        <w:kinsoku/>
        <w:wordWrap/>
        <w:overflowPunct/>
        <w:topLinePunct w:val="0"/>
        <w:autoSpaceDE/>
        <w:autoSpaceDN/>
        <w:bidi w:val="0"/>
        <w:adjustRightInd/>
        <w:snapToGrid/>
        <w:spacing w:before="0" w:after="0" w:line="560" w:lineRule="exact"/>
        <w:ind w:firstLine="321" w:firstLineChars="100"/>
        <w:textAlignment w:val="auto"/>
        <w:rPr>
          <w:rFonts w:ascii="Times New Roman" w:hAnsi="Times New Roman" w:eastAsia="楷体_GB2312" w:cs="Times New Roman"/>
        </w:rPr>
      </w:pPr>
      <w:r>
        <w:rPr>
          <w:rFonts w:hint="eastAsia" w:ascii="Times New Roman" w:hAnsi="Times New Roman" w:eastAsia="楷体_GB2312" w:cs="Times New Roman"/>
        </w:rPr>
        <w:t>（四）项目效益情况</w:t>
      </w:r>
      <w:bookmarkEnd w:id="17"/>
    </w:p>
    <w:p>
      <w:pPr>
        <w:pageBreakBefore w:val="0"/>
        <w:kinsoku/>
        <w:wordWrap/>
        <w:overflowPunct/>
        <w:topLinePunct w:val="0"/>
        <w:autoSpaceDE/>
        <w:autoSpaceDN/>
        <w:bidi w:val="0"/>
        <w:adjustRightInd/>
        <w:snapToGrid/>
        <w:spacing w:line="560" w:lineRule="exact"/>
        <w:ind w:firstLine="640" w:firstLineChars="200"/>
        <w:textAlignment w:val="auto"/>
        <w:outlineLvl w:val="0"/>
      </w:pPr>
      <w:r>
        <w:rPr>
          <w:rFonts w:hint="eastAsia" w:ascii="仿宋_GB2312" w:hAnsi="仿宋_GB2312" w:cs="仿宋_GB2312"/>
          <w:sz w:val="32"/>
          <w:szCs w:val="32"/>
        </w:rPr>
        <w:t>项目效益类指标包括项目实施效益和满意度两方面的内容，由3个三级指标构成，权重分为20分，</w:t>
      </w:r>
      <w:r>
        <w:rPr>
          <w:rFonts w:hint="eastAsia" w:ascii="仿宋_GB2312" w:hAnsi="仿宋_GB2312" w:cs="仿宋_GB2312"/>
          <w:sz w:val="32"/>
          <w:szCs w:val="32"/>
          <w:highlight w:val="none"/>
        </w:rPr>
        <w:t>实际得分20分，得分率为100%。具体效益指标及满意度指标完成情</w:t>
      </w:r>
      <w:r>
        <w:rPr>
          <w:rFonts w:hint="eastAsia" w:ascii="仿宋_GB2312" w:hAnsi="仿宋_GB2312" w:cs="仿宋_GB2312"/>
          <w:sz w:val="32"/>
          <w:szCs w:val="32"/>
        </w:rPr>
        <w:t>况如下：</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1.实施效益</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①社会效益指标：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bookmarkStart w:id="18" w:name="_Hlk163935130"/>
      <w:r>
        <w:rPr>
          <w:rFonts w:hint="eastAsia" w:ascii="仿宋_GB2312" w:hAnsi="仿宋_GB2312" w:cs="仿宋_GB2312"/>
          <w:sz w:val="32"/>
          <w:szCs w:val="32"/>
        </w:rPr>
        <w:t>指标1：民贸民品企业带动就业人数，指标值：&gt;=600人，实际完成值：600人，指标完成率100%</w:t>
      </w:r>
    </w:p>
    <w:bookmarkEnd w:id="18"/>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指标2：促进相关企业健康发展，指标值：有效促进，实际完成值：有效促进，指标完成率100%</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2.满意度</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满意度指标：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指标1：申报贴息资金企业满意度，指标值：</w:t>
      </w:r>
      <w:r>
        <w:rPr>
          <w:rFonts w:ascii="仿宋_GB2312" w:hAnsi="仿宋_GB2312" w:cs="仿宋_GB2312"/>
          <w:sz w:val="32"/>
          <w:szCs w:val="32"/>
        </w:rPr>
        <w:t>&gt;=95%</w:t>
      </w:r>
      <w:r>
        <w:rPr>
          <w:rFonts w:hint="eastAsia" w:ascii="仿宋_GB2312" w:hAnsi="仿宋_GB2312" w:cs="仿宋_GB2312"/>
          <w:sz w:val="32"/>
          <w:szCs w:val="32"/>
        </w:rPr>
        <w:t>，实际完成值：</w:t>
      </w:r>
      <w:r>
        <w:rPr>
          <w:rFonts w:ascii="仿宋_GB2312" w:hAnsi="仿宋_GB2312" w:cs="仿宋_GB2312"/>
          <w:sz w:val="32"/>
          <w:szCs w:val="32"/>
        </w:rPr>
        <w:t>95%</w:t>
      </w:r>
      <w:r>
        <w:rPr>
          <w:rFonts w:hint="eastAsia" w:ascii="仿宋_GB2312" w:hAnsi="仿宋_GB2312" w:cs="仿宋_GB2312"/>
          <w:sz w:val="32"/>
          <w:szCs w:val="32"/>
        </w:rPr>
        <w:t>，指标完成率100%</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sz w:val="32"/>
          <w:szCs w:val="32"/>
          <w:lang w:eastAsia="zh-Hans"/>
        </w:rPr>
      </w:pPr>
      <w:r>
        <w:rPr>
          <w:rFonts w:hint="eastAsia" w:eastAsia="黑体"/>
          <w:sz w:val="32"/>
          <w:szCs w:val="32"/>
          <w:lang w:eastAsia="zh-Hans"/>
        </w:rPr>
        <w:t>五、预算执行进度与绩效指标总体完成率偏差</w:t>
      </w:r>
    </w:p>
    <w:p>
      <w:pPr>
        <w:pStyle w:val="21"/>
        <w:pageBreakBefore w:val="0"/>
        <w:kinsoku/>
        <w:wordWrap/>
        <w:overflowPunct/>
        <w:topLinePunct w:val="0"/>
        <w:autoSpaceDE/>
        <w:autoSpaceDN/>
        <w:bidi w:val="0"/>
        <w:adjustRightInd/>
        <w:snapToGrid/>
        <w:spacing w:line="560" w:lineRule="exact"/>
        <w:ind w:firstLine="640"/>
        <w:textAlignment w:val="auto"/>
        <w:rPr>
          <w:rFonts w:ascii="仿宋_GB2312" w:hAnsi="仿宋_GB2312" w:cs="仿宋_GB2312"/>
          <w:kern w:val="2"/>
          <w:sz w:val="32"/>
          <w:szCs w:val="32"/>
        </w:rPr>
      </w:pPr>
      <w:r>
        <w:rPr>
          <w:rFonts w:hint="eastAsia" w:ascii="仿宋_GB2312" w:hAnsi="仿宋_GB2312" w:cs="仿宋_GB2312"/>
          <w:kern w:val="2"/>
          <w:sz w:val="32"/>
          <w:szCs w:val="32"/>
        </w:rPr>
        <w:t>2022-2023年民贸民品贷款贴息项目年初预算206.43万元，全年预算206.43万元，实际支出206.43万元，预算执行率为100%，项目绩效指标总体完成率为100%，</w:t>
      </w:r>
      <w:r>
        <w:rPr>
          <w:rFonts w:hint="eastAsia" w:ascii="仿宋_GB2312" w:hAnsi="仿宋_GB2312" w:cs="仿宋_GB2312"/>
          <w:kern w:val="2"/>
          <w:sz w:val="32"/>
          <w:szCs w:val="32"/>
          <w:lang w:eastAsia="zh-Hans"/>
        </w:rPr>
        <w:t>总体</w:t>
      </w:r>
      <w:r>
        <w:rPr>
          <w:rFonts w:hint="eastAsia" w:ascii="仿宋_GB2312" w:hAnsi="仿宋_GB2312" w:cs="仿宋_GB2312"/>
          <w:kern w:val="2"/>
          <w:sz w:val="32"/>
          <w:szCs w:val="32"/>
        </w:rPr>
        <w:t>偏差率为0%。</w:t>
      </w:r>
      <w:r>
        <w:rPr>
          <w:rFonts w:ascii="仿宋_GB2312" w:hAnsi="仿宋_GB2312" w:cs="仿宋_GB2312"/>
          <w:kern w:val="2"/>
          <w:sz w:val="32"/>
          <w:szCs w:val="32"/>
        </w:rPr>
        <w:t xml:space="preserve"> </w:t>
      </w:r>
    </w:p>
    <w:p>
      <w:pPr>
        <w:pageBreakBefore w:val="0"/>
        <w:kinsoku/>
        <w:wordWrap/>
        <w:overflowPunct/>
        <w:topLinePunct w:val="0"/>
        <w:autoSpaceDE/>
        <w:autoSpaceDN/>
        <w:bidi w:val="0"/>
        <w:adjustRightInd/>
        <w:snapToGrid/>
        <w:spacing w:line="560" w:lineRule="exact"/>
        <w:ind w:firstLine="960" w:firstLineChars="300"/>
        <w:textAlignment w:val="auto"/>
        <w:rPr>
          <w:rFonts w:eastAsia="黑体"/>
          <w:bCs/>
          <w:sz w:val="32"/>
          <w:szCs w:val="32"/>
        </w:rPr>
      </w:pPr>
      <w:bookmarkStart w:id="19" w:name="_Toc68703842"/>
      <w:r>
        <w:rPr>
          <w:rFonts w:hint="eastAsia" w:eastAsia="黑体"/>
          <w:bCs/>
          <w:sz w:val="32"/>
          <w:szCs w:val="32"/>
        </w:rPr>
        <w:t>六、主要经验及做法、存在的问题及原因分析</w:t>
      </w:r>
      <w:bookmarkEnd w:id="19"/>
    </w:p>
    <w:p>
      <w:pPr>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bookmarkStart w:id="20" w:name="_Toc68703843"/>
      <w:r>
        <w:rPr>
          <w:rFonts w:hint="eastAsia" w:eastAsia="楷体_GB2312"/>
          <w:b/>
          <w:bCs/>
          <w:sz w:val="32"/>
          <w:szCs w:val="32"/>
        </w:rPr>
        <w:t>（一）主要经验及做法</w:t>
      </w:r>
      <w:bookmarkEnd w:id="20"/>
    </w:p>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pPr>
      <w:r>
        <w:rPr>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pageBreakBefore w:val="0"/>
        <w:kinsoku/>
        <w:wordWrap/>
        <w:overflowPunct/>
        <w:topLinePunct w:val="0"/>
        <w:autoSpaceDE/>
        <w:autoSpaceDN/>
        <w:bidi w:val="0"/>
        <w:adjustRightInd/>
        <w:snapToGrid/>
        <w:spacing w:before="0" w:after="0" w:line="560" w:lineRule="exact"/>
        <w:ind w:firstLine="321" w:firstLineChars="100"/>
        <w:textAlignment w:val="auto"/>
        <w:rPr>
          <w:rFonts w:ascii="Times New Roman" w:hAnsi="Times New Roman" w:eastAsia="楷体_GB2312" w:cs="Times New Roman"/>
        </w:rPr>
      </w:pPr>
      <w:bookmarkStart w:id="21" w:name="_Toc68703844"/>
      <w:r>
        <w:rPr>
          <w:rFonts w:hint="eastAsia" w:ascii="Times New Roman" w:hAnsi="Times New Roman" w:eastAsia="楷体_GB2312" w:cs="Times New Roman"/>
        </w:rPr>
        <w:t>（二）存在的问题及原因分析</w:t>
      </w:r>
      <w:bookmarkEnd w:id="21"/>
      <w:r>
        <w:rPr>
          <w:rFonts w:hint="eastAsia" w:ascii="Times New Roman" w:hAnsi="Times New Roman" w:eastAsia="楷体_GB2312" w:cs="Times New Roman"/>
        </w:rPr>
        <w:t>　</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1.相关绩效管理方面专业知识的系统性学习有待加强。各项指标的设置要进一步优化、完善，主要在细化、量化上改进。在绩效自评过程中，由于部分人员缺乏相关绩效管理专业知识，自我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2.因轮岗、调动等因素使我单位绩效工作人员流动频繁，造成了工作衔接不到位的情况。</w:t>
      </w:r>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b w:val="0"/>
          <w:bCs w:val="0"/>
          <w:color w:val="FF0000"/>
          <w:kern w:val="2"/>
          <w:sz w:val="32"/>
          <w:szCs w:val="32"/>
        </w:rPr>
      </w:pPr>
      <w:bookmarkStart w:id="22" w:name="_Toc68703845"/>
      <w:r>
        <w:rPr>
          <w:rFonts w:hint="eastAsia" w:eastAsia="黑体"/>
          <w:b w:val="0"/>
          <w:kern w:val="2"/>
          <w:sz w:val="32"/>
          <w:szCs w:val="32"/>
        </w:rPr>
        <w:t>七、有关建议</w:t>
      </w:r>
      <w:bookmarkEnd w:id="22"/>
      <w:r>
        <w:rPr>
          <w:rFonts w:hint="eastAsia" w:eastAsia="黑体"/>
          <w:b w:val="0"/>
          <w:kern w:val="2"/>
          <w:sz w:val="32"/>
          <w:szCs w:val="32"/>
        </w:rPr>
        <w:t>　</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1.多进行有关绩效管理工作方面的培训。积极组织第三方开展绩效管理工作培训，进一步夯实业务基础，提高我单位绩效人员水平。</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2.专门设定对绩效工作人员定职、定岗、定责等相关制度措施，进一步提升我单位绩效管理工作业务水平，扎实做好绩效管理工作。</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sz w:val="32"/>
          <w:szCs w:val="32"/>
        </w:rPr>
      </w:pPr>
      <w:r>
        <w:rPr>
          <w:rFonts w:hint="eastAsia" w:ascii="仿宋_GB2312" w:hAnsi="仿宋_GB2312" w:cs="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kinsoku/>
        <w:wordWrap/>
        <w:overflowPunct/>
        <w:topLinePunct w:val="0"/>
        <w:autoSpaceDE/>
        <w:autoSpaceDN/>
        <w:bidi w:val="0"/>
        <w:adjustRightInd/>
        <w:snapToGrid/>
        <w:spacing w:line="560" w:lineRule="exact"/>
        <w:ind w:firstLine="640" w:firstLineChars="200"/>
        <w:textAlignment w:val="auto"/>
        <w:outlineLvl w:val="0"/>
        <w:rPr>
          <w:sz w:val="22"/>
          <w:szCs w:val="28"/>
        </w:rPr>
      </w:pPr>
      <w:r>
        <w:rPr>
          <w:rFonts w:hint="eastAsia" w:ascii="仿宋_GB2312" w:hAnsi="仿宋_GB2312" w:cs="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cs="仿宋_GB2312"/>
          <w:sz w:val="36"/>
          <w:szCs w:val="32"/>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pPr>
      <w:r>
        <w:rPr>
          <w:rFonts w:hint="eastAsia" w:ascii="仿宋_GB2312" w:hAnsi="仿宋_GB2312" w:cs="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sz w:val="32"/>
          <w:szCs w:val="32"/>
        </w:rPr>
      </w:pPr>
      <w:bookmarkStart w:id="23" w:name="_Toc68703846"/>
      <w:r>
        <w:rPr>
          <w:rFonts w:hint="eastAsia" w:ascii="宋体" w:hAnsi="宋体" w:eastAsia="宋体"/>
          <w:sz w:val="32"/>
          <w:szCs w:val="32"/>
        </w:rPr>
        <w:t>八、其他需要说明的问题</w:t>
      </w:r>
      <w:bookmarkEnd w:id="23"/>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lang w:eastAsia="zh-Hans"/>
        </w:rPr>
        <w:t>本项目无其他需说明的问题</w:t>
      </w:r>
      <w:r>
        <w:rPr>
          <w:rFonts w:hint="eastAsia" w:ascii="仿宋_GB2312" w:hAnsi="仿宋_GB2312" w:cs="仿宋_GB2312"/>
          <w:sz w:val="32"/>
          <w:szCs w:val="32"/>
        </w:rPr>
        <w:t>。</w:t>
      </w:r>
    </w:p>
    <w:p>
      <w:pPr>
        <w:pStyle w:val="2"/>
        <w:rPr>
          <w:rFonts w:hint="eastAsia"/>
        </w:rPr>
      </w:pPr>
    </w:p>
    <w:tbl>
      <w:tblPr>
        <w:tblW w:w="10520" w:type="dxa"/>
        <w:jc w:val="center"/>
        <w:tblInd w:w="-82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827"/>
        <w:gridCol w:w="827"/>
        <w:gridCol w:w="828"/>
        <w:gridCol w:w="828"/>
        <w:gridCol w:w="770"/>
        <w:gridCol w:w="483"/>
        <w:gridCol w:w="1150"/>
        <w:gridCol w:w="1024"/>
        <w:gridCol w:w="668"/>
        <w:gridCol w:w="598"/>
        <w:gridCol w:w="678"/>
        <w:gridCol w:w="471"/>
        <w:gridCol w:w="541"/>
        <w:gridCol w:w="8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58" w:hRule="atLeast"/>
          <w:jc w:val="center"/>
        </w:trPr>
        <w:tc>
          <w:tcPr>
            <w:tcW w:w="1052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4" w:hRule="atLeast"/>
          <w:jc w:val="center"/>
        </w:trPr>
        <w:tc>
          <w:tcPr>
            <w:tcW w:w="1052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4"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8866"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2022-2023年民贸民品贷款贴息项目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4059"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中国共产党霍尔果斯市委员会统一战线工作部</w:t>
            </w: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3115"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中国共产党霍尔果斯市委员会统一战线工作部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8" w:hRule="atLeast"/>
          <w:jc w:val="center"/>
        </w:trPr>
        <w:tc>
          <w:tcPr>
            <w:tcW w:w="1654"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165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16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12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01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8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jc w:val="center"/>
        </w:trPr>
        <w:tc>
          <w:tcPr>
            <w:tcW w:w="1654"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206.43</w:t>
            </w:r>
          </w:p>
        </w:tc>
        <w:tc>
          <w:tcPr>
            <w:tcW w:w="16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206.43</w:t>
            </w: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206.43</w:t>
            </w:r>
          </w:p>
        </w:tc>
        <w:tc>
          <w:tcPr>
            <w:tcW w:w="12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01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w:t>
            </w:r>
          </w:p>
        </w:tc>
        <w:tc>
          <w:tcPr>
            <w:tcW w:w="8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jc w:val="center"/>
        </w:trPr>
        <w:tc>
          <w:tcPr>
            <w:tcW w:w="1654"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206.43</w:t>
            </w:r>
          </w:p>
        </w:tc>
        <w:tc>
          <w:tcPr>
            <w:tcW w:w="16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206.43</w:t>
            </w: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206.43</w:t>
            </w:r>
          </w:p>
        </w:tc>
        <w:tc>
          <w:tcPr>
            <w:tcW w:w="12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1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jc w:val="center"/>
        </w:trPr>
        <w:tc>
          <w:tcPr>
            <w:tcW w:w="1654"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6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1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jc w:val="center"/>
        </w:trPr>
        <w:tc>
          <w:tcPr>
            <w:tcW w:w="1654"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6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1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4" w:hRule="atLeast"/>
          <w:jc w:val="center"/>
        </w:trPr>
        <w:tc>
          <w:tcPr>
            <w:tcW w:w="82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4886"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4807"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50"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86"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对2022-2023年度民族贸易和民族特需商品生产企业贷款贴息，为霍尔果斯市民族贸易和民族特需商品生产企业贷款贴息引导支持，促进相关企业健康发展。</w:t>
            </w:r>
          </w:p>
        </w:tc>
        <w:tc>
          <w:tcPr>
            <w:tcW w:w="4807"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对2022-2023年度3家民族贸易和民族特需商品生产企业贷款贴息，为霍尔果斯市民族贸易和民族特需商品生产企业贷款贴息引导支持，促进相关企业健康发展。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6" w:hRule="atLeast"/>
          <w:jc w:val="center"/>
        </w:trPr>
        <w:tc>
          <w:tcPr>
            <w:tcW w:w="82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82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2081"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115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1024"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1266"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149"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1368"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81"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6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68"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jc w:val="center"/>
        </w:trPr>
        <w:tc>
          <w:tcPr>
            <w:tcW w:w="82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82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8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0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支持民贸民品企业数量</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≥3家</w:t>
            </w:r>
          </w:p>
        </w:tc>
        <w:tc>
          <w:tcPr>
            <w:tcW w:w="10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0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贴息足额拨付率</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0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0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贴息资金管理规范率</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0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0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收到上级拨付资金拨付时间</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&lt;=30日</w:t>
            </w:r>
          </w:p>
        </w:tc>
        <w:tc>
          <w:tcPr>
            <w:tcW w:w="10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30日</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0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上级资金拨付及时到位率</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0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8"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8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20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2022年贷款贴息补贴金额</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&lt;=111.42万元</w:t>
            </w:r>
          </w:p>
        </w:tc>
        <w:tc>
          <w:tcPr>
            <w:tcW w:w="10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111.42万元</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8"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20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2023年贷款贴息补贴金额</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&lt;=95.01万元</w:t>
            </w:r>
          </w:p>
        </w:tc>
        <w:tc>
          <w:tcPr>
            <w:tcW w:w="10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95.01万元</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8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20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民贸民品企业带动就业人数</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&gt;=600人</w:t>
            </w:r>
          </w:p>
        </w:tc>
        <w:tc>
          <w:tcPr>
            <w:tcW w:w="10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600人</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8"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20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促进相关企业健康发展</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有效促进</w:t>
            </w:r>
          </w:p>
        </w:tc>
        <w:tc>
          <w:tcPr>
            <w:tcW w:w="10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有效促进</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8"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8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208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申报贴息资金企业满意度</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0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98.2%</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4" w:hRule="atLeast"/>
          <w:jc w:val="center"/>
        </w:trPr>
        <w:tc>
          <w:tcPr>
            <w:tcW w:w="6737"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12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14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100.00分</w:t>
            </w:r>
          </w:p>
        </w:tc>
        <w:tc>
          <w:tcPr>
            <w:tcW w:w="13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spacing w:line="600" w:lineRule="exact"/>
        <w:rPr>
          <w:rFonts w:ascii="黑体" w:hAnsi="黑体" w:eastAsia="黑体" w:cs="黑体"/>
          <w:bCs/>
          <w:sz w:val="32"/>
          <w:szCs w:val="32"/>
        </w:rPr>
        <w:sectPr>
          <w:headerReference r:id="rId3" w:type="default"/>
          <w:footerReference r:id="rId4" w:type="default"/>
          <w:pgSz w:w="11906" w:h="16838"/>
          <w:pgMar w:top="2098" w:right="1531" w:bottom="2098" w:left="1531" w:header="737" w:footer="851" w:gutter="0"/>
          <w:pgNumType w:fmt="decimal"/>
          <w:cols w:space="720" w:num="1"/>
          <w:docGrid w:type="lines" w:linePitch="408" w:charSpace="0"/>
        </w:sectPr>
      </w:pPr>
    </w:p>
    <w:p>
      <w:pPr>
        <w:pStyle w:val="21"/>
        <w:ind w:firstLine="562"/>
        <w:jc w:val="center"/>
        <w:rPr>
          <w:sz w:val="28"/>
          <w:szCs w:val="40"/>
        </w:rPr>
      </w:pPr>
      <w:bookmarkStart w:id="24" w:name="_Toc26499_WPSOffice_Level2"/>
      <w:bookmarkStart w:id="25" w:name="_Toc30064_WPSOffice_Level1"/>
      <w:r>
        <w:rPr>
          <w:rFonts w:hint="eastAsia"/>
          <w:b/>
          <w:bCs/>
          <w:sz w:val="28"/>
          <w:szCs w:val="40"/>
        </w:rPr>
        <w:t>2022-2023年民贸民品贷款贴息项目绩效评价指标体系及综合评分表</w:t>
      </w:r>
      <w:bookmarkEnd w:id="24"/>
      <w:bookmarkEnd w:id="25"/>
    </w:p>
    <w:tbl>
      <w:tblPr>
        <w:tblW w:w="16120" w:type="dxa"/>
        <w:jc w:val="center"/>
        <w:tblInd w:w="-144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95"/>
        <w:gridCol w:w="1225"/>
        <w:gridCol w:w="1462"/>
        <w:gridCol w:w="3647"/>
        <w:gridCol w:w="7423"/>
        <w:gridCol w:w="783"/>
        <w:gridCol w:w="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37" w:hRule="atLeast"/>
          <w:jc w:val="center"/>
        </w:trPr>
        <w:tc>
          <w:tcPr>
            <w:tcW w:w="14552"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bookmarkStart w:id="26" w:name="_GoBack"/>
            <w:r>
              <w:rPr>
                <w:rFonts w:hint="eastAsia" w:ascii="宋体" w:hAnsi="宋体" w:eastAsia="宋体" w:cs="宋体"/>
                <w:b/>
                <w:i w:val="0"/>
                <w:color w:val="000000"/>
                <w:kern w:val="0"/>
                <w:sz w:val="36"/>
                <w:szCs w:val="36"/>
                <w:u w:val="none"/>
                <w:bdr w:val="none" w:color="auto" w:sz="0" w:space="0"/>
                <w:lang w:val="en-US" w:eastAsia="zh-CN" w:bidi="ar"/>
              </w:rPr>
              <w:t>2022-2023年民贸民品贷款贴息项目支出绩效评价指标体系</w:t>
            </w:r>
          </w:p>
        </w:tc>
        <w:tc>
          <w:tcPr>
            <w:tcW w:w="783"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85"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7" w:hRule="atLeast"/>
          <w:jc w:val="center"/>
        </w:trPr>
        <w:tc>
          <w:tcPr>
            <w:tcW w:w="79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22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4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6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8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8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1"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3"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8"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46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64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7" w:hRule="atLeast"/>
          <w:jc w:val="center"/>
        </w:trPr>
        <w:tc>
          <w:tcPr>
            <w:tcW w:w="7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22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4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6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7" w:hRule="atLeast"/>
          <w:jc w:val="center"/>
        </w:trPr>
        <w:tc>
          <w:tcPr>
            <w:tcW w:w="7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6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14552"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83"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8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r>
      <w:bookmarkEnd w:id="26"/>
    </w:tbl>
    <w:p/>
    <w:sectPr>
      <w:pgSz w:w="16838" w:h="11906" w:orient="landscape"/>
      <w:pgMar w:top="1531" w:right="1928" w:bottom="1531" w:left="1701" w:header="737" w:footer="851" w:gutter="0"/>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0000000000000000000"/>
    <w:charset w:val="86"/>
    <w:family w:val="auto"/>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7"/>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7D49C5"/>
    <w:rsid w:val="000D63FA"/>
    <w:rsid w:val="00135638"/>
    <w:rsid w:val="00152E3A"/>
    <w:rsid w:val="00317CAB"/>
    <w:rsid w:val="003B6CBB"/>
    <w:rsid w:val="003E3B43"/>
    <w:rsid w:val="003F0995"/>
    <w:rsid w:val="004B6996"/>
    <w:rsid w:val="005B64E8"/>
    <w:rsid w:val="0060273B"/>
    <w:rsid w:val="00614288"/>
    <w:rsid w:val="0066348A"/>
    <w:rsid w:val="00670592"/>
    <w:rsid w:val="006A0897"/>
    <w:rsid w:val="00792CFE"/>
    <w:rsid w:val="007D49C5"/>
    <w:rsid w:val="008175E0"/>
    <w:rsid w:val="008C5A5E"/>
    <w:rsid w:val="008C631D"/>
    <w:rsid w:val="009C027C"/>
    <w:rsid w:val="00A114ED"/>
    <w:rsid w:val="00AD6746"/>
    <w:rsid w:val="00B24331"/>
    <w:rsid w:val="00D41846"/>
    <w:rsid w:val="00E906AD"/>
    <w:rsid w:val="00EF3566"/>
    <w:rsid w:val="00F23240"/>
    <w:rsid w:val="00FD0547"/>
    <w:rsid w:val="00FE7F25"/>
    <w:rsid w:val="01583141"/>
    <w:rsid w:val="01B13644"/>
    <w:rsid w:val="05253FFE"/>
    <w:rsid w:val="08A45EA6"/>
    <w:rsid w:val="0F2A6BF7"/>
    <w:rsid w:val="109627EE"/>
    <w:rsid w:val="17136327"/>
    <w:rsid w:val="181871E2"/>
    <w:rsid w:val="19166846"/>
    <w:rsid w:val="1A035988"/>
    <w:rsid w:val="1D2624F4"/>
    <w:rsid w:val="20E92B23"/>
    <w:rsid w:val="228405EE"/>
    <w:rsid w:val="22AC2218"/>
    <w:rsid w:val="2729052F"/>
    <w:rsid w:val="28C14634"/>
    <w:rsid w:val="2E494CE4"/>
    <w:rsid w:val="2EC724D4"/>
    <w:rsid w:val="2EE30257"/>
    <w:rsid w:val="32C149C8"/>
    <w:rsid w:val="341E263A"/>
    <w:rsid w:val="34DA27CE"/>
    <w:rsid w:val="36411DC5"/>
    <w:rsid w:val="36B72533"/>
    <w:rsid w:val="3C6F6078"/>
    <w:rsid w:val="4057649F"/>
    <w:rsid w:val="450B6AE4"/>
    <w:rsid w:val="4662063E"/>
    <w:rsid w:val="48B53AE2"/>
    <w:rsid w:val="540B042F"/>
    <w:rsid w:val="54873A1A"/>
    <w:rsid w:val="56796849"/>
    <w:rsid w:val="568F383B"/>
    <w:rsid w:val="5D555EEF"/>
    <w:rsid w:val="5DA95371"/>
    <w:rsid w:val="686F7714"/>
    <w:rsid w:val="6A862BA8"/>
    <w:rsid w:val="6B4A3F93"/>
    <w:rsid w:val="6DFC1C65"/>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styleId="15">
    <w:name w:val="annotation reference"/>
    <w:basedOn w:val="12"/>
    <w:semiHidden/>
    <w:unhideWhenUsed/>
    <w:qFormat/>
    <w:uiPriority w:val="99"/>
    <w:rPr>
      <w:sz w:val="21"/>
      <w:szCs w:val="21"/>
    </w:rPr>
  </w:style>
  <w:style w:type="character" w:customStyle="1" w:styleId="16">
    <w:name w:val="标题 1 字符"/>
    <w:basedOn w:val="12"/>
    <w:link w:val="3"/>
    <w:qFormat/>
    <w:uiPriority w:val="9"/>
    <w:rPr>
      <w:rFonts w:ascii="Times New Roman" w:hAnsi="Times New Roman" w:eastAsia="仿宋_GB2312" w:cs="Times New Roman"/>
      <w:b/>
      <w:bCs/>
      <w:kern w:val="44"/>
      <w:sz w:val="44"/>
      <w:szCs w:val="44"/>
    </w:rPr>
  </w:style>
  <w:style w:type="character" w:customStyle="1" w:styleId="17">
    <w:name w:val="标题 2 字符"/>
    <w:basedOn w:val="12"/>
    <w:link w:val="4"/>
    <w:qFormat/>
    <w:uiPriority w:val="9"/>
    <w:rPr>
      <w:rFonts w:asciiTheme="majorHAnsi" w:hAnsiTheme="majorHAnsi" w:eastAsiaTheme="majorEastAsia" w:cstheme="majorBidi"/>
      <w:b/>
      <w:bCs/>
      <w:sz w:val="32"/>
      <w:szCs w:val="32"/>
    </w:rPr>
  </w:style>
  <w:style w:type="paragraph" w:customStyle="1" w:styleId="1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字符"/>
    <w:basedOn w:val="12"/>
    <w:link w:val="8"/>
    <w:qFormat/>
    <w:uiPriority w:val="99"/>
    <w:rPr>
      <w:rFonts w:ascii="Times New Roman" w:hAnsi="Times New Roman" w:eastAsia="仿宋_GB2312" w:cs="Times New Roman"/>
      <w:sz w:val="18"/>
      <w:szCs w:val="18"/>
    </w:rPr>
  </w:style>
  <w:style w:type="character" w:customStyle="1" w:styleId="20">
    <w:name w:val="页脚 字符"/>
    <w:basedOn w:val="12"/>
    <w:link w:val="7"/>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1581</Words>
  <Characters>9017</Characters>
  <Lines>75</Lines>
  <Paragraphs>21</Paragraphs>
  <TotalTime>5</TotalTime>
  <ScaleCrop>false</ScaleCrop>
  <LinksUpToDate>false</LinksUpToDate>
  <CharactersWithSpaces>10577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2024-06-12T02:32:20Z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