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line="560" w:lineRule="exact"/>
        <w:ind w:left="0" w:firstLine="964" w:firstLineChars="200"/>
        <w:jc w:val="center"/>
        <w:rPr>
          <w:rFonts w:ascii="宋体" w:hAnsi="宋体" w:eastAsia="宋体" w:cs="Arial"/>
          <w:b/>
          <w:bCs/>
          <w:sz w:val="48"/>
          <w:szCs w:val="48"/>
          <w:highlight w:val="none"/>
        </w:rPr>
      </w:pPr>
    </w:p>
    <w:p>
      <w:pPr>
        <w:pageBreakBefore w:val="0"/>
        <w:kinsoku/>
        <w:wordWrap/>
        <w:overflowPunct/>
        <w:topLinePunct w:val="0"/>
        <w:autoSpaceDE/>
        <w:autoSpaceDN/>
        <w:bidi w:val="0"/>
        <w:adjustRightInd/>
        <w:snapToGrid/>
        <w:spacing w:line="560" w:lineRule="exact"/>
        <w:ind w:left="0" w:firstLine="964" w:firstLineChars="200"/>
        <w:jc w:val="center"/>
        <w:rPr>
          <w:rFonts w:ascii="宋体" w:hAnsi="宋体" w:eastAsia="宋体" w:cs="Arial"/>
          <w:b/>
          <w:bCs/>
          <w:sz w:val="48"/>
          <w:szCs w:val="48"/>
          <w:highlight w:val="none"/>
        </w:rPr>
      </w:pPr>
    </w:p>
    <w:p>
      <w:pPr>
        <w:pageBreakBefore w:val="0"/>
        <w:kinsoku/>
        <w:wordWrap/>
        <w:overflowPunct/>
        <w:topLinePunct w:val="0"/>
        <w:autoSpaceDE/>
        <w:autoSpaceDN/>
        <w:bidi w:val="0"/>
        <w:adjustRightInd/>
        <w:snapToGrid/>
        <w:spacing w:line="560" w:lineRule="exact"/>
        <w:ind w:left="0" w:firstLine="964" w:firstLineChars="200"/>
        <w:jc w:val="center"/>
        <w:rPr>
          <w:rFonts w:ascii="宋体" w:hAnsi="宋体" w:eastAsia="宋体" w:cs="Arial"/>
          <w:b/>
          <w:bCs/>
          <w:sz w:val="48"/>
          <w:szCs w:val="48"/>
          <w:highlight w:val="none"/>
        </w:rPr>
      </w:pPr>
    </w:p>
    <w:p>
      <w:pPr>
        <w:pageBreakBefore w:val="0"/>
        <w:kinsoku/>
        <w:wordWrap/>
        <w:overflowPunct/>
        <w:topLinePunct w:val="0"/>
        <w:autoSpaceDE/>
        <w:autoSpaceDN/>
        <w:bidi w:val="0"/>
        <w:adjustRightInd/>
        <w:snapToGrid/>
        <w:spacing w:line="560" w:lineRule="exact"/>
        <w:ind w:left="0" w:firstLine="960" w:firstLineChars="200"/>
        <w:jc w:val="center"/>
        <w:rPr>
          <w:rFonts w:eastAsia="方正小标宋_GBK"/>
          <w:b/>
          <w:bCs/>
          <w:kern w:val="0"/>
          <w:sz w:val="48"/>
          <w:szCs w:val="48"/>
          <w:highlight w:val="none"/>
        </w:rPr>
      </w:pPr>
      <w:r>
        <w:rPr>
          <w:rFonts w:hint="eastAsia" w:eastAsia="方正小标宋_GBK"/>
          <w:b/>
          <w:bCs/>
          <w:kern w:val="0"/>
          <w:sz w:val="48"/>
          <w:szCs w:val="48"/>
          <w:highlight w:val="none"/>
          <w:lang w:eastAsia="zh-CN"/>
        </w:rPr>
        <w:t>霍尔果斯市人民代表大会常务委员会人大代表“联络站”优化建设及工作项目</w:t>
      </w:r>
      <w:r>
        <w:rPr>
          <w:rFonts w:eastAsia="方正小标宋_GBK"/>
          <w:b/>
          <w:bCs/>
          <w:kern w:val="0"/>
          <w:sz w:val="48"/>
          <w:szCs w:val="48"/>
          <w:highlight w:val="none"/>
        </w:rPr>
        <w:t>资金项目支出绩效评价报告</w:t>
      </w:r>
    </w:p>
    <w:p>
      <w:pPr>
        <w:pageBreakBefore w:val="0"/>
        <w:kinsoku/>
        <w:wordWrap/>
        <w:overflowPunct/>
        <w:topLinePunct w:val="0"/>
        <w:autoSpaceDE/>
        <w:autoSpaceDN/>
        <w:bidi w:val="0"/>
        <w:adjustRightInd/>
        <w:snapToGrid/>
        <w:spacing w:line="560" w:lineRule="exact"/>
        <w:ind w:left="0" w:firstLine="964" w:firstLineChars="200"/>
        <w:jc w:val="center"/>
        <w:rPr>
          <w:rFonts w:ascii="宋体" w:hAnsi="宋体" w:eastAsia="宋体" w:cs="Arial"/>
          <w:b/>
          <w:bCs/>
          <w:sz w:val="48"/>
          <w:szCs w:val="48"/>
          <w:highlight w:val="none"/>
        </w:rPr>
      </w:pPr>
    </w:p>
    <w:p>
      <w:pPr>
        <w:pageBreakBefore w:val="0"/>
        <w:widowControl/>
        <w:kinsoku/>
        <w:wordWrap/>
        <w:overflowPunct/>
        <w:topLinePunct w:val="0"/>
        <w:autoSpaceDE/>
        <w:autoSpaceDN/>
        <w:bidi w:val="0"/>
        <w:adjustRightInd/>
        <w:snapToGrid/>
        <w:spacing w:line="560" w:lineRule="exact"/>
        <w:ind w:left="0" w:firstLine="720" w:firstLineChars="200"/>
        <w:jc w:val="center"/>
        <w:rPr>
          <w:rFonts w:ascii="仿宋_GB2312" w:hAnsi="仿宋_GB2312" w:cs="仿宋_GB2312"/>
          <w:b/>
          <w:kern w:val="0"/>
          <w:sz w:val="50"/>
          <w:szCs w:val="50"/>
          <w:highlight w:val="none"/>
          <w:lang w:bidi="en-US"/>
        </w:rPr>
      </w:pPr>
      <w:r>
        <w:rPr>
          <w:rFonts w:hint="eastAsia" w:ascii="红豆小标宋简体" w:hAnsi="红豆小标宋简体" w:eastAsia="红豆小标宋简体" w:cs="红豆小标宋简体"/>
          <w:color w:val="000000"/>
          <w:kern w:val="0"/>
          <w:sz w:val="36"/>
          <w:szCs w:val="36"/>
          <w:highlight w:val="none"/>
        </w:rPr>
        <w:t>（2</w:t>
      </w:r>
      <w:r>
        <w:rPr>
          <w:rFonts w:ascii="红豆小标宋简体" w:hAnsi="红豆小标宋简体" w:eastAsia="红豆小标宋简体" w:cs="红豆小标宋简体"/>
          <w:color w:val="000000"/>
          <w:kern w:val="0"/>
          <w:sz w:val="36"/>
          <w:szCs w:val="36"/>
          <w:highlight w:val="none"/>
        </w:rPr>
        <w:t>02</w:t>
      </w:r>
      <w:r>
        <w:rPr>
          <w:rFonts w:hint="eastAsia" w:ascii="红豆小标宋简体" w:hAnsi="红豆小标宋简体" w:eastAsia="红豆小标宋简体" w:cs="红豆小标宋简体"/>
          <w:color w:val="000000"/>
          <w:kern w:val="0"/>
          <w:sz w:val="36"/>
          <w:szCs w:val="36"/>
          <w:highlight w:val="none"/>
          <w:lang w:val="en-US" w:eastAsia="zh-CN"/>
        </w:rPr>
        <w:t>3</w:t>
      </w:r>
      <w:r>
        <w:rPr>
          <w:rFonts w:hint="eastAsia" w:ascii="红豆小标宋简体" w:hAnsi="红豆小标宋简体" w:eastAsia="红豆小标宋简体" w:cs="红豆小标宋简体"/>
          <w:color w:val="000000"/>
          <w:kern w:val="0"/>
          <w:sz w:val="36"/>
          <w:szCs w:val="36"/>
          <w:highlight w:val="none"/>
        </w:rPr>
        <w:t>年度）</w:t>
      </w:r>
    </w:p>
    <w:p>
      <w:pPr>
        <w:pageBreakBefore w:val="0"/>
        <w:kinsoku/>
        <w:wordWrap/>
        <w:overflowPunct/>
        <w:topLinePunct w:val="0"/>
        <w:autoSpaceDE/>
        <w:autoSpaceDN/>
        <w:bidi w:val="0"/>
        <w:adjustRightInd/>
        <w:snapToGrid/>
        <w:spacing w:line="560" w:lineRule="exact"/>
        <w:ind w:left="0" w:firstLine="1004" w:firstLineChars="200"/>
        <w:jc w:val="center"/>
        <w:rPr>
          <w:rFonts w:ascii="仿宋_GB2312" w:hAnsi="仿宋_GB2312" w:cs="仿宋_GB2312"/>
          <w:b/>
          <w:kern w:val="0"/>
          <w:sz w:val="50"/>
          <w:szCs w:val="50"/>
          <w:highlight w:val="none"/>
          <w:lang w:bidi="en-US"/>
        </w:rPr>
      </w:pPr>
    </w:p>
    <w:p>
      <w:pPr>
        <w:pageBreakBefore w:val="0"/>
        <w:kinsoku/>
        <w:wordWrap/>
        <w:overflowPunct/>
        <w:topLinePunct w:val="0"/>
        <w:autoSpaceDE/>
        <w:autoSpaceDN/>
        <w:bidi w:val="0"/>
        <w:adjustRightInd/>
        <w:snapToGrid/>
        <w:spacing w:line="560" w:lineRule="exact"/>
        <w:ind w:left="0" w:firstLine="1004" w:firstLineChars="200"/>
        <w:jc w:val="center"/>
        <w:rPr>
          <w:rFonts w:ascii="仿宋_GB2312" w:hAnsi="仿宋_GB2312" w:cs="仿宋_GB2312"/>
          <w:b/>
          <w:kern w:val="0"/>
          <w:sz w:val="50"/>
          <w:szCs w:val="50"/>
          <w:highlight w:val="none"/>
          <w:lang w:bidi="en-US"/>
        </w:rPr>
      </w:pPr>
    </w:p>
    <w:p>
      <w:pPr>
        <w:pageBreakBefore w:val="0"/>
        <w:kinsoku/>
        <w:wordWrap/>
        <w:overflowPunct/>
        <w:topLinePunct w:val="0"/>
        <w:autoSpaceDE/>
        <w:autoSpaceDN/>
        <w:bidi w:val="0"/>
        <w:adjustRightInd/>
        <w:snapToGrid/>
        <w:spacing w:line="560" w:lineRule="exact"/>
        <w:ind w:left="0" w:firstLine="1004" w:firstLineChars="200"/>
        <w:jc w:val="center"/>
        <w:rPr>
          <w:rFonts w:ascii="仿宋_GB2312" w:hAnsi="仿宋_GB2312" w:cs="仿宋_GB2312"/>
          <w:b/>
          <w:kern w:val="0"/>
          <w:sz w:val="50"/>
          <w:szCs w:val="50"/>
          <w:highlight w:val="none"/>
          <w:lang w:bidi="en-US"/>
        </w:rPr>
      </w:pPr>
    </w:p>
    <w:p>
      <w:pPr>
        <w:pageBreakBefore w:val="0"/>
        <w:kinsoku/>
        <w:wordWrap/>
        <w:overflowPunct/>
        <w:topLinePunct w:val="0"/>
        <w:autoSpaceDE/>
        <w:autoSpaceDN/>
        <w:bidi w:val="0"/>
        <w:adjustRightInd/>
        <w:snapToGrid/>
        <w:spacing w:line="560" w:lineRule="exact"/>
        <w:ind w:left="0" w:firstLine="1004" w:firstLineChars="200"/>
        <w:jc w:val="center"/>
        <w:rPr>
          <w:rFonts w:ascii="仿宋_GB2312" w:hAnsi="仿宋_GB2312" w:cs="仿宋_GB2312"/>
          <w:b/>
          <w:kern w:val="0"/>
          <w:sz w:val="50"/>
          <w:szCs w:val="50"/>
          <w:highlight w:val="none"/>
          <w:lang w:bidi="en-US"/>
        </w:rPr>
      </w:pPr>
    </w:p>
    <w:p>
      <w:pPr>
        <w:pageBreakBefore w:val="0"/>
        <w:kinsoku/>
        <w:wordWrap/>
        <w:overflowPunct/>
        <w:topLinePunct w:val="0"/>
        <w:autoSpaceDE/>
        <w:autoSpaceDN/>
        <w:bidi w:val="0"/>
        <w:adjustRightInd/>
        <w:snapToGrid/>
        <w:spacing w:line="560" w:lineRule="exact"/>
        <w:ind w:left="0" w:firstLine="1004" w:firstLineChars="200"/>
        <w:jc w:val="center"/>
        <w:rPr>
          <w:rFonts w:ascii="仿宋_GB2312" w:hAnsi="仿宋_GB2312" w:cs="仿宋_GB2312"/>
          <w:b/>
          <w:kern w:val="0"/>
          <w:sz w:val="50"/>
          <w:szCs w:val="50"/>
          <w:highlight w:val="none"/>
          <w:lang w:bidi="en-US"/>
        </w:rPr>
      </w:pPr>
    </w:p>
    <w:p>
      <w:pPr>
        <w:pageBreakBefore w:val="0"/>
        <w:kinsoku/>
        <w:wordWrap/>
        <w:overflowPunct/>
        <w:topLinePunct w:val="0"/>
        <w:autoSpaceDE/>
        <w:autoSpaceDN/>
        <w:bidi w:val="0"/>
        <w:adjustRightInd/>
        <w:snapToGrid/>
        <w:spacing w:line="560" w:lineRule="exact"/>
        <w:ind w:left="0" w:firstLine="643" w:firstLineChars="200"/>
        <w:jc w:val="both"/>
        <w:rPr>
          <w:rFonts w:hint="eastAsia" w:ascii="宋体" w:hAnsi="宋体" w:eastAsia="宋体" w:cs="宋体"/>
          <w:kern w:val="0"/>
          <w:sz w:val="32"/>
          <w:szCs w:val="32"/>
          <w:highlight w:val="none"/>
          <w:lang w:eastAsia="zh-CN"/>
        </w:rPr>
      </w:pPr>
      <w:r>
        <w:rPr>
          <w:rFonts w:hint="eastAsia" w:ascii="宋体" w:hAnsi="宋体" w:eastAsia="宋体" w:cs="仿宋_GB2312"/>
          <w:b/>
          <w:bCs/>
          <w:color w:val="000000"/>
          <w:kern w:val="0"/>
          <w:sz w:val="32"/>
          <w:szCs w:val="32"/>
          <w:highlight w:val="none"/>
          <w:lang w:eastAsia="zh-CN"/>
        </w:rPr>
        <w:t>　　　</w:t>
      </w:r>
      <w:r>
        <w:rPr>
          <w:rFonts w:hint="eastAsia" w:ascii="宋体" w:hAnsi="宋体" w:eastAsia="宋体" w:cs="仿宋_GB2312"/>
          <w:b/>
          <w:bCs/>
          <w:color w:val="000000"/>
          <w:kern w:val="0"/>
          <w:sz w:val="32"/>
          <w:szCs w:val="32"/>
          <w:highlight w:val="none"/>
        </w:rPr>
        <w:t>项目名称：</w:t>
      </w:r>
      <w:r>
        <w:rPr>
          <w:rFonts w:hint="eastAsia" w:ascii="宋体" w:hAnsi="宋体" w:eastAsia="宋体" w:cs="仿宋_GB2312"/>
          <w:color w:val="000000"/>
          <w:kern w:val="0"/>
          <w:sz w:val="32"/>
          <w:szCs w:val="32"/>
          <w:highlight w:val="none"/>
          <w:lang w:eastAsia="zh-CN"/>
        </w:rPr>
        <w:t>人大代表“</w:t>
      </w:r>
      <w:bookmarkStart w:id="22" w:name="_GoBack"/>
      <w:r>
        <w:rPr>
          <w:rFonts w:hint="eastAsia" w:ascii="宋体" w:hAnsi="宋体" w:eastAsia="宋体" w:cs="仿宋_GB2312"/>
          <w:color w:val="000000"/>
          <w:kern w:val="0"/>
          <w:sz w:val="32"/>
          <w:szCs w:val="32"/>
          <w:highlight w:val="none"/>
          <w:lang w:eastAsia="zh-CN"/>
        </w:rPr>
        <w:t>联络站</w:t>
      </w:r>
      <w:bookmarkEnd w:id="22"/>
      <w:r>
        <w:rPr>
          <w:rFonts w:hint="eastAsia" w:ascii="宋体" w:hAnsi="宋体" w:eastAsia="宋体" w:cs="仿宋_GB2312"/>
          <w:color w:val="000000"/>
          <w:kern w:val="0"/>
          <w:sz w:val="32"/>
          <w:szCs w:val="32"/>
          <w:highlight w:val="none"/>
          <w:lang w:eastAsia="zh-CN"/>
        </w:rPr>
        <w:t>”优化建设及工作项目</w:t>
      </w:r>
    </w:p>
    <w:p>
      <w:pPr>
        <w:pageBreakBefore w:val="0"/>
        <w:kinsoku/>
        <w:wordWrap/>
        <w:overflowPunct/>
        <w:topLinePunct w:val="0"/>
        <w:autoSpaceDE/>
        <w:autoSpaceDN/>
        <w:bidi w:val="0"/>
        <w:adjustRightInd/>
        <w:snapToGrid/>
        <w:spacing w:line="560" w:lineRule="exact"/>
        <w:ind w:left="0" w:firstLine="643" w:firstLineChars="200"/>
        <w:jc w:val="both"/>
        <w:rPr>
          <w:rFonts w:hint="eastAsia" w:ascii="宋体" w:hAnsi="宋体" w:eastAsia="宋体" w:cs="仿宋_GB2312"/>
          <w:color w:val="000000"/>
          <w:kern w:val="0"/>
          <w:sz w:val="28"/>
          <w:szCs w:val="28"/>
          <w:highlight w:val="none"/>
          <w:lang w:eastAsia="zh-CN"/>
        </w:rPr>
      </w:pPr>
      <w:r>
        <w:rPr>
          <w:rFonts w:hint="eastAsia" w:ascii="宋体" w:hAnsi="宋体" w:eastAsia="宋体" w:cs="仿宋_GB2312"/>
          <w:b/>
          <w:bCs/>
          <w:color w:val="000000"/>
          <w:kern w:val="0"/>
          <w:sz w:val="32"/>
          <w:szCs w:val="32"/>
          <w:highlight w:val="none"/>
          <w:lang w:eastAsia="zh-CN"/>
        </w:rPr>
        <w:t>　　　</w:t>
      </w:r>
      <w:r>
        <w:rPr>
          <w:rFonts w:hint="eastAsia" w:ascii="宋体" w:hAnsi="宋体" w:eastAsia="宋体" w:cs="仿宋_GB2312"/>
          <w:b/>
          <w:bCs/>
          <w:color w:val="000000"/>
          <w:kern w:val="0"/>
          <w:sz w:val="32"/>
          <w:szCs w:val="32"/>
          <w:highlight w:val="none"/>
        </w:rPr>
        <w:t>实施单位（公章）：</w:t>
      </w:r>
      <w:r>
        <w:rPr>
          <w:rFonts w:hint="eastAsia" w:ascii="宋体" w:hAnsi="宋体" w:eastAsia="宋体" w:cs="仿宋_GB2312"/>
          <w:color w:val="000000"/>
          <w:kern w:val="0"/>
          <w:sz w:val="28"/>
          <w:szCs w:val="28"/>
          <w:highlight w:val="none"/>
          <w:lang w:eastAsia="zh-CN"/>
        </w:rPr>
        <w:t>霍尔果斯市人民代表大会常务委员会</w:t>
      </w:r>
    </w:p>
    <w:p>
      <w:pPr>
        <w:pageBreakBefore w:val="0"/>
        <w:kinsoku/>
        <w:wordWrap/>
        <w:overflowPunct/>
        <w:topLinePunct w:val="0"/>
        <w:autoSpaceDE/>
        <w:autoSpaceDN/>
        <w:bidi w:val="0"/>
        <w:adjustRightInd/>
        <w:snapToGrid/>
        <w:spacing w:line="560" w:lineRule="exact"/>
        <w:ind w:left="0" w:firstLine="643" w:firstLineChars="200"/>
        <w:jc w:val="both"/>
        <w:rPr>
          <w:rFonts w:hint="eastAsia" w:ascii="宋体" w:hAnsi="宋体" w:eastAsia="宋体" w:cs="仿宋_GB2312"/>
          <w:color w:val="000000"/>
          <w:kern w:val="0"/>
          <w:sz w:val="28"/>
          <w:szCs w:val="28"/>
          <w:highlight w:val="none"/>
          <w:lang w:eastAsia="zh-CN"/>
        </w:rPr>
      </w:pPr>
      <w:r>
        <w:rPr>
          <w:rFonts w:hint="eastAsia" w:ascii="宋体" w:hAnsi="宋体" w:eastAsia="宋体" w:cs="仿宋_GB2312"/>
          <w:b/>
          <w:bCs/>
          <w:color w:val="000000"/>
          <w:kern w:val="0"/>
          <w:sz w:val="32"/>
          <w:szCs w:val="32"/>
          <w:highlight w:val="none"/>
          <w:lang w:eastAsia="zh-CN"/>
        </w:rPr>
        <w:t>　　　</w:t>
      </w:r>
      <w:r>
        <w:rPr>
          <w:rFonts w:hint="eastAsia" w:ascii="宋体" w:hAnsi="宋体" w:eastAsia="宋体" w:cs="仿宋_GB2312"/>
          <w:b/>
          <w:bCs/>
          <w:color w:val="000000"/>
          <w:kern w:val="0"/>
          <w:sz w:val="32"/>
          <w:szCs w:val="32"/>
          <w:highlight w:val="none"/>
        </w:rPr>
        <w:t>主管部门（公章）：</w:t>
      </w:r>
      <w:r>
        <w:rPr>
          <w:rFonts w:hint="eastAsia" w:ascii="宋体" w:hAnsi="宋体" w:eastAsia="宋体" w:cs="仿宋_GB2312"/>
          <w:color w:val="000000"/>
          <w:kern w:val="0"/>
          <w:sz w:val="28"/>
          <w:szCs w:val="28"/>
          <w:highlight w:val="none"/>
          <w:lang w:eastAsia="zh-CN"/>
        </w:rPr>
        <w:t>霍尔果斯市人民代表大会常务委员会</w:t>
      </w:r>
    </w:p>
    <w:p>
      <w:pPr>
        <w:pageBreakBefore w:val="0"/>
        <w:kinsoku/>
        <w:wordWrap/>
        <w:overflowPunct/>
        <w:topLinePunct w:val="0"/>
        <w:autoSpaceDE/>
        <w:autoSpaceDN/>
        <w:bidi w:val="0"/>
        <w:adjustRightInd/>
        <w:snapToGrid/>
        <w:spacing w:line="560" w:lineRule="exact"/>
        <w:ind w:left="0" w:firstLine="643" w:firstLineChars="200"/>
        <w:jc w:val="both"/>
        <w:rPr>
          <w:rFonts w:hint="eastAsia" w:ascii="宋体" w:hAnsi="宋体" w:eastAsia="宋体" w:cs="仿宋_GB2312"/>
          <w:color w:val="000000"/>
          <w:kern w:val="0"/>
          <w:sz w:val="28"/>
          <w:szCs w:val="28"/>
          <w:highlight w:val="none"/>
          <w:lang w:eastAsia="zh-CN"/>
        </w:rPr>
      </w:pPr>
      <w:r>
        <w:rPr>
          <w:rFonts w:hint="eastAsia" w:ascii="宋体" w:hAnsi="宋体" w:eastAsia="宋体" w:cs="仿宋_GB2312"/>
          <w:b/>
          <w:bCs/>
          <w:color w:val="000000"/>
          <w:kern w:val="0"/>
          <w:sz w:val="32"/>
          <w:szCs w:val="32"/>
          <w:highlight w:val="none"/>
          <w:lang w:eastAsia="zh-CN"/>
        </w:rPr>
        <w:t>　　　</w:t>
      </w:r>
      <w:r>
        <w:rPr>
          <w:rFonts w:hint="eastAsia" w:ascii="宋体" w:hAnsi="宋体" w:eastAsia="宋体" w:cs="仿宋_GB2312"/>
          <w:b/>
          <w:bCs/>
          <w:color w:val="000000"/>
          <w:kern w:val="0"/>
          <w:sz w:val="32"/>
          <w:szCs w:val="32"/>
          <w:highlight w:val="none"/>
        </w:rPr>
        <w:t>项目负责人（签章）：</w:t>
      </w:r>
      <w:r>
        <w:rPr>
          <w:rFonts w:hint="eastAsia" w:ascii="宋体" w:hAnsi="宋体" w:eastAsia="宋体" w:cs="仿宋_GB2312"/>
          <w:color w:val="000000"/>
          <w:kern w:val="0"/>
          <w:sz w:val="28"/>
          <w:szCs w:val="28"/>
          <w:highlight w:val="none"/>
          <w:lang w:eastAsia="zh-CN"/>
        </w:rPr>
        <w:t>赵红伟</w:t>
      </w:r>
    </w:p>
    <w:p>
      <w:pPr>
        <w:pageBreakBefore w:val="0"/>
        <w:kinsoku/>
        <w:wordWrap/>
        <w:overflowPunct/>
        <w:topLinePunct w:val="0"/>
        <w:autoSpaceDE/>
        <w:autoSpaceDN/>
        <w:bidi w:val="0"/>
        <w:adjustRightInd/>
        <w:snapToGrid/>
        <w:spacing w:line="560" w:lineRule="exact"/>
        <w:ind w:left="0" w:firstLine="643" w:firstLineChars="200"/>
        <w:jc w:val="both"/>
        <w:rPr>
          <w:rFonts w:ascii="宋体" w:hAnsi="宋体" w:eastAsia="宋体" w:cs="仿宋_GB2312"/>
          <w:color w:val="000000"/>
          <w:kern w:val="0"/>
          <w:sz w:val="32"/>
          <w:szCs w:val="32"/>
          <w:highlight w:val="none"/>
        </w:rPr>
      </w:pPr>
      <w:r>
        <w:rPr>
          <w:rFonts w:hint="eastAsia" w:ascii="宋体" w:hAnsi="宋体" w:eastAsia="宋体" w:cs="仿宋_GB2312"/>
          <w:b/>
          <w:bCs/>
          <w:color w:val="000000"/>
          <w:kern w:val="0"/>
          <w:sz w:val="32"/>
          <w:szCs w:val="32"/>
          <w:highlight w:val="none"/>
          <w:lang w:eastAsia="zh-CN"/>
        </w:rPr>
        <w:t>　　　</w:t>
      </w:r>
      <w:r>
        <w:rPr>
          <w:rFonts w:hint="eastAsia" w:ascii="宋体" w:hAnsi="宋体" w:eastAsia="宋体" w:cs="仿宋_GB2312"/>
          <w:b/>
          <w:bCs/>
          <w:color w:val="000000"/>
          <w:kern w:val="0"/>
          <w:sz w:val="32"/>
          <w:szCs w:val="32"/>
          <w:highlight w:val="none"/>
        </w:rPr>
        <w:t>填报时间：</w:t>
      </w:r>
      <w:r>
        <w:rPr>
          <w:rFonts w:hint="eastAsia" w:ascii="宋体" w:hAnsi="宋体" w:eastAsia="宋体" w:cs="仿宋_GB2312"/>
          <w:color w:val="000000"/>
          <w:kern w:val="0"/>
          <w:sz w:val="32"/>
          <w:szCs w:val="32"/>
          <w:highlight w:val="none"/>
        </w:rPr>
        <w:t>202</w:t>
      </w:r>
      <w:r>
        <w:rPr>
          <w:rFonts w:hint="eastAsia" w:ascii="宋体" w:hAnsi="宋体" w:eastAsia="宋体" w:cs="仿宋_GB2312"/>
          <w:color w:val="000000"/>
          <w:kern w:val="0"/>
          <w:sz w:val="32"/>
          <w:szCs w:val="32"/>
          <w:highlight w:val="none"/>
          <w:lang w:val="en-US" w:eastAsia="zh-CN"/>
        </w:rPr>
        <w:t>4</w:t>
      </w:r>
      <w:r>
        <w:rPr>
          <w:rFonts w:hint="eastAsia" w:ascii="宋体" w:hAnsi="宋体" w:eastAsia="宋体" w:cs="仿宋_GB2312"/>
          <w:color w:val="000000"/>
          <w:kern w:val="0"/>
          <w:sz w:val="32"/>
          <w:szCs w:val="32"/>
          <w:highlight w:val="none"/>
        </w:rPr>
        <w:t>年</w:t>
      </w:r>
      <w:r>
        <w:rPr>
          <w:rFonts w:hint="eastAsia" w:ascii="宋体" w:hAnsi="宋体" w:eastAsia="宋体" w:cs="仿宋_GB2312"/>
          <w:color w:val="000000"/>
          <w:kern w:val="0"/>
          <w:sz w:val="32"/>
          <w:szCs w:val="32"/>
          <w:highlight w:val="none"/>
          <w:lang w:val="en-US" w:eastAsia="zh-CN"/>
        </w:rPr>
        <w:t>4</w:t>
      </w:r>
      <w:r>
        <w:rPr>
          <w:rFonts w:hint="eastAsia" w:ascii="宋体" w:hAnsi="宋体" w:eastAsia="宋体" w:cs="仿宋_GB2312"/>
          <w:color w:val="000000"/>
          <w:kern w:val="0"/>
          <w:sz w:val="32"/>
          <w:szCs w:val="32"/>
          <w:highlight w:val="none"/>
        </w:rPr>
        <w:t>月</w:t>
      </w:r>
      <w:r>
        <w:rPr>
          <w:rFonts w:hint="eastAsia" w:ascii="宋体" w:hAnsi="宋体" w:eastAsia="宋体" w:cs="仿宋_GB2312"/>
          <w:color w:val="000000"/>
          <w:kern w:val="0"/>
          <w:sz w:val="32"/>
          <w:szCs w:val="32"/>
          <w:highlight w:val="none"/>
          <w:lang w:val="en-US" w:eastAsia="zh-CN"/>
        </w:rPr>
        <w:t>17</w:t>
      </w:r>
      <w:r>
        <w:rPr>
          <w:rFonts w:hint="eastAsia" w:ascii="宋体" w:hAnsi="宋体" w:eastAsia="宋体" w:cs="仿宋_GB2312"/>
          <w:color w:val="000000"/>
          <w:kern w:val="0"/>
          <w:sz w:val="32"/>
          <w:szCs w:val="32"/>
          <w:highlight w:val="none"/>
        </w:rPr>
        <w:t>日</w:t>
      </w:r>
    </w:p>
    <w:p>
      <w:pPr>
        <w:pageBreakBefore w:val="0"/>
        <w:widowControl/>
        <w:kinsoku/>
        <w:wordWrap/>
        <w:overflowPunct/>
        <w:topLinePunct w:val="0"/>
        <w:autoSpaceDE/>
        <w:autoSpaceDN/>
        <w:bidi w:val="0"/>
        <w:adjustRightInd/>
        <w:snapToGrid/>
        <w:spacing w:line="560" w:lineRule="exact"/>
        <w:ind w:left="0" w:firstLine="723" w:firstLineChars="200"/>
        <w:jc w:val="left"/>
        <w:rPr>
          <w:rFonts w:ascii="宋体" w:hAnsi="宋体" w:eastAsia="宋体" w:cs="Arial"/>
          <w:b/>
          <w:bCs/>
          <w:sz w:val="36"/>
          <w:szCs w:val="36"/>
          <w:highlight w:val="none"/>
        </w:rPr>
      </w:pPr>
      <w:r>
        <w:rPr>
          <w:rFonts w:ascii="宋体" w:hAnsi="宋体" w:eastAsia="宋体" w:cs="Arial"/>
          <w:b/>
          <w:bCs/>
          <w:sz w:val="36"/>
          <w:szCs w:val="36"/>
          <w:highlight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黑体" w:cs="Times New Roman"/>
          <w:bCs/>
          <w:sz w:val="32"/>
          <w:szCs w:val="32"/>
          <w:highlight w:val="none"/>
        </w:rPr>
      </w:pPr>
      <w:bookmarkStart w:id="0" w:name="_Toc68703827"/>
      <w:r>
        <w:rPr>
          <w:rFonts w:hint="eastAsia" w:eastAsia="黑体" w:cs="Times New Roman"/>
          <w:bCs/>
          <w:sz w:val="32"/>
          <w:szCs w:val="32"/>
          <w:highlight w:val="none"/>
          <w:lang w:val="en-US" w:eastAsia="zh-CN"/>
        </w:rPr>
        <w:t>一、</w:t>
      </w:r>
      <w:r>
        <w:rPr>
          <w:rFonts w:hint="eastAsia" w:ascii="Times New Roman" w:hAnsi="Times New Roman" w:eastAsia="黑体" w:cs="Times New Roman"/>
          <w:bCs/>
          <w:sz w:val="32"/>
          <w:szCs w:val="32"/>
          <w:highlight w:val="none"/>
        </w:rPr>
        <w:t>基本情况</w:t>
      </w:r>
      <w:bookmarkEnd w:id="0"/>
      <w:bookmarkStart w:id="1" w:name="_Toc68703828"/>
    </w:p>
    <w:p>
      <w:pPr>
        <w:pageBreakBefore w:val="0"/>
        <w:numPr>
          <w:ilvl w:val="0"/>
          <w:numId w:val="0"/>
        </w:numPr>
        <w:kinsoku/>
        <w:wordWrap/>
        <w:overflowPunct/>
        <w:topLinePunct w:val="0"/>
        <w:autoSpaceDE/>
        <w:autoSpaceDN/>
        <w:bidi w:val="0"/>
        <w:adjustRightInd/>
        <w:snapToGrid/>
        <w:spacing w:line="560" w:lineRule="exact"/>
        <w:ind w:left="0" w:firstLine="643" w:firstLineChars="200"/>
        <w:rPr>
          <w:rFonts w:hint="eastAsia" w:ascii="Times New Roman" w:hAnsi="Times New Roman" w:eastAsia="楷体_GB2312" w:cs="Times New Roman"/>
          <w:b/>
          <w:bCs/>
          <w:sz w:val="32"/>
          <w:szCs w:val="32"/>
          <w:highlight w:val="none"/>
          <w:lang w:eastAsia="zh-CN"/>
        </w:rPr>
      </w:pPr>
      <w:r>
        <w:rPr>
          <w:rFonts w:hint="eastAsia" w:ascii="Times New Roman" w:hAnsi="Times New Roman" w:eastAsia="楷体_GB2312" w:cs="Times New Roman"/>
          <w:b/>
          <w:bCs/>
          <w:sz w:val="32"/>
          <w:szCs w:val="32"/>
          <w:highlight w:val="none"/>
          <w:lang w:eastAsia="zh-CN"/>
        </w:rPr>
        <w:t>（一）</w:t>
      </w:r>
      <w:r>
        <w:rPr>
          <w:rFonts w:hint="eastAsia" w:ascii="Times New Roman" w:hAnsi="Times New Roman" w:eastAsia="楷体_GB2312" w:cs="Times New Roman"/>
          <w:b/>
          <w:bCs/>
          <w:sz w:val="32"/>
          <w:szCs w:val="32"/>
          <w:highlight w:val="none"/>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highlight w:val="none"/>
          <w:lang w:eastAsia="zh-CN"/>
        </w:rPr>
      </w:pPr>
      <w:r>
        <w:rPr>
          <w:rFonts w:hint="eastAsia" w:ascii="Times New Roman" w:hAnsi="Times New Roman" w:cs="Times New Roman"/>
          <w:b w:val="0"/>
          <w:bCs w:val="0"/>
          <w:sz w:val="32"/>
          <w:szCs w:val="32"/>
          <w:highlight w:val="none"/>
          <w:lang w:val="en-US" w:eastAsia="zh-CN"/>
        </w:rPr>
        <w:t>　</w:t>
      </w:r>
      <w:r>
        <w:rPr>
          <w:rFonts w:hint="eastAsia" w:ascii="Times New Roman" w:hAnsi="Times New Roman" w:eastAsia="仿宋_GB2312" w:cs="Times New Roman"/>
          <w:b w:val="0"/>
          <w:bCs w:val="0"/>
          <w:sz w:val="32"/>
          <w:szCs w:val="32"/>
          <w:highlight w:val="none"/>
          <w:lang w:val="en-US" w:eastAsia="zh-CN"/>
        </w:rPr>
        <w:t>1.项目背景：</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color w:val="000000" w:themeColor="text1"/>
          <w:sz w:val="32"/>
          <w:szCs w:val="32"/>
          <w:highlight w:val="none"/>
          <w14:textFill>
            <w14:solidFill>
              <w14:schemeClr w14:val="tx1"/>
            </w14:solidFill>
          </w14:textFill>
        </w:rPr>
      </w:pPr>
      <w:r>
        <w:rPr>
          <w:rFonts w:hint="eastAsia" w:ascii="仿宋_GB2312" w:hAnsi="仿宋"/>
          <w:color w:val="000000" w:themeColor="text1"/>
          <w:sz w:val="32"/>
          <w:szCs w:val="32"/>
          <w:highlight w:val="none"/>
          <w14:textFill>
            <w14:solidFill>
              <w14:schemeClr w14:val="tx1"/>
            </w14:solidFill>
          </w14:textFill>
        </w:rPr>
        <w:t>本项目依据《</w:t>
      </w:r>
      <w:r>
        <w:rPr>
          <w:rFonts w:hint="eastAsia" w:ascii="仿宋_GB2312" w:hAnsi="仿宋"/>
          <w:color w:val="000000" w:themeColor="text1"/>
          <w:sz w:val="32"/>
          <w:szCs w:val="32"/>
          <w:highlight w:val="none"/>
          <w:lang w:eastAsia="zh-CN"/>
          <w14:textFill>
            <w14:solidFill>
              <w14:schemeClr w14:val="tx1"/>
            </w14:solidFill>
          </w14:textFill>
        </w:rPr>
        <w:t>关于调整各级人大代表活动经费标准及人大代表“家室站”补助经费的通知</w:t>
      </w:r>
      <w:r>
        <w:rPr>
          <w:rFonts w:hint="eastAsia" w:ascii="仿宋_GB2312" w:hAnsi="仿宋"/>
          <w:color w:val="000000" w:themeColor="text1"/>
          <w:sz w:val="32"/>
          <w:szCs w:val="32"/>
          <w:highlight w:val="none"/>
          <w14:textFill>
            <w14:solidFill>
              <w14:schemeClr w14:val="tx1"/>
            </w14:solidFill>
          </w14:textFill>
        </w:rPr>
        <w:t>》（</w:t>
      </w:r>
      <w:r>
        <w:rPr>
          <w:rFonts w:hint="eastAsia" w:ascii="仿宋_GB2312" w:hAnsi="仿宋"/>
          <w:color w:val="000000" w:themeColor="text1"/>
          <w:sz w:val="32"/>
          <w:szCs w:val="32"/>
          <w:highlight w:val="none"/>
          <w:lang w:eastAsia="zh-CN"/>
          <w14:textFill>
            <w14:solidFill>
              <w14:schemeClr w14:val="tx1"/>
            </w14:solidFill>
          </w14:textFill>
        </w:rPr>
        <w:t>新财行</w:t>
      </w:r>
      <w:r>
        <w:rPr>
          <w:rFonts w:hint="eastAsia" w:ascii="仿宋_GB2312" w:hAnsi="仿宋"/>
          <w:color w:val="000000" w:themeColor="text1"/>
          <w:sz w:val="32"/>
          <w:szCs w:val="32"/>
          <w:highlight w:val="none"/>
          <w14:textFill>
            <w14:solidFill>
              <w14:schemeClr w14:val="tx1"/>
            </w14:solidFill>
          </w14:textFill>
        </w:rPr>
        <w:t>〔20</w:t>
      </w:r>
      <w:r>
        <w:rPr>
          <w:rFonts w:hint="eastAsia" w:ascii="仿宋_GB2312" w:hAnsi="仿宋"/>
          <w:color w:val="000000" w:themeColor="text1"/>
          <w:sz w:val="32"/>
          <w:szCs w:val="32"/>
          <w:highlight w:val="none"/>
          <w:lang w:val="en-US" w:eastAsia="zh-CN"/>
          <w14:textFill>
            <w14:solidFill>
              <w14:schemeClr w14:val="tx1"/>
            </w14:solidFill>
          </w14:textFill>
        </w:rPr>
        <w:t>22</w:t>
      </w:r>
      <w:r>
        <w:rPr>
          <w:rFonts w:hint="eastAsia" w:ascii="仿宋_GB2312" w:hAnsi="仿宋"/>
          <w:color w:val="000000" w:themeColor="text1"/>
          <w:sz w:val="32"/>
          <w:szCs w:val="32"/>
          <w:highlight w:val="none"/>
          <w14:textFill>
            <w14:solidFill>
              <w14:schemeClr w14:val="tx1"/>
            </w14:solidFill>
          </w14:textFill>
        </w:rPr>
        <w:t>〕</w:t>
      </w:r>
      <w:r>
        <w:rPr>
          <w:rFonts w:hint="eastAsia" w:ascii="仿宋_GB2312" w:hAnsi="仿宋"/>
          <w:color w:val="000000" w:themeColor="text1"/>
          <w:sz w:val="32"/>
          <w:szCs w:val="32"/>
          <w:highlight w:val="none"/>
          <w:lang w:val="en-US" w:eastAsia="zh-CN"/>
          <w14:textFill>
            <w14:solidFill>
              <w14:schemeClr w14:val="tx1"/>
            </w14:solidFill>
          </w14:textFill>
        </w:rPr>
        <w:t>245</w:t>
      </w:r>
      <w:r>
        <w:rPr>
          <w:rFonts w:hint="eastAsia" w:ascii="仿宋_GB2312" w:hAnsi="仿宋"/>
          <w:color w:val="000000" w:themeColor="text1"/>
          <w:sz w:val="32"/>
          <w:szCs w:val="32"/>
          <w:highlight w:val="none"/>
          <w14:textFill>
            <w14:solidFill>
              <w14:schemeClr w14:val="tx1"/>
            </w14:solidFill>
          </w14:textFill>
        </w:rPr>
        <w:t>号）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Times New Roman" w:hAnsi="Times New Roman" w:eastAsia="仿宋_GB2312" w:cs="Times New Roman"/>
          <w:b w:val="0"/>
          <w:bCs w:val="0"/>
          <w:sz w:val="32"/>
          <w:szCs w:val="32"/>
          <w:highlight w:val="none"/>
          <w:lang w:eastAsia="zh-CN"/>
        </w:rPr>
      </w:pPr>
      <w:r>
        <w:rPr>
          <w:rFonts w:hint="eastAsia" w:ascii="Times New Roman" w:hAnsi="Times New Roman" w:eastAsia="仿宋_GB2312" w:cs="Times New Roman"/>
          <w:b w:val="0"/>
          <w:bCs w:val="0"/>
          <w:sz w:val="32"/>
          <w:szCs w:val="32"/>
          <w:highlight w:val="none"/>
          <w:lang w:eastAsia="zh-CN"/>
        </w:rPr>
        <w:t>2</w:t>
      </w:r>
      <w:r>
        <w:rPr>
          <w:rFonts w:hint="eastAsia" w:ascii="Times New Roman" w:hAnsi="Times New Roman" w:eastAsia="仿宋_GB2312" w:cs="Times New Roman"/>
          <w:b w:val="0"/>
          <w:bCs w:val="0"/>
          <w:sz w:val="32"/>
          <w:szCs w:val="32"/>
          <w:highlight w:val="none"/>
          <w:lang w:val="en-US" w:eastAsia="zh-CN"/>
        </w:rPr>
        <w:t>.</w:t>
      </w:r>
      <w:r>
        <w:rPr>
          <w:rFonts w:hint="eastAsia" w:ascii="Times New Roman" w:hAnsi="Times New Roman" w:eastAsia="仿宋_GB2312" w:cs="Times New Roman"/>
          <w:b w:val="0"/>
          <w:bCs w:val="0"/>
          <w:sz w:val="32"/>
          <w:szCs w:val="32"/>
          <w:highlight w:val="none"/>
          <w:lang w:eastAsia="zh-C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sz w:val="32"/>
          <w:szCs w:val="32"/>
          <w:highlight w:val="none"/>
        </w:rPr>
        <w:t>主要内容：</w:t>
      </w:r>
      <w:r>
        <w:rPr>
          <w:rFonts w:hint="eastAsia" w:ascii="仿宋_GB2312"/>
          <w:color w:val="000000" w:themeColor="text1"/>
          <w:sz w:val="32"/>
          <w:szCs w:val="32"/>
          <w:highlight w:val="none"/>
          <w:lang w:eastAsia="zh-CN"/>
          <w14:textFill>
            <w14:solidFill>
              <w14:schemeClr w14:val="tx1"/>
            </w14:solidFill>
          </w14:textFill>
        </w:rPr>
        <w:t>代表法规定，人大代表在闭会期间的工作和闭会期间的活动，都是执行代表职务。国家和社会为代表执行代表职务提供保障，要认真贯彻落实中央人大工作会议精神和自治区党委实施意见，严格按照有关法律规定，依法保障代表执行职务所产生的交通、食宿费用，保障代表履职补助和无固定收入代表的误工补贴，落实人大代表“家室站”经费补助标准，支持和保障代表依法履职，更好发挥代表作用。</w:t>
      </w:r>
    </w:p>
    <w:p>
      <w:pPr>
        <w:pageBreakBefore w:val="0"/>
        <w:kinsoku/>
        <w:wordWrap/>
        <w:overflowPunct/>
        <w:topLinePunct w:val="0"/>
        <w:autoSpaceDE/>
        <w:autoSpaceDN/>
        <w:bidi w:val="0"/>
        <w:adjustRightInd/>
        <w:snapToGrid/>
        <w:spacing w:line="560" w:lineRule="exact"/>
        <w:ind w:left="0" w:firstLine="640" w:firstLineChars="200"/>
        <w:rPr>
          <w:highlight w:val="none"/>
        </w:rPr>
      </w:pPr>
      <w:r>
        <w:rPr>
          <w:rFonts w:hint="eastAsia" w:ascii="仿宋_GB2312"/>
          <w:sz w:val="32"/>
          <w:szCs w:val="32"/>
          <w:highlight w:val="none"/>
        </w:rPr>
        <w:t>实施情况：</w:t>
      </w:r>
      <w:r>
        <w:rPr>
          <w:rFonts w:hint="eastAsia" w:ascii="仿宋_GB2312"/>
          <w:sz w:val="32"/>
          <w:szCs w:val="32"/>
          <w:highlight w:val="none"/>
          <w:lang w:val="en-US" w:eastAsia="zh-CN"/>
        </w:rPr>
        <w:t>市人大常委会分上下半年，分别向11个人大代表联络站拨款11万，合计拨款22万。</w:t>
      </w:r>
      <w:r>
        <w:rPr>
          <w:rFonts w:eastAsia="仿宋_GB2312"/>
          <w:sz w:val="32"/>
          <w:szCs w:val="32"/>
          <w:highlight w:val="none"/>
        </w:rPr>
        <w:t>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Times New Roman" w:hAnsi="Times New Roman" w:cs="Times New Roman"/>
          <w:b w:val="0"/>
          <w:bCs w:val="0"/>
          <w:sz w:val="32"/>
          <w:szCs w:val="32"/>
          <w:highlight w:val="none"/>
          <w:lang w:eastAsia="zh-CN"/>
        </w:rPr>
      </w:pPr>
      <w:r>
        <w:rPr>
          <w:rFonts w:hint="eastAsia" w:ascii="Times New Roman" w:hAnsi="Times New Roman" w:cs="Times New Roman"/>
          <w:b w:val="0"/>
          <w:bCs w:val="0"/>
          <w:sz w:val="32"/>
          <w:szCs w:val="32"/>
          <w:highlight w:val="none"/>
          <w:lang w:eastAsia="zh-CN"/>
        </w:rPr>
        <w:t>3</w:t>
      </w:r>
      <w:r>
        <w:rPr>
          <w:rFonts w:hint="eastAsia" w:ascii="Times New Roman" w:hAnsi="Times New Roman" w:cs="Times New Roman"/>
          <w:b w:val="0"/>
          <w:bCs w:val="0"/>
          <w:sz w:val="32"/>
          <w:szCs w:val="32"/>
          <w:highlight w:val="none"/>
          <w:lang w:val="en-US" w:eastAsia="zh-CN"/>
        </w:rPr>
        <w:t>.</w:t>
      </w:r>
      <w:r>
        <w:rPr>
          <w:rFonts w:hint="eastAsia" w:ascii="Times New Roman" w:hAnsi="Times New Roman" w:cs="Times New Roman"/>
          <w:b w:val="0"/>
          <w:bCs w:val="0"/>
          <w:sz w:val="32"/>
          <w:szCs w:val="32"/>
          <w:highlight w:val="none"/>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color w:val="FF0000"/>
          <w:sz w:val="32"/>
          <w:szCs w:val="32"/>
          <w:highlight w:val="none"/>
        </w:rPr>
      </w:pPr>
      <w:r>
        <w:rPr>
          <w:rFonts w:hint="eastAsia"/>
          <w:sz w:val="32"/>
          <w:szCs w:val="32"/>
          <w:highlight w:val="none"/>
        </w:rPr>
        <w:t>资金投入情况</w:t>
      </w:r>
      <w:r>
        <w:rPr>
          <w:rFonts w:hint="eastAsia"/>
          <w:color w:val="auto"/>
          <w:sz w:val="32"/>
          <w:szCs w:val="32"/>
          <w:highlight w:val="none"/>
        </w:rPr>
        <w:t>：该项目年初预算数</w:t>
      </w:r>
      <w:r>
        <w:rPr>
          <w:rFonts w:hint="eastAsia"/>
          <w:color w:val="auto"/>
          <w:sz w:val="32"/>
          <w:szCs w:val="32"/>
          <w:highlight w:val="none"/>
          <w:lang w:val="en-US" w:eastAsia="zh-CN"/>
        </w:rPr>
        <w:t>22</w:t>
      </w:r>
      <w:r>
        <w:rPr>
          <w:rFonts w:hint="eastAsia"/>
          <w:color w:val="auto"/>
          <w:sz w:val="32"/>
          <w:szCs w:val="32"/>
          <w:highlight w:val="none"/>
        </w:rPr>
        <w:t>万元，全年预算数</w:t>
      </w:r>
      <w:r>
        <w:rPr>
          <w:rFonts w:hint="eastAsia"/>
          <w:color w:val="auto"/>
          <w:sz w:val="32"/>
          <w:szCs w:val="32"/>
          <w:highlight w:val="none"/>
          <w:lang w:val="en-US" w:eastAsia="zh-CN"/>
        </w:rPr>
        <w:t>22</w:t>
      </w:r>
      <w:r>
        <w:rPr>
          <w:rFonts w:hint="eastAsia"/>
          <w:color w:val="auto"/>
          <w:sz w:val="32"/>
          <w:szCs w:val="32"/>
          <w:highlight w:val="none"/>
        </w:rPr>
        <w:t>万元，实际总投入</w:t>
      </w:r>
      <w:r>
        <w:rPr>
          <w:rFonts w:hint="eastAsia"/>
          <w:color w:val="auto"/>
          <w:sz w:val="32"/>
          <w:szCs w:val="32"/>
          <w:highlight w:val="none"/>
          <w:lang w:val="en-US" w:eastAsia="zh-CN"/>
        </w:rPr>
        <w:t>22</w:t>
      </w:r>
      <w:r>
        <w:rPr>
          <w:rFonts w:hint="eastAsia"/>
          <w:color w:val="auto"/>
          <w:sz w:val="32"/>
          <w:szCs w:val="32"/>
          <w:highlight w:val="none"/>
        </w:rPr>
        <w:t>万元，该项目资金已全部落实到位，资金来源为</w:t>
      </w:r>
      <w:r>
        <w:rPr>
          <w:rFonts w:hint="eastAsia"/>
          <w:color w:val="auto"/>
          <w:sz w:val="32"/>
          <w:szCs w:val="32"/>
          <w:highlight w:val="none"/>
          <w:lang w:val="en-US" w:eastAsia="zh-CN"/>
        </w:rPr>
        <w:t>本级财政年初预算安排</w:t>
      </w:r>
      <w:r>
        <w:rPr>
          <w:rFonts w:hint="eastAsia"/>
          <w:color w:val="FF000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eastAsia="仿宋_GB2312"/>
          <w:color w:val="FF0000"/>
          <w:sz w:val="32"/>
          <w:szCs w:val="32"/>
          <w:highlight w:val="none"/>
          <w:lang w:eastAsia="zh-CN"/>
        </w:rPr>
      </w:pPr>
      <w:r>
        <w:rPr>
          <w:rFonts w:hint="eastAsia"/>
          <w:sz w:val="32"/>
          <w:szCs w:val="32"/>
          <w:highlight w:val="none"/>
        </w:rPr>
        <w:t>资金使用情况：</w:t>
      </w:r>
      <w:r>
        <w:rPr>
          <w:rFonts w:hint="eastAsia"/>
          <w:color w:val="auto"/>
          <w:sz w:val="32"/>
          <w:szCs w:val="32"/>
          <w:highlight w:val="none"/>
        </w:rPr>
        <w:t>该项目年初预算数</w:t>
      </w:r>
      <w:r>
        <w:rPr>
          <w:rFonts w:hint="eastAsia"/>
          <w:color w:val="auto"/>
          <w:sz w:val="32"/>
          <w:szCs w:val="32"/>
          <w:highlight w:val="none"/>
          <w:lang w:val="en-US" w:eastAsia="zh-CN"/>
        </w:rPr>
        <w:t>22</w:t>
      </w:r>
      <w:r>
        <w:rPr>
          <w:rFonts w:hint="eastAsia"/>
          <w:color w:val="auto"/>
          <w:sz w:val="32"/>
          <w:szCs w:val="32"/>
          <w:highlight w:val="none"/>
        </w:rPr>
        <w:t>万元，全年预算数</w:t>
      </w:r>
      <w:r>
        <w:rPr>
          <w:rFonts w:hint="eastAsia"/>
          <w:color w:val="auto"/>
          <w:sz w:val="32"/>
          <w:szCs w:val="32"/>
          <w:highlight w:val="none"/>
          <w:lang w:val="en-US" w:eastAsia="zh-CN"/>
        </w:rPr>
        <w:t>22</w:t>
      </w:r>
      <w:r>
        <w:rPr>
          <w:rFonts w:hint="eastAsia"/>
          <w:color w:val="auto"/>
          <w:sz w:val="32"/>
          <w:szCs w:val="32"/>
          <w:highlight w:val="none"/>
        </w:rPr>
        <w:t>万元，全年执行数</w:t>
      </w:r>
      <w:r>
        <w:rPr>
          <w:rFonts w:hint="eastAsia"/>
          <w:color w:val="auto"/>
          <w:sz w:val="32"/>
          <w:szCs w:val="32"/>
          <w:highlight w:val="none"/>
          <w:lang w:val="en-US" w:eastAsia="zh-CN"/>
        </w:rPr>
        <w:t>22</w:t>
      </w:r>
      <w:r>
        <w:rPr>
          <w:rFonts w:hint="eastAsia"/>
          <w:color w:val="auto"/>
          <w:sz w:val="32"/>
          <w:szCs w:val="32"/>
          <w:highlight w:val="none"/>
        </w:rPr>
        <w:t>万元，预算执行率为</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主要</w:t>
      </w:r>
      <w:r>
        <w:rPr>
          <w:rFonts w:hint="eastAsia"/>
          <w:color w:val="auto"/>
          <w:sz w:val="32"/>
          <w:szCs w:val="32"/>
          <w:highlight w:val="none"/>
        </w:rPr>
        <w:t>用于：</w:t>
      </w:r>
      <w:r>
        <w:rPr>
          <w:rFonts w:hint="eastAsia"/>
          <w:color w:val="auto"/>
          <w:sz w:val="32"/>
          <w:szCs w:val="32"/>
          <w:highlight w:val="none"/>
          <w:lang w:val="en-US" w:eastAsia="zh-CN"/>
        </w:rPr>
        <w:t>11个人大代表联络站，每个人大代表联络站2</w:t>
      </w:r>
      <w:r>
        <w:rPr>
          <w:rFonts w:hint="eastAsia"/>
          <w:color w:val="auto"/>
          <w:sz w:val="32"/>
          <w:szCs w:val="32"/>
          <w:highlight w:val="none"/>
        </w:rPr>
        <w:t>万元</w:t>
      </w:r>
      <w:bookmarkStart w:id="2" w:name="_Toc68703829"/>
      <w:r>
        <w:rPr>
          <w:rFonts w:hint="eastAsia"/>
          <w:color w:val="auto"/>
          <w:sz w:val="32"/>
          <w:szCs w:val="32"/>
          <w:highlight w:val="none"/>
          <w:lang w:eastAsia="zh-CN"/>
        </w:rPr>
        <w:t>。</w:t>
      </w:r>
    </w:p>
    <w:p>
      <w:pPr>
        <w:pageBreakBefore w:val="0"/>
        <w:kinsoku/>
        <w:wordWrap/>
        <w:overflowPunct/>
        <w:topLinePunct w:val="0"/>
        <w:autoSpaceDE/>
        <w:autoSpaceDN/>
        <w:bidi w:val="0"/>
        <w:adjustRightInd/>
        <w:snapToGrid/>
        <w:spacing w:line="560" w:lineRule="exact"/>
        <w:ind w:left="0" w:firstLine="643" w:firstLineChars="200"/>
        <w:rPr>
          <w:rFonts w:hint="eastAsia" w:ascii="Times New Roman" w:hAnsi="Times New Roman" w:eastAsia="楷体_GB2312" w:cs="Times New Roman"/>
          <w:b/>
          <w:bCs/>
          <w:sz w:val="32"/>
          <w:szCs w:val="32"/>
          <w:highlight w:val="none"/>
          <w:lang w:eastAsia="zh-CN"/>
        </w:rPr>
      </w:pPr>
      <w:r>
        <w:rPr>
          <w:rFonts w:hint="eastAsia" w:ascii="Times New Roman" w:hAnsi="Times New Roman" w:eastAsia="楷体_GB2312" w:cs="Times New Roman"/>
          <w:b/>
          <w:bCs/>
          <w:sz w:val="32"/>
          <w:szCs w:val="32"/>
          <w:highlight w:val="none"/>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eastAsia="仿宋_GB2312"/>
          <w:color w:val="000000" w:themeColor="text1"/>
          <w:sz w:val="32"/>
          <w:szCs w:val="32"/>
          <w:highlight w:val="none"/>
          <w:lang w:eastAsia="zh-CN"/>
          <w14:textFill>
            <w14:solidFill>
              <w14:schemeClr w14:val="tx1"/>
            </w14:solidFill>
          </w14:textFill>
        </w:rPr>
      </w:pPr>
      <w:r>
        <w:rPr>
          <w:rFonts w:hint="eastAsia" w:ascii="Times New Roman" w:hAnsi="Times New Roman" w:eastAsia="仿宋_GB2312" w:cs="Times New Roman"/>
          <w:b w:val="0"/>
          <w:bCs w:val="0"/>
          <w:sz w:val="32"/>
          <w:szCs w:val="32"/>
          <w:highlight w:val="none"/>
          <w:lang w:val="en-US" w:eastAsia="zh-CN"/>
        </w:rPr>
        <w:t>1.总体目标：</w:t>
      </w:r>
      <w:r>
        <w:rPr>
          <w:rFonts w:hint="eastAsia"/>
          <w:color w:val="000000" w:themeColor="text1"/>
          <w:sz w:val="32"/>
          <w:szCs w:val="32"/>
          <w:highlight w:val="none"/>
          <w14:textFill>
            <w14:solidFill>
              <w14:schemeClr w14:val="tx1"/>
            </w14:solidFill>
          </w14:textFill>
        </w:rPr>
        <w:t>根据人大代表联络站建设实际和重点建设需要用于全市11个代表联络站优化建设，每个代表联络站建设做到"八个有"，通过“人大代表联络站”履职平台，代表闭会期间的履职活动得到进一步加强，对代表参加会议、审议发言、提出建议、视察调研、走访接待、履职培训、建议督办、参加议事会、向选民述职等履职活动提供建设、场所和空间配置、设施、标识等“硬件”标准</w:t>
      </w:r>
      <w:r>
        <w:rPr>
          <w:rFonts w:hint="eastAsia"/>
          <w:color w:val="000000" w:themeColor="text1"/>
          <w:sz w:val="32"/>
          <w:szCs w:val="32"/>
          <w:highlight w:val="none"/>
          <w:lang w:eastAsia="zh-CN"/>
          <w14:textFill>
            <w14:solidFill>
              <w14:schemeClr w14:val="tx1"/>
            </w14:solidFill>
          </w14:textFill>
        </w:rPr>
        <w:t>。</w:t>
      </w:r>
    </w:p>
    <w:p>
      <w:pPr>
        <w:pageBreakBefore w:val="0"/>
        <w:kinsoku/>
        <w:wordWrap/>
        <w:overflowPunct/>
        <w:topLinePunct w:val="0"/>
        <w:autoSpaceDE/>
        <w:autoSpaceDN/>
        <w:bidi w:val="0"/>
        <w:adjustRightInd/>
        <w:snapToGrid/>
        <w:spacing w:line="560" w:lineRule="exact"/>
        <w:ind w:left="0" w:firstLine="640" w:firstLineChars="200"/>
        <w:rPr>
          <w:rFonts w:hint="default"/>
          <w:color w:val="FF0000"/>
          <w:sz w:val="32"/>
          <w:szCs w:val="32"/>
          <w:highlight w:val="none"/>
          <w:lang w:val="en-US"/>
        </w:rPr>
      </w:pPr>
      <w:r>
        <w:rPr>
          <w:rFonts w:hint="eastAsia" w:ascii="Times New Roman" w:hAnsi="Times New Roman" w:eastAsia="仿宋_GB2312" w:cs="Times New Roman"/>
          <w:b w:val="0"/>
          <w:bCs w:val="0"/>
          <w:sz w:val="32"/>
          <w:szCs w:val="32"/>
          <w:highlight w:val="none"/>
          <w:lang w:val="en-US" w:eastAsia="zh-CN"/>
        </w:rPr>
        <w:t>2.阶段性目标：</w:t>
      </w:r>
      <w:bookmarkStart w:id="3" w:name="_Toc68703830"/>
      <w:r>
        <w:rPr>
          <w:rFonts w:hint="eastAsia" w:cs="Times New Roman"/>
          <w:b w:val="0"/>
          <w:bCs w:val="0"/>
          <w:sz w:val="32"/>
          <w:szCs w:val="32"/>
          <w:highlight w:val="none"/>
          <w:lang w:val="en-US" w:eastAsia="zh-CN"/>
        </w:rPr>
        <w:t>市人大常委会为了进一步拓宽人大代表与群众的联系渠道，使代表更有针对性针对性的提出对各方面工作的建议、批评和意见，充分发挥代表作用，市人大常委会于上半年向11个人大代表联络站拨款共计11万元。市人大按照文件要求，达到“八有”的要求，做到室外有牌，有信箱、有公示栏，室内有柜、电脑、电话、办公桌椅，各项制度、代表信息全部公布上墙，“卡簿”齐全；于下半年向11个人代表联络站拨款11万元。</w:t>
      </w:r>
    </w:p>
    <w:p>
      <w:pPr>
        <w:pageBreakBefore w:val="0"/>
        <w:kinsoku/>
        <w:wordWrap/>
        <w:overflowPunct/>
        <w:topLinePunct w:val="0"/>
        <w:autoSpaceDE/>
        <w:autoSpaceDN/>
        <w:bidi w:val="0"/>
        <w:adjustRightInd/>
        <w:snapToGrid/>
        <w:spacing w:line="560" w:lineRule="exact"/>
        <w:ind w:left="0" w:firstLine="640" w:firstLineChars="200"/>
        <w:rPr>
          <w:rFonts w:hint="eastAsia" w:ascii="Times New Roman" w:hAnsi="Times New Roman" w:eastAsia="黑体" w:cs="Times New Roman"/>
          <w:bCs/>
          <w:sz w:val="32"/>
          <w:szCs w:val="32"/>
          <w:highlight w:val="none"/>
          <w:lang w:val="en-US" w:eastAsia="zh-CN"/>
        </w:rPr>
      </w:pPr>
      <w:r>
        <w:rPr>
          <w:rFonts w:hint="eastAsia" w:ascii="Times New Roman" w:hAnsi="Times New Roman" w:eastAsia="黑体" w:cs="Times New Roman"/>
          <w:bCs/>
          <w:sz w:val="32"/>
          <w:szCs w:val="32"/>
          <w:highlight w:val="none"/>
          <w:lang w:val="en-US" w:eastAsia="zh-CN"/>
        </w:rPr>
        <w:t>二、绩效评价工作开展情况</w:t>
      </w:r>
      <w:bookmarkEnd w:id="3"/>
    </w:p>
    <w:p>
      <w:pPr>
        <w:pageBreakBefore w:val="0"/>
        <w:numPr>
          <w:ilvl w:val="0"/>
          <w:numId w:val="0"/>
        </w:numPr>
        <w:kinsoku/>
        <w:wordWrap/>
        <w:overflowPunct/>
        <w:topLinePunct w:val="0"/>
        <w:autoSpaceDE/>
        <w:autoSpaceDN/>
        <w:bidi w:val="0"/>
        <w:adjustRightInd/>
        <w:snapToGrid/>
        <w:spacing w:line="560" w:lineRule="exact"/>
        <w:ind w:left="0" w:firstLine="643" w:firstLineChars="200"/>
        <w:rPr>
          <w:rFonts w:hint="eastAsia" w:ascii="Times New Roman" w:hAnsi="Times New Roman" w:eastAsia="楷体_GB2312" w:cs="Times New Roman"/>
          <w:b/>
          <w:bCs/>
          <w:sz w:val="32"/>
          <w:szCs w:val="32"/>
          <w:highlight w:val="none"/>
          <w:lang w:eastAsia="zh-CN"/>
        </w:rPr>
      </w:pPr>
      <w:bookmarkStart w:id="4" w:name="_Toc68703831"/>
      <w:r>
        <w:rPr>
          <w:rFonts w:hint="eastAsia" w:ascii="Times New Roman" w:hAnsi="Times New Roman" w:eastAsia="楷体_GB2312" w:cs="Times New Roman"/>
          <w:b/>
          <w:bCs/>
          <w:sz w:val="32"/>
          <w:szCs w:val="32"/>
          <w:highlight w:val="none"/>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Times New Roman" w:hAnsi="Times New Roman" w:eastAsia="仿宋_GB2312" w:cs="Times New Roman"/>
          <w:b w:val="0"/>
          <w:bCs w:val="0"/>
          <w:sz w:val="32"/>
          <w:szCs w:val="32"/>
          <w:highlight w:val="none"/>
          <w:lang w:val="en-US" w:eastAsia="zh-CN"/>
        </w:rPr>
      </w:pPr>
      <w:r>
        <w:rPr>
          <w:rFonts w:hint="eastAsia" w:ascii="Times New Roman" w:hAnsi="Times New Roman" w:eastAsia="仿宋_GB2312" w:cs="Times New Roman"/>
          <w:b w:val="0"/>
          <w:bCs w:val="0"/>
          <w:sz w:val="32"/>
          <w:szCs w:val="32"/>
          <w:highlight w:val="none"/>
          <w:lang w:val="en-US" w:eastAsia="zh-CN"/>
        </w:rPr>
        <w:t>1.绩效评价目的</w:t>
      </w:r>
    </w:p>
    <w:p>
      <w:pPr>
        <w:pageBreakBefore w:val="0"/>
        <w:kinsoku/>
        <w:wordWrap/>
        <w:overflowPunct/>
        <w:topLinePunct w:val="0"/>
        <w:autoSpaceDE/>
        <w:autoSpaceDN/>
        <w:bidi w:val="0"/>
        <w:adjustRightInd/>
        <w:snapToGrid/>
        <w:spacing w:line="560" w:lineRule="exact"/>
        <w:ind w:left="0" w:firstLine="640" w:firstLineChars="200"/>
        <w:rPr>
          <w:rFonts w:eastAsia="仿宋_GB2312"/>
          <w:sz w:val="32"/>
          <w:szCs w:val="32"/>
          <w:highlight w:val="none"/>
        </w:rPr>
      </w:pPr>
      <w:r>
        <w:rPr>
          <w:rFonts w:eastAsia="仿宋_GB2312"/>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1"/>
        </w:numPr>
        <w:kinsoku/>
        <w:wordWrap/>
        <w:overflowPunct/>
        <w:topLinePunct w:val="0"/>
        <w:autoSpaceDE/>
        <w:autoSpaceDN/>
        <w:bidi w:val="0"/>
        <w:adjustRightInd/>
        <w:snapToGrid/>
        <w:spacing w:line="560" w:lineRule="exact"/>
        <w:ind w:left="0" w:firstLine="640" w:firstLineChars="200"/>
        <w:rPr>
          <w:rFonts w:eastAsia="仿宋_GB2312"/>
          <w:sz w:val="32"/>
          <w:szCs w:val="32"/>
          <w:highlight w:val="none"/>
        </w:rPr>
      </w:pPr>
      <w:r>
        <w:rPr>
          <w:rFonts w:eastAsia="仿宋_GB2312"/>
          <w:sz w:val="32"/>
          <w:szCs w:val="32"/>
          <w:highlight w:val="none"/>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exact"/>
        <w:ind w:left="0" w:firstLine="640" w:firstLineChars="200"/>
        <w:rPr>
          <w:rFonts w:eastAsia="仿宋_GB2312"/>
          <w:sz w:val="32"/>
          <w:szCs w:val="32"/>
          <w:highlight w:val="none"/>
        </w:rPr>
      </w:pPr>
      <w:r>
        <w:rPr>
          <w:rFonts w:eastAsia="仿宋_GB2312"/>
          <w:sz w:val="32"/>
          <w:szCs w:val="32"/>
          <w:highlight w:val="none"/>
        </w:rPr>
        <w:t>（2）项目绩效管理财政支出运行提供及时、有效的信息。</w:t>
      </w:r>
    </w:p>
    <w:p>
      <w:pPr>
        <w:pStyle w:val="20"/>
        <w:pageBreakBefore w:val="0"/>
        <w:kinsoku/>
        <w:wordWrap/>
        <w:overflowPunct/>
        <w:topLinePunct w:val="0"/>
        <w:autoSpaceDE/>
        <w:autoSpaceDN/>
        <w:bidi w:val="0"/>
        <w:adjustRightInd/>
        <w:snapToGrid/>
        <w:spacing w:line="560" w:lineRule="exact"/>
        <w:ind w:left="0" w:firstLine="640" w:firstLineChars="200"/>
        <w:rPr>
          <w:rFonts w:eastAsia="方正仿宋_GBK" w:cs="方正仿宋_GBK"/>
          <w:sz w:val="32"/>
          <w:szCs w:val="32"/>
          <w:highlight w:val="none"/>
        </w:rPr>
      </w:pPr>
      <w:r>
        <w:rPr>
          <w:rFonts w:eastAsia="仿宋_GB2312"/>
          <w:sz w:val="32"/>
          <w:szCs w:val="32"/>
          <w:highlight w:val="none"/>
        </w:rPr>
        <w:t>综合来看，通过开展有效的财政支出绩效评价管理，</w:t>
      </w:r>
      <w:r>
        <w:rPr>
          <w:rFonts w:hint="eastAsia" w:eastAsia="仿宋_GB2312"/>
          <w:sz w:val="32"/>
          <w:szCs w:val="32"/>
          <w:highlight w:val="none"/>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ageBreakBefore w:val="0"/>
        <w:kinsoku/>
        <w:wordWrap/>
        <w:overflowPunct/>
        <w:topLinePunct w:val="0"/>
        <w:autoSpaceDE/>
        <w:autoSpaceDN/>
        <w:bidi w:val="0"/>
        <w:adjustRightInd/>
        <w:snapToGrid/>
        <w:spacing w:line="560" w:lineRule="exact"/>
        <w:ind w:left="0" w:firstLine="640" w:firstLineChars="200"/>
        <w:rPr>
          <w:rFonts w:hint="eastAsia" w:ascii="Times New Roman" w:hAnsi="Times New Roman" w:eastAsia="仿宋_GB2312" w:cs="Times New Roman"/>
          <w:b w:val="0"/>
          <w:bCs w:val="0"/>
          <w:sz w:val="32"/>
          <w:szCs w:val="32"/>
          <w:highlight w:val="none"/>
          <w:lang w:val="en-US" w:eastAsia="zh-CN"/>
        </w:rPr>
      </w:pPr>
      <w:r>
        <w:rPr>
          <w:rFonts w:hint="eastAsia" w:ascii="Times New Roman" w:hAnsi="Times New Roman" w:eastAsia="仿宋_GB2312" w:cs="Times New Roman"/>
          <w:b w:val="0"/>
          <w:bCs w:val="0"/>
          <w:sz w:val="32"/>
          <w:szCs w:val="32"/>
          <w:highlight w:val="none"/>
          <w:lang w:val="en-US" w:eastAsia="zh-CN"/>
        </w:rPr>
        <w:t>2.绩效评价对象：</w:t>
      </w:r>
    </w:p>
    <w:p>
      <w:pPr>
        <w:pageBreakBefore w:val="0"/>
        <w:kinsoku/>
        <w:wordWrap/>
        <w:overflowPunct/>
        <w:topLinePunct w:val="0"/>
        <w:autoSpaceDE/>
        <w:autoSpaceDN/>
        <w:bidi w:val="0"/>
        <w:adjustRightInd/>
        <w:snapToGrid/>
        <w:spacing w:line="560" w:lineRule="exact"/>
        <w:ind w:left="0" w:firstLine="640" w:firstLineChars="200"/>
        <w:rPr>
          <w:rFonts w:ascii="仿宋_GB2312" w:hAnsi="仿宋_GB2312" w:eastAsia="仿宋_GB2312" w:cs="仿宋_GB2312"/>
          <w:sz w:val="32"/>
          <w:szCs w:val="32"/>
          <w:highlight w:val="none"/>
        </w:rPr>
      </w:pPr>
      <w:r>
        <w:rPr>
          <w:rFonts w:hint="eastAsia" w:ascii="Times New Roman" w:hAnsi="Times New Roman" w:eastAsia="仿宋_GB2312" w:cs="Times New Roman"/>
          <w:kern w:val="0"/>
          <w:sz w:val="32"/>
          <w:szCs w:val="32"/>
          <w:highlight w:val="none"/>
          <w:lang w:val="en-US" w:eastAsia="zh-CN" w:bidi="ar-SA"/>
        </w:rPr>
        <w:t>人大代表联络站优化建设及工作项</w:t>
      </w:r>
      <w:r>
        <w:rPr>
          <w:rFonts w:hint="eastAsia" w:ascii="仿宋_GB2312" w:hAnsi="仿宋_GB2312" w:eastAsia="仿宋_GB2312" w:cs="仿宋_GB2312"/>
          <w:sz w:val="32"/>
          <w:szCs w:val="32"/>
          <w:highlight w:val="none"/>
        </w:rPr>
        <w:t>目所包含的全部项目内容。</w:t>
      </w:r>
    </w:p>
    <w:p>
      <w:pPr>
        <w:pageBreakBefore w:val="0"/>
        <w:kinsoku/>
        <w:wordWrap/>
        <w:overflowPunct/>
        <w:topLinePunct w:val="0"/>
        <w:autoSpaceDE/>
        <w:autoSpaceDN/>
        <w:bidi w:val="0"/>
        <w:adjustRightInd/>
        <w:snapToGrid/>
        <w:spacing w:line="560" w:lineRule="exact"/>
        <w:ind w:left="0" w:firstLine="640" w:firstLineChars="200"/>
        <w:rPr>
          <w:rFonts w:hint="eastAsia" w:ascii="Times New Roman" w:hAnsi="Times New Roman" w:eastAsia="仿宋_GB2312" w:cs="Times New Roman"/>
          <w:b w:val="0"/>
          <w:bCs w:val="0"/>
          <w:sz w:val="32"/>
          <w:szCs w:val="32"/>
          <w:highlight w:val="none"/>
          <w:lang w:val="en-US" w:eastAsia="zh-CN"/>
        </w:rPr>
      </w:pPr>
      <w:r>
        <w:rPr>
          <w:rFonts w:hint="eastAsia" w:ascii="Times New Roman" w:hAnsi="Times New Roman" w:eastAsia="仿宋_GB2312" w:cs="Times New Roman"/>
          <w:b w:val="0"/>
          <w:bCs w:val="0"/>
          <w:sz w:val="32"/>
          <w:szCs w:val="32"/>
          <w:highlight w:val="none"/>
          <w:lang w:val="en-US" w:eastAsia="zh-CN"/>
        </w:rPr>
        <w:t>3.绩效评价范围：</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color w:val="auto"/>
          <w:sz w:val="32"/>
          <w:szCs w:val="32"/>
          <w:highlight w:val="none"/>
        </w:rPr>
      </w:pPr>
      <w:r>
        <w:rPr>
          <w:rFonts w:hint="eastAsia"/>
          <w:color w:val="auto"/>
          <w:sz w:val="32"/>
          <w:szCs w:val="32"/>
          <w:highlight w:val="none"/>
        </w:rPr>
        <w:t>本次评价从项目决策（包括绩效目标、决策过程）、项目管理（包括项目资金、项目实施）、项目产出（包括项目产出数量、产出质量、产出时效和产出成本）项目效益四个维度进行</w:t>
      </w:r>
      <w:r>
        <w:rPr>
          <w:rFonts w:hint="eastAsia"/>
          <w:color w:val="auto"/>
          <w:sz w:val="32"/>
          <w:szCs w:val="32"/>
          <w:highlight w:val="none"/>
          <w:lang w:eastAsia="zh-CN"/>
        </w:rPr>
        <w:t>人大代表联络站优化建设及工作</w:t>
      </w:r>
      <w:r>
        <w:rPr>
          <w:rFonts w:hint="eastAsia"/>
          <w:color w:val="auto"/>
          <w:sz w:val="32"/>
          <w:szCs w:val="32"/>
          <w:highlight w:val="none"/>
        </w:rPr>
        <w:t>评价，评价核心为资金的支出完成情况和效果。</w:t>
      </w:r>
    </w:p>
    <w:p>
      <w:pPr>
        <w:pStyle w:val="4"/>
        <w:pageBreakBefore w:val="0"/>
        <w:widowControl w:val="0"/>
        <w:kinsoku/>
        <w:wordWrap/>
        <w:overflowPunct/>
        <w:topLinePunct w:val="0"/>
        <w:autoSpaceDE/>
        <w:autoSpaceDN/>
        <w:bidi w:val="0"/>
        <w:adjustRightInd/>
        <w:snapToGrid/>
        <w:spacing w:before="0" w:after="0" w:line="560" w:lineRule="exact"/>
        <w:ind w:left="0" w:firstLine="643" w:firstLineChars="200"/>
        <w:textAlignment w:val="auto"/>
        <w:rPr>
          <w:rFonts w:hint="eastAsia" w:ascii="Times New Roman" w:hAnsi="Times New Roman" w:eastAsia="楷体_GB2312" w:cs="Times New Roman"/>
          <w:b/>
          <w:bCs/>
          <w:kern w:val="2"/>
          <w:sz w:val="32"/>
          <w:szCs w:val="32"/>
          <w:highlight w:val="none"/>
          <w:lang w:val="en-US" w:eastAsia="zh-CN" w:bidi="ar-SA"/>
        </w:rPr>
      </w:pPr>
      <w:bookmarkStart w:id="5" w:name="_Toc68703832"/>
      <w:r>
        <w:rPr>
          <w:rFonts w:hint="eastAsia" w:ascii="Times New Roman" w:hAnsi="Times New Roman" w:eastAsia="楷体_GB2312" w:cs="Times New Roman"/>
          <w:b/>
          <w:bCs/>
          <w:kern w:val="2"/>
          <w:sz w:val="32"/>
          <w:szCs w:val="32"/>
          <w:highlight w:val="none"/>
          <w:lang w:val="en-US" w:eastAsia="zh-CN" w:bidi="ar-SA"/>
        </w:rPr>
        <w:t>（二）绩效评价原则、评价指标体系</w:t>
      </w:r>
      <w:r>
        <w:rPr>
          <w:rFonts w:eastAsia="楷体_GB2312"/>
          <w:b/>
          <w:bCs/>
          <w:sz w:val="32"/>
          <w:szCs w:val="32"/>
          <w:highlight w:val="none"/>
        </w:rPr>
        <w:t>（详情见表1）</w:t>
      </w:r>
      <w:r>
        <w:rPr>
          <w:rFonts w:hint="eastAsia" w:ascii="Times New Roman" w:hAnsi="Times New Roman" w:eastAsia="楷体_GB2312" w:cs="Times New Roman"/>
          <w:b/>
          <w:bCs/>
          <w:kern w:val="2"/>
          <w:sz w:val="32"/>
          <w:szCs w:val="32"/>
          <w:highlight w:val="none"/>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sz w:val="32"/>
          <w:szCs w:val="32"/>
          <w:highlight w:val="none"/>
        </w:rPr>
      </w:pPr>
      <w:r>
        <w:rPr>
          <w:rFonts w:hint="eastAsia"/>
          <w:sz w:val="32"/>
          <w:szCs w:val="32"/>
          <w:highlight w:val="none"/>
        </w:rPr>
        <w:t>1</w:t>
      </w:r>
      <w:r>
        <w:rPr>
          <w:rFonts w:hint="eastAsia"/>
          <w:sz w:val="32"/>
          <w:szCs w:val="32"/>
          <w:highlight w:val="none"/>
          <w:lang w:val="en-US" w:eastAsia="zh-CN"/>
        </w:rPr>
        <w:t>.</w:t>
      </w:r>
      <w:r>
        <w:rPr>
          <w:rFonts w:hint="eastAsia"/>
          <w:sz w:val="32"/>
          <w:szCs w:val="32"/>
          <w:highlight w:val="none"/>
        </w:rPr>
        <w:t>绩效评价原则</w:t>
      </w:r>
    </w:p>
    <w:p>
      <w:pPr>
        <w:pageBreakBefore w:val="0"/>
        <w:kinsoku/>
        <w:wordWrap/>
        <w:overflowPunct/>
        <w:topLinePunct w:val="0"/>
        <w:autoSpaceDE/>
        <w:autoSpaceDN/>
        <w:bidi w:val="0"/>
        <w:adjustRightInd/>
        <w:snapToGrid/>
        <w:spacing w:line="560" w:lineRule="exact"/>
        <w:ind w:left="0" w:firstLine="640" w:firstLineChars="200"/>
        <w:rPr>
          <w:rFonts w:eastAsia="仿宋_GB2312"/>
          <w:color w:val="000000"/>
          <w:sz w:val="32"/>
          <w:szCs w:val="32"/>
          <w:highlight w:val="none"/>
        </w:rPr>
      </w:pPr>
      <w:r>
        <w:rPr>
          <w:rFonts w:eastAsia="仿宋_GB2312"/>
          <w:color w:val="000000"/>
          <w:sz w:val="32"/>
          <w:szCs w:val="32"/>
          <w:highlight w:val="none"/>
        </w:rPr>
        <w:t>本次项目绩效评价遵循以下基本原则：</w:t>
      </w:r>
    </w:p>
    <w:p>
      <w:pPr>
        <w:pStyle w:val="2"/>
        <w:pageBreakBefore w:val="0"/>
        <w:kinsoku/>
        <w:wordWrap/>
        <w:overflowPunct/>
        <w:topLinePunct w:val="0"/>
        <w:autoSpaceDE/>
        <w:autoSpaceDN/>
        <w:bidi w:val="0"/>
        <w:adjustRightInd/>
        <w:snapToGrid/>
        <w:spacing w:before="0" w:after="0" w:line="560" w:lineRule="exact"/>
        <w:ind w:left="0"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（1）科学公正。绩效评价应当运用科学合理的方法，按照规范的程序，对项目绩效进行客观、公正的反映。</w:t>
      </w:r>
    </w:p>
    <w:p>
      <w:pPr>
        <w:pStyle w:val="2"/>
        <w:pageBreakBefore w:val="0"/>
        <w:kinsoku/>
        <w:wordWrap/>
        <w:overflowPunct/>
        <w:topLinePunct w:val="0"/>
        <w:autoSpaceDE/>
        <w:autoSpaceDN/>
        <w:bidi w:val="0"/>
        <w:adjustRightInd/>
        <w:snapToGrid/>
        <w:spacing w:before="0" w:after="0" w:line="560" w:lineRule="exact"/>
        <w:ind w:left="0"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（2）统筹兼顾。单位自评、部门评价和财政评价应职责明确，各有侧重，相互衔接。单位自评应由项目单位自主实施，即“谁支出、谁自评”。部门评价和财政评价应在单位自评的基础上开展。</w:t>
      </w:r>
    </w:p>
    <w:p>
      <w:pPr>
        <w:pStyle w:val="2"/>
        <w:pageBreakBefore w:val="0"/>
        <w:kinsoku/>
        <w:wordWrap/>
        <w:overflowPunct/>
        <w:topLinePunct w:val="0"/>
        <w:autoSpaceDE/>
        <w:autoSpaceDN/>
        <w:bidi w:val="0"/>
        <w:adjustRightInd/>
        <w:snapToGrid/>
        <w:spacing w:before="0" w:after="0" w:line="560" w:lineRule="exact"/>
        <w:ind w:left="0"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（3）激励约束。绩效评价结果应与预算安排、政策调整、改进管理实质性挂钩，体现奖优罚劣和激励相容导向，有效要安排、低效要压减、无效要问责。</w:t>
      </w:r>
    </w:p>
    <w:p>
      <w:pPr>
        <w:pStyle w:val="2"/>
        <w:keepNext w:val="0"/>
        <w:keepLines w:val="0"/>
        <w:pageBreakBefore w:val="0"/>
        <w:kinsoku/>
        <w:wordWrap/>
        <w:overflowPunct/>
        <w:topLinePunct w:val="0"/>
        <w:autoSpaceDE/>
        <w:autoSpaceDN/>
        <w:bidi w:val="0"/>
        <w:adjustRightInd/>
        <w:snapToGrid/>
        <w:spacing w:before="0" w:after="0" w:line="560" w:lineRule="exact"/>
        <w:ind w:left="0" w:firstLine="640" w:firstLineChars="200"/>
        <w:jc w:val="both"/>
        <w:textAlignment w:val="auto"/>
        <w:outlineLvl w:val="9"/>
        <w:rPr>
          <w:highlight w:val="none"/>
        </w:rPr>
      </w:pPr>
      <w:r>
        <w:rPr>
          <w:rFonts w:ascii="Times New Roman" w:hAnsi="Times New Roman" w:eastAsia="仿宋_GB2312"/>
          <w:b w:val="0"/>
          <w:bCs w:val="0"/>
          <w:highlight w:val="none"/>
        </w:rPr>
        <w:t>（4）公开透明。绩效评价结果应依法依规公开，并自觉接受社会监督。</w:t>
      </w:r>
    </w:p>
    <w:p>
      <w:pPr>
        <w:keepNext w:val="0"/>
        <w:keepLines w:val="0"/>
        <w:pageBreakBefore w:val="0"/>
        <w:kinsoku/>
        <w:wordWrap/>
        <w:overflowPunct/>
        <w:topLinePunct w:val="0"/>
        <w:autoSpaceDE/>
        <w:autoSpaceDN/>
        <w:bidi w:val="0"/>
        <w:adjustRightInd/>
        <w:snapToGrid/>
        <w:spacing w:line="560" w:lineRule="exact"/>
        <w:ind w:left="0" w:firstLine="600" w:firstLineChars="200"/>
        <w:jc w:val="left"/>
        <w:textAlignment w:val="auto"/>
        <w:rPr>
          <w:rFonts w:hint="eastAsia"/>
          <w:sz w:val="32"/>
          <w:szCs w:val="32"/>
          <w:highlight w:val="none"/>
        </w:rPr>
      </w:pPr>
      <w:r>
        <w:rPr>
          <w:rFonts w:hint="eastAsia"/>
          <w:highlight w:val="none"/>
        </w:rPr>
        <w:t>2、</w:t>
      </w:r>
      <w:r>
        <w:rPr>
          <w:rFonts w:hint="eastAsia"/>
          <w:sz w:val="32"/>
          <w:szCs w:val="32"/>
          <w:highlight w:val="none"/>
        </w:rPr>
        <w:t>评价指标体系</w:t>
      </w:r>
    </w:p>
    <w:p>
      <w:pPr>
        <w:keepNext w:val="0"/>
        <w:keepLines w:val="0"/>
        <w:pageBreakBefore w:val="0"/>
        <w:kinsoku/>
        <w:wordWrap/>
        <w:overflowPunct/>
        <w:topLinePunct w:val="0"/>
        <w:autoSpaceDE/>
        <w:autoSpaceDN/>
        <w:bidi w:val="0"/>
        <w:adjustRightInd/>
        <w:snapToGrid/>
        <w:spacing w:line="560" w:lineRule="exact"/>
        <w:ind w:left="0" w:firstLine="708" w:firstLineChars="200"/>
        <w:textAlignment w:val="auto"/>
        <w:rPr>
          <w:color w:val="000000"/>
          <w:spacing w:val="17"/>
          <w:sz w:val="32"/>
          <w:szCs w:val="32"/>
          <w:highlight w:val="none"/>
        </w:rPr>
      </w:pPr>
      <w:r>
        <w:rPr>
          <w:rFonts w:eastAsia="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left="0"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（1）确定评价指标</w:t>
      </w:r>
    </w:p>
    <w:p>
      <w:pPr>
        <w:pageBreakBefore w:val="0"/>
        <w:kinsoku/>
        <w:wordWrap/>
        <w:overflowPunct/>
        <w:topLinePunct w:val="0"/>
        <w:autoSpaceDE/>
        <w:autoSpaceDN/>
        <w:bidi w:val="0"/>
        <w:adjustRightInd/>
        <w:snapToGrid/>
        <w:spacing w:line="560" w:lineRule="exact"/>
        <w:ind w:left="0"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left="0"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（2）确定权重</w:t>
      </w:r>
    </w:p>
    <w:p>
      <w:pPr>
        <w:pageBreakBefore w:val="0"/>
        <w:kinsoku/>
        <w:wordWrap/>
        <w:overflowPunct/>
        <w:topLinePunct w:val="0"/>
        <w:autoSpaceDE/>
        <w:autoSpaceDN/>
        <w:bidi w:val="0"/>
        <w:adjustRightInd/>
        <w:snapToGrid/>
        <w:spacing w:line="560" w:lineRule="exact"/>
        <w:ind w:left="0"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pageBreakBefore w:val="0"/>
        <w:kinsoku/>
        <w:wordWrap/>
        <w:overflowPunct/>
        <w:topLinePunct w:val="0"/>
        <w:autoSpaceDE/>
        <w:autoSpaceDN/>
        <w:bidi w:val="0"/>
        <w:adjustRightInd/>
        <w:snapToGrid/>
        <w:spacing w:line="560" w:lineRule="exact"/>
        <w:ind w:left="0"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（3）确定指标标准值</w:t>
      </w:r>
    </w:p>
    <w:p>
      <w:pPr>
        <w:pageBreakBefore w:val="0"/>
        <w:kinsoku/>
        <w:wordWrap/>
        <w:overflowPunct/>
        <w:topLinePunct w:val="0"/>
        <w:autoSpaceDE/>
        <w:autoSpaceDN/>
        <w:bidi w:val="0"/>
        <w:adjustRightInd/>
        <w:snapToGrid/>
        <w:spacing w:line="560" w:lineRule="exact"/>
        <w:ind w:left="0"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napToGrid/>
        <w:spacing w:before="0" w:after="0" w:line="560" w:lineRule="exact"/>
        <w:ind w:left="0" w:firstLine="708" w:firstLineChars="200"/>
        <w:jc w:val="both"/>
        <w:rPr>
          <w:rFonts w:ascii="Times New Roman" w:hAnsi="Times New Roman" w:eastAsia="仿宋_GB2312"/>
          <w:b w:val="0"/>
          <w:bCs w:val="0"/>
          <w:color w:val="000000"/>
          <w:spacing w:val="17"/>
          <w:kern w:val="2"/>
          <w:highlight w:val="none"/>
        </w:rPr>
      </w:pPr>
      <w:r>
        <w:rPr>
          <w:rFonts w:ascii="Times New Roman" w:hAnsi="Times New Roman" w:eastAsia="仿宋_GB2312"/>
          <w:b w:val="0"/>
          <w:bCs w:val="0"/>
          <w:color w:val="000000"/>
          <w:spacing w:val="17"/>
          <w:kern w:val="2"/>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pageBreakBefore w:val="0"/>
        <w:widowControl w:val="0"/>
        <w:kinsoku/>
        <w:wordWrap/>
        <w:overflowPunct/>
        <w:topLinePunct w:val="0"/>
        <w:autoSpaceDE/>
        <w:autoSpaceDN/>
        <w:bidi w:val="0"/>
        <w:adjustRightInd/>
        <w:snapToGrid/>
        <w:spacing w:before="0" w:after="0" w:line="560" w:lineRule="exact"/>
        <w:ind w:left="0" w:firstLine="708" w:firstLineChars="200"/>
        <w:jc w:val="both"/>
        <w:outlineLvl w:val="9"/>
        <w:rPr>
          <w:rFonts w:hint="eastAsia"/>
          <w:highlight w:val="none"/>
        </w:rPr>
      </w:pPr>
      <w:r>
        <w:rPr>
          <w:rFonts w:ascii="Times New Roman" w:hAnsi="Times New Roman" w:eastAsia="仿宋_GB2312"/>
          <w:b w:val="0"/>
          <w:bCs w:val="0"/>
          <w:color w:val="000000"/>
          <w:spacing w:val="17"/>
          <w:highlight w:val="none"/>
        </w:rPr>
        <w:t>具体评价指标体系详情见附件1</w:t>
      </w:r>
    </w:p>
    <w:p>
      <w:pPr>
        <w:pStyle w:val="6"/>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sz w:val="32"/>
          <w:szCs w:val="32"/>
          <w:highlight w:val="none"/>
        </w:rPr>
      </w:pPr>
      <w:r>
        <w:rPr>
          <w:rFonts w:hint="eastAsia"/>
          <w:sz w:val="32"/>
          <w:szCs w:val="32"/>
          <w:highlight w:val="none"/>
        </w:rPr>
        <w:t>3、评价方法</w:t>
      </w:r>
    </w:p>
    <w:p>
      <w:pPr>
        <w:keepNext w:val="0"/>
        <w:keepLines w:val="0"/>
        <w:pageBreakBefore w:val="0"/>
        <w:widowControl w:val="0"/>
        <w:kinsoku/>
        <w:wordWrap/>
        <w:overflowPunct/>
        <w:topLinePunct w:val="0"/>
        <w:autoSpaceDE/>
        <w:autoSpaceDN/>
        <w:bidi w:val="0"/>
        <w:adjustRightInd/>
        <w:snapToGrid/>
        <w:spacing w:line="560" w:lineRule="exact"/>
        <w:ind w:left="0" w:firstLine="708" w:firstLineChars="200"/>
        <w:textAlignment w:val="auto"/>
        <w:rPr>
          <w:rFonts w:eastAsia="仿宋_GB2312"/>
          <w:color w:val="000000"/>
          <w:spacing w:val="17"/>
          <w:sz w:val="32"/>
          <w:szCs w:val="32"/>
          <w:highlight w:val="none"/>
        </w:rPr>
      </w:pPr>
      <w:r>
        <w:rPr>
          <w:rFonts w:eastAsia="仿宋_GB2312"/>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exact"/>
        <w:ind w:left="0" w:firstLine="708" w:firstLineChars="200"/>
        <w:rPr>
          <w:rFonts w:hint="eastAsia" w:eastAsia="仿宋_GB2312"/>
          <w:bCs/>
          <w:color w:val="FF0000"/>
          <w:sz w:val="32"/>
          <w:szCs w:val="32"/>
          <w:highlight w:val="none"/>
          <w:lang w:eastAsia="zh-CN"/>
        </w:rPr>
      </w:pPr>
      <w:r>
        <w:rPr>
          <w:rFonts w:eastAsia="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exact"/>
        <w:ind w:left="0" w:firstLine="708" w:firstLineChars="200"/>
        <w:rPr>
          <w:rFonts w:eastAsia="仿宋_GB2312"/>
          <w:color w:val="000000" w:themeColor="text1"/>
          <w:spacing w:val="17"/>
          <w:sz w:val="32"/>
          <w:szCs w:val="32"/>
          <w:highlight w:val="none"/>
          <w14:textFill>
            <w14:solidFill>
              <w14:schemeClr w14:val="tx1"/>
            </w14:solidFill>
          </w14:textFill>
        </w:rPr>
      </w:pPr>
      <w:r>
        <w:rPr>
          <w:rFonts w:eastAsia="仿宋_GB2312"/>
          <w:color w:val="000000" w:themeColor="text1"/>
          <w:spacing w:val="17"/>
          <w:sz w:val="32"/>
          <w:szCs w:val="32"/>
          <w:highlight w:val="none"/>
          <w14:textFill>
            <w14:solidFill>
              <w14:schemeClr w14:val="tx1"/>
            </w14:solidFill>
          </w14:textFill>
        </w:rPr>
        <w:t>（</w:t>
      </w:r>
      <w:r>
        <w:rPr>
          <w:rFonts w:hint="eastAsia"/>
          <w:color w:val="000000" w:themeColor="text1"/>
          <w:spacing w:val="17"/>
          <w:sz w:val="32"/>
          <w:szCs w:val="32"/>
          <w:highlight w:val="none"/>
          <w:lang w:val="en-US" w:eastAsia="zh-CN"/>
          <w14:textFill>
            <w14:solidFill>
              <w14:schemeClr w14:val="tx1"/>
            </w14:solidFill>
          </w14:textFill>
        </w:rPr>
        <w:t>1</w:t>
      </w:r>
      <w:r>
        <w:rPr>
          <w:rFonts w:eastAsia="仿宋_GB2312"/>
          <w:color w:val="000000" w:themeColor="text1"/>
          <w:spacing w:val="17"/>
          <w:sz w:val="32"/>
          <w:szCs w:val="32"/>
          <w:highlight w:val="none"/>
          <w14:textFill>
            <w14:solidFill>
              <w14:schemeClr w14:val="tx1"/>
            </w14:solidFill>
          </w14:textFill>
        </w:rPr>
        <w:t>）因素分析法</w:t>
      </w:r>
    </w:p>
    <w:p>
      <w:pPr>
        <w:pageBreakBefore w:val="0"/>
        <w:kinsoku/>
        <w:wordWrap/>
        <w:overflowPunct/>
        <w:topLinePunct w:val="0"/>
        <w:autoSpaceDE/>
        <w:autoSpaceDN/>
        <w:bidi w:val="0"/>
        <w:adjustRightInd/>
        <w:snapToGrid/>
        <w:spacing w:line="560" w:lineRule="exact"/>
        <w:ind w:left="0" w:firstLine="708" w:firstLineChars="200"/>
        <w:rPr>
          <w:rFonts w:hint="eastAsia" w:eastAsia="仿宋_GB2312"/>
          <w:bCs/>
          <w:color w:val="000000" w:themeColor="text1"/>
          <w:sz w:val="32"/>
          <w:szCs w:val="32"/>
          <w:highlight w:val="none"/>
          <w:lang w:eastAsia="zh-CN"/>
          <w14:textFill>
            <w14:solidFill>
              <w14:schemeClr w14:val="tx1"/>
            </w14:solidFill>
          </w14:textFill>
        </w:rPr>
      </w:pPr>
      <w:r>
        <w:rPr>
          <w:rFonts w:eastAsia="仿宋_GB2312"/>
          <w:color w:val="000000" w:themeColor="text1"/>
          <w:spacing w:val="17"/>
          <w:sz w:val="32"/>
          <w:szCs w:val="32"/>
          <w:highlight w:val="none"/>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highlight w:val="none"/>
          <w14:textFill>
            <w14:solidFill>
              <w14:schemeClr w14:val="tx1"/>
            </w14:solidFill>
          </w14:textFill>
        </w:rPr>
        <w:t>项目</w:t>
      </w:r>
      <w:r>
        <w:rPr>
          <w:rFonts w:eastAsia="仿宋_GB2312"/>
          <w:color w:val="000000" w:themeColor="text1"/>
          <w:spacing w:val="17"/>
          <w:sz w:val="32"/>
          <w:szCs w:val="32"/>
          <w:highlight w:val="none"/>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highlight w:val="none"/>
        </w:rPr>
      </w:pPr>
      <w:r>
        <w:rPr>
          <w:rFonts w:hint="eastAsia"/>
          <w:sz w:val="32"/>
          <w:szCs w:val="32"/>
          <w:highlight w:val="none"/>
        </w:rPr>
        <w:t>4</w:t>
      </w:r>
      <w:r>
        <w:rPr>
          <w:rFonts w:hint="eastAsia"/>
          <w:sz w:val="32"/>
          <w:szCs w:val="32"/>
          <w:highlight w:val="none"/>
          <w:lang w:val="en-US" w:eastAsia="zh-CN"/>
        </w:rPr>
        <w:t>.</w:t>
      </w:r>
      <w:r>
        <w:rPr>
          <w:rFonts w:hint="eastAsia"/>
          <w:sz w:val="32"/>
          <w:szCs w:val="32"/>
          <w:highlight w:val="none"/>
        </w:rPr>
        <w:t>评价标准</w:t>
      </w:r>
    </w:p>
    <w:p>
      <w:pPr>
        <w:pageBreakBefore w:val="0"/>
        <w:kinsoku/>
        <w:wordWrap/>
        <w:overflowPunct/>
        <w:topLinePunct w:val="0"/>
        <w:autoSpaceDE/>
        <w:autoSpaceDN/>
        <w:bidi w:val="0"/>
        <w:adjustRightInd/>
        <w:snapToGrid/>
        <w:spacing w:line="560" w:lineRule="exact"/>
        <w:ind w:left="0" w:firstLine="640" w:firstLineChars="200"/>
        <w:rPr>
          <w:rFonts w:hint="eastAsia"/>
          <w:bCs/>
          <w:color w:val="000000" w:themeColor="text1"/>
          <w:sz w:val="32"/>
          <w:szCs w:val="32"/>
          <w:highlight w:val="none"/>
          <w14:textFill>
            <w14:solidFill>
              <w14:schemeClr w14:val="tx1"/>
            </w14:solidFill>
          </w14:textFill>
        </w:rPr>
      </w:pPr>
      <w:r>
        <w:rPr>
          <w:rFonts w:hint="eastAsia"/>
          <w:bCs/>
          <w:color w:val="000000" w:themeColor="text1"/>
          <w:sz w:val="32"/>
          <w:szCs w:val="32"/>
          <w:highlight w:val="none"/>
          <w14:textFill>
            <w14:solidFill>
              <w14:schemeClr w14:val="tx1"/>
            </w14:solidFill>
          </w14:textFill>
        </w:rPr>
        <w:t>绩效评价标准通常包括计划标准、行业标准、历史标准等，用于对绩效指标完成情况进行比较、分析、评价。本次评价主要采用了计划标准。</w:t>
      </w:r>
    </w:p>
    <w:p>
      <w:pPr>
        <w:pageBreakBefore w:val="0"/>
        <w:kinsoku/>
        <w:wordWrap/>
        <w:overflowPunct/>
        <w:topLinePunct w:val="0"/>
        <w:autoSpaceDE/>
        <w:autoSpaceDN/>
        <w:bidi w:val="0"/>
        <w:adjustRightInd/>
        <w:snapToGrid/>
        <w:spacing w:line="560" w:lineRule="exact"/>
        <w:ind w:left="0" w:firstLine="640" w:firstLineChars="200"/>
        <w:rPr>
          <w:rFonts w:hint="eastAsia"/>
          <w:bCs/>
          <w:color w:val="000000" w:themeColor="text1"/>
          <w:sz w:val="32"/>
          <w:szCs w:val="32"/>
          <w:highlight w:val="none"/>
          <w14:textFill>
            <w14:solidFill>
              <w14:schemeClr w14:val="tx1"/>
            </w14:solidFill>
          </w14:textFill>
        </w:rPr>
      </w:pPr>
      <w:r>
        <w:rPr>
          <w:rFonts w:hint="eastAsia"/>
          <w:bCs/>
          <w:color w:val="000000" w:themeColor="text1"/>
          <w:sz w:val="32"/>
          <w:szCs w:val="32"/>
          <w:highlight w:val="none"/>
          <w14:textFill>
            <w14:solidFill>
              <w14:schemeClr w14:val="tx1"/>
            </w14:solidFill>
          </w14:textFill>
        </w:rPr>
        <w:t>（一）计划标准。指以预先制定的目标、计划、预算、定额等作为评价标准。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ind w:left="0" w:firstLine="643" w:firstLineChars="200"/>
        <w:textAlignment w:val="auto"/>
        <w:rPr>
          <w:rFonts w:hint="eastAsia" w:ascii="Times New Roman" w:hAnsi="Times New Roman" w:eastAsia="楷体_GB2312" w:cs="Times New Roman"/>
          <w:b/>
          <w:bCs/>
          <w:kern w:val="2"/>
          <w:sz w:val="32"/>
          <w:szCs w:val="32"/>
          <w:highlight w:val="none"/>
          <w:lang w:val="en-US" w:eastAsia="zh-CN" w:bidi="ar-SA"/>
        </w:rPr>
      </w:pPr>
      <w:bookmarkStart w:id="6" w:name="_Toc68703833"/>
      <w:r>
        <w:rPr>
          <w:rFonts w:hint="eastAsia" w:ascii="Times New Roman" w:hAnsi="Times New Roman" w:eastAsia="楷体_GB2312" w:cs="Times New Roman"/>
          <w:b/>
          <w:bCs/>
          <w:kern w:val="2"/>
          <w:sz w:val="32"/>
          <w:szCs w:val="32"/>
          <w:highlight w:val="none"/>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sz w:val="32"/>
          <w:szCs w:val="32"/>
          <w:highlight w:val="none"/>
        </w:rPr>
      </w:pPr>
      <w:r>
        <w:rPr>
          <w:rFonts w:hint="eastAsia"/>
          <w:sz w:val="32"/>
          <w:szCs w:val="32"/>
          <w:highlight w:val="none"/>
        </w:rPr>
        <w:t>1</w:t>
      </w:r>
      <w:r>
        <w:rPr>
          <w:rFonts w:hint="eastAsia"/>
          <w:sz w:val="32"/>
          <w:szCs w:val="32"/>
          <w:highlight w:val="none"/>
          <w:lang w:val="en-US" w:eastAsia="zh-CN"/>
        </w:rPr>
        <w:t>.</w:t>
      </w:r>
      <w:r>
        <w:rPr>
          <w:rFonts w:hint="eastAsia"/>
          <w:sz w:val="32"/>
          <w:szCs w:val="32"/>
          <w:highlight w:val="none"/>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highlight w:val="none"/>
        </w:rPr>
      </w:pPr>
      <w:r>
        <w:rPr>
          <w:rFonts w:hint="eastAsia" w:eastAsia="仿宋_GB2312"/>
          <w:bCs/>
          <w:sz w:val="32"/>
          <w:szCs w:val="32"/>
          <w:highlight w:val="none"/>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sz w:val="32"/>
          <w:szCs w:val="32"/>
          <w:highlight w:val="none"/>
        </w:rPr>
      </w:pPr>
      <w:r>
        <w:rPr>
          <w:rFonts w:hint="eastAsia"/>
          <w:sz w:val="32"/>
          <w:szCs w:val="32"/>
          <w:highlight w:val="none"/>
        </w:rPr>
        <w:t>2</w:t>
      </w:r>
      <w:r>
        <w:rPr>
          <w:rFonts w:hint="eastAsia"/>
          <w:sz w:val="32"/>
          <w:szCs w:val="32"/>
          <w:highlight w:val="none"/>
          <w:lang w:val="en-US" w:eastAsia="zh-CN"/>
        </w:rPr>
        <w:t>.</w:t>
      </w:r>
      <w:r>
        <w:rPr>
          <w:rFonts w:hint="eastAsia"/>
          <w:sz w:val="32"/>
          <w:szCs w:val="32"/>
          <w:highlight w:val="none"/>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highlight w:val="none"/>
        </w:rPr>
      </w:pPr>
      <w:r>
        <w:rPr>
          <w:rFonts w:hint="eastAsia" w:eastAsia="仿宋_GB2312"/>
          <w:bCs/>
          <w:sz w:val="32"/>
          <w:szCs w:val="32"/>
          <w:highlight w:val="none"/>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sz w:val="32"/>
          <w:szCs w:val="32"/>
          <w:highlight w:val="none"/>
        </w:rPr>
      </w:pPr>
      <w:r>
        <w:rPr>
          <w:rFonts w:hint="eastAsia"/>
          <w:sz w:val="32"/>
          <w:szCs w:val="32"/>
          <w:highlight w:val="none"/>
        </w:rPr>
        <w:t>3</w:t>
      </w:r>
      <w:r>
        <w:rPr>
          <w:rFonts w:hint="eastAsia"/>
          <w:sz w:val="32"/>
          <w:szCs w:val="32"/>
          <w:highlight w:val="none"/>
          <w:lang w:val="en-US" w:eastAsia="zh-CN"/>
        </w:rPr>
        <w:t>.</w:t>
      </w:r>
      <w:r>
        <w:rPr>
          <w:rFonts w:hint="eastAsia"/>
          <w:sz w:val="32"/>
          <w:szCs w:val="32"/>
          <w:highlight w:val="none"/>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highlight w:val="none"/>
        </w:rPr>
      </w:pPr>
      <w:bookmarkStart w:id="7" w:name="_Toc68703834"/>
      <w:r>
        <w:rPr>
          <w:rFonts w:hint="eastAsia" w:eastAsia="仿宋_GB2312"/>
          <w:bCs/>
          <w:sz w:val="32"/>
          <w:szCs w:val="32"/>
          <w:highlight w:val="none"/>
        </w:rPr>
        <w:t>根据收集梳理的资料围绕项目立项、资金落实、业务管理、财务管理、项目产出、项目效益等内容，对照已确定的绩效评价指标进行详细全面的分析评价，逐项打分并形成绩效评价最终结果。</w:t>
      </w:r>
    </w:p>
    <w:p>
      <w:pPr>
        <w:pageBreakBefore w:val="0"/>
        <w:numPr>
          <w:ilvl w:val="0"/>
          <w:numId w:val="0"/>
        </w:numPr>
        <w:kinsoku/>
        <w:wordWrap/>
        <w:overflowPunct/>
        <w:topLinePunct w:val="0"/>
        <w:autoSpaceDE/>
        <w:autoSpaceDN/>
        <w:bidi w:val="0"/>
        <w:adjustRightInd/>
        <w:snapToGrid/>
        <w:spacing w:line="560" w:lineRule="exact"/>
        <w:ind w:left="0" w:firstLine="640" w:firstLineChars="200"/>
        <w:rPr>
          <w:rFonts w:hint="eastAsia" w:ascii="Times New Roman" w:hAnsi="Times New Roman" w:eastAsia="黑体" w:cs="Times New Roman"/>
          <w:bCs/>
          <w:sz w:val="32"/>
          <w:szCs w:val="32"/>
          <w:highlight w:val="none"/>
          <w:lang w:val="en-US" w:eastAsia="zh-CN"/>
        </w:rPr>
      </w:pPr>
      <w:r>
        <w:rPr>
          <w:rFonts w:hint="eastAsia" w:eastAsia="黑体" w:cs="Times New Roman"/>
          <w:bCs/>
          <w:sz w:val="32"/>
          <w:szCs w:val="32"/>
          <w:highlight w:val="none"/>
          <w:lang w:val="en-US" w:eastAsia="zh-CN"/>
        </w:rPr>
        <w:t>三、</w:t>
      </w:r>
      <w:r>
        <w:rPr>
          <w:rFonts w:hint="eastAsia" w:ascii="Times New Roman" w:hAnsi="Times New Roman" w:eastAsia="黑体" w:cs="Times New Roman"/>
          <w:bCs/>
          <w:sz w:val="32"/>
          <w:szCs w:val="32"/>
          <w:highlight w:val="none"/>
          <w:lang w:val="en-US" w:eastAsia="zh-CN"/>
        </w:rPr>
        <w:t>综合评价情况及评价结论</w:t>
      </w:r>
      <w:bookmarkEnd w:id="7"/>
      <w:r>
        <w:rPr>
          <w:rFonts w:eastAsia="黑体"/>
          <w:sz w:val="32"/>
          <w:szCs w:val="32"/>
          <w:highlight w:val="none"/>
        </w:rPr>
        <w:t>（附相关评分表）</w:t>
      </w:r>
    </w:p>
    <w:p>
      <w:pPr>
        <w:pageBreakBefore w:val="0"/>
        <w:widowControl w:val="0"/>
        <w:kinsoku/>
        <w:wordWrap/>
        <w:overflowPunct/>
        <w:topLinePunct w:val="0"/>
        <w:autoSpaceDE/>
        <w:autoSpaceDN/>
        <w:bidi w:val="0"/>
        <w:adjustRightInd/>
        <w:snapToGrid/>
        <w:spacing w:line="560" w:lineRule="exact"/>
        <w:ind w:left="0" w:firstLine="643" w:firstLineChars="200"/>
        <w:textAlignment w:val="auto"/>
        <w:rPr>
          <w:rFonts w:hint="eastAsia" w:ascii="Times New Roman" w:hAnsi="Times New Roman" w:eastAsia="楷体_GB2312" w:cs="Times New Roman"/>
          <w:b/>
          <w:bCs/>
          <w:kern w:val="2"/>
          <w:sz w:val="32"/>
          <w:szCs w:val="32"/>
          <w:highlight w:val="none"/>
          <w:lang w:val="en-US" w:eastAsia="zh-CN" w:bidi="ar-SA"/>
        </w:rPr>
      </w:pPr>
      <w:bookmarkStart w:id="8" w:name="_Toc68703835"/>
      <w:r>
        <w:rPr>
          <w:rFonts w:hint="eastAsia" w:ascii="Times New Roman" w:hAnsi="Times New Roman" w:eastAsia="楷体_GB2312" w:cs="Times New Roman"/>
          <w:b/>
          <w:bCs/>
          <w:kern w:val="2"/>
          <w:sz w:val="32"/>
          <w:szCs w:val="32"/>
          <w:highlight w:val="none"/>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color w:val="FF0000"/>
          <w:sz w:val="32"/>
          <w:szCs w:val="32"/>
          <w:highlight w:val="none"/>
        </w:rPr>
      </w:pPr>
      <w:r>
        <w:rPr>
          <w:rFonts w:hint="eastAsia" w:ascii="Times New Roman" w:hAnsi="Times New Roman" w:eastAsia="仿宋_GB2312" w:cs="Times New Roman"/>
          <w:b w:val="0"/>
          <w:bCs w:val="0"/>
          <w:kern w:val="28"/>
          <w:sz w:val="32"/>
          <w:szCs w:val="32"/>
          <w:highlight w:val="none"/>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4"/>
        <w:pageBreakBefore w:val="0"/>
        <w:widowControl w:val="0"/>
        <w:kinsoku/>
        <w:wordWrap/>
        <w:overflowPunct/>
        <w:topLinePunct w:val="0"/>
        <w:autoSpaceDE/>
        <w:autoSpaceDN/>
        <w:bidi w:val="0"/>
        <w:adjustRightInd/>
        <w:snapToGrid/>
        <w:spacing w:before="0" w:after="0" w:line="560" w:lineRule="exact"/>
        <w:ind w:left="0" w:firstLine="643" w:firstLineChars="200"/>
        <w:textAlignment w:val="auto"/>
        <w:rPr>
          <w:rFonts w:hint="eastAsia" w:ascii="Times New Roman" w:hAnsi="Times New Roman" w:eastAsia="楷体_GB2312" w:cs="Times New Roman"/>
          <w:b/>
          <w:bCs/>
          <w:kern w:val="2"/>
          <w:sz w:val="32"/>
          <w:szCs w:val="32"/>
          <w:highlight w:val="none"/>
          <w:lang w:val="en-US" w:eastAsia="zh-CN" w:bidi="ar-SA"/>
        </w:rPr>
      </w:pPr>
      <w:bookmarkStart w:id="9" w:name="_Toc68703836"/>
      <w:r>
        <w:rPr>
          <w:rFonts w:hint="eastAsia" w:ascii="Times New Roman" w:hAnsi="Times New Roman" w:eastAsia="楷体_GB2312" w:cs="Times New Roman"/>
          <w:b/>
          <w:bCs/>
          <w:kern w:val="2"/>
          <w:sz w:val="32"/>
          <w:szCs w:val="32"/>
          <w:highlight w:val="none"/>
          <w:lang w:val="en-US" w:eastAsia="zh-CN" w:bidi="ar-SA"/>
        </w:rPr>
        <w:t>（二）评价结论</w:t>
      </w:r>
      <w:bookmarkEnd w:id="9"/>
    </w:p>
    <w:p>
      <w:pPr>
        <w:pStyle w:val="2"/>
        <w:keepNext w:val="0"/>
        <w:keepLines w:val="0"/>
        <w:pageBreakBefore w:val="0"/>
        <w:widowControl/>
        <w:kinsoku/>
        <w:wordWrap/>
        <w:overflowPunct/>
        <w:topLinePunct w:val="0"/>
        <w:autoSpaceDE/>
        <w:autoSpaceDN/>
        <w:bidi w:val="0"/>
        <w:adjustRightInd/>
        <w:snapToGrid/>
        <w:spacing w:before="0" w:after="0" w:line="560" w:lineRule="exact"/>
        <w:ind w:left="0" w:firstLine="640" w:firstLineChars="200"/>
        <w:jc w:val="both"/>
        <w:textAlignment w:val="auto"/>
        <w:rPr>
          <w:rFonts w:hint="eastAsia"/>
          <w:highlight w:val="none"/>
        </w:rPr>
      </w:pPr>
      <w:r>
        <w:rPr>
          <w:rFonts w:hint="eastAsia" w:ascii="Times New Roman" w:hAnsi="Times New Roman" w:eastAsia="仿宋_GB2312"/>
          <w:b w:val="0"/>
          <w:bCs w:val="0"/>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分，属于“优（良/中/差）”。其中，项目决策类指标权重为20分，得分为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40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%。具体打分情况详见：附件1综合评分表</w:t>
      </w:r>
      <w:r>
        <w:rPr>
          <w:rFonts w:hint="eastAsia" w:ascii="Times New Roman" w:hAnsi="Times New Roman" w:eastAsia="仿宋_GB2312"/>
          <w:b w:val="0"/>
          <w:bCs w:val="0"/>
          <w:highlight w:val="none"/>
          <w:lang w:eastAsia="zh-CN"/>
        </w:rPr>
        <w:t>。</w:t>
      </w:r>
    </w:p>
    <w:p>
      <w:pPr>
        <w:pageBreakBefore w:val="0"/>
        <w:widowControl w:val="0"/>
        <w:kinsoku/>
        <w:wordWrap/>
        <w:overflowPunct/>
        <w:topLinePunct w:val="0"/>
        <w:autoSpaceDE/>
        <w:autoSpaceDN/>
        <w:bidi w:val="0"/>
        <w:adjustRightInd/>
        <w:snapToGrid/>
        <w:spacing w:line="560" w:lineRule="exact"/>
        <w:ind w:left="0" w:firstLine="600" w:firstLineChars="200"/>
        <w:textAlignment w:val="auto"/>
        <w:rPr>
          <w:rFonts w:hint="eastAsia" w:ascii="Times New Roman" w:hAnsi="Times New Roman" w:eastAsia="仿宋_GB2312" w:cs="Times New Roman"/>
          <w:b w:val="0"/>
          <w:bCs w:val="0"/>
          <w:kern w:val="28"/>
          <w:sz w:val="32"/>
          <w:szCs w:val="32"/>
          <w:highlight w:val="none"/>
          <w:lang w:val="en-US" w:eastAsia="zh-CN" w:bidi="ar-SA"/>
        </w:rPr>
      </w:pPr>
      <w:r>
        <w:rPr>
          <w:rFonts w:hint="eastAsia"/>
          <w:sz w:val="30"/>
          <w:szCs w:val="30"/>
          <w:highlight w:val="none"/>
          <w:lang w:eastAsia="zh-CN"/>
        </w:rPr>
        <w:t>　　　　　　　　</w:t>
      </w:r>
      <w:r>
        <w:rPr>
          <w:rFonts w:hint="eastAsia" w:ascii="Times New Roman" w:hAnsi="Times New Roman" w:eastAsia="仿宋_GB2312" w:cs="Times New Roman"/>
          <w:b w:val="0"/>
          <w:bCs w:val="0"/>
          <w:kern w:val="28"/>
          <w:sz w:val="32"/>
          <w:szCs w:val="32"/>
          <w:highlight w:val="none"/>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ind w:left="0" w:firstLine="442" w:firstLineChars="200"/>
              <w:jc w:val="center"/>
              <w:textAlignment w:val="auto"/>
              <w:rPr>
                <w:b/>
                <w:bCs/>
                <w:color w:val="000000"/>
                <w:sz w:val="22"/>
                <w:highlight w:val="none"/>
              </w:rPr>
            </w:pPr>
            <w:r>
              <w:rPr>
                <w:rFonts w:hint="eastAsia"/>
                <w:b/>
                <w:bCs/>
                <w:color w:val="000000"/>
                <w:sz w:val="22"/>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ind w:left="0" w:firstLine="442" w:firstLineChars="200"/>
              <w:jc w:val="center"/>
              <w:textAlignment w:val="auto"/>
              <w:rPr>
                <w:b/>
                <w:bCs/>
                <w:color w:val="000000"/>
                <w:sz w:val="22"/>
                <w:highlight w:val="none"/>
              </w:rPr>
            </w:pPr>
            <w:r>
              <w:rPr>
                <w:rFonts w:hint="eastAsia"/>
                <w:b/>
                <w:bCs/>
                <w:color w:val="000000"/>
                <w:sz w:val="22"/>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ind w:left="0" w:firstLine="442" w:firstLineChars="200"/>
              <w:jc w:val="center"/>
              <w:textAlignment w:val="auto"/>
              <w:rPr>
                <w:b/>
                <w:bCs/>
                <w:color w:val="000000"/>
                <w:sz w:val="22"/>
                <w:highlight w:val="none"/>
              </w:rPr>
            </w:pPr>
            <w:r>
              <w:rPr>
                <w:rFonts w:hint="eastAsia"/>
                <w:b/>
                <w:bCs/>
                <w:color w:val="000000"/>
                <w:sz w:val="22"/>
                <w:highlight w:val="none"/>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firstLine="440" w:firstLineChars="200"/>
              <w:jc w:val="center"/>
              <w:rPr>
                <w:rFonts w:hint="eastAsia" w:eastAsia="宋体"/>
                <w:color w:val="000000"/>
                <w:sz w:val="22"/>
                <w:highlight w:val="none"/>
              </w:rPr>
            </w:pPr>
            <w:r>
              <w:rPr>
                <w:rFonts w:hint="eastAsia" w:eastAsia="宋体"/>
                <w:color w:val="000000"/>
                <w:sz w:val="22"/>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firstLine="440" w:firstLineChars="200"/>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firstLine="440" w:firstLineChars="200"/>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firstLine="440" w:firstLineChars="200"/>
              <w:jc w:val="center"/>
              <w:rPr>
                <w:rFonts w:hint="eastAsia" w:eastAsia="宋体"/>
                <w:color w:val="000000"/>
                <w:sz w:val="22"/>
                <w:highlight w:val="none"/>
              </w:rPr>
            </w:pPr>
            <w:r>
              <w:rPr>
                <w:rFonts w:hint="eastAsia" w:eastAsia="宋体"/>
                <w:color w:val="000000"/>
                <w:sz w:val="22"/>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firstLine="440" w:firstLineChars="200"/>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firstLine="440" w:firstLineChars="200"/>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firstLine="440" w:firstLineChars="200"/>
              <w:jc w:val="center"/>
              <w:rPr>
                <w:rFonts w:hint="eastAsia" w:eastAsia="宋体"/>
                <w:color w:val="000000"/>
                <w:sz w:val="22"/>
                <w:highlight w:val="none"/>
              </w:rPr>
            </w:pPr>
            <w:r>
              <w:rPr>
                <w:rFonts w:hint="eastAsia" w:eastAsia="宋体"/>
                <w:color w:val="000000"/>
                <w:sz w:val="22"/>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firstLine="440" w:firstLineChars="200"/>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firstLine="440" w:firstLineChars="200"/>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firstLine="440" w:firstLineChars="200"/>
              <w:jc w:val="center"/>
              <w:rPr>
                <w:rFonts w:hint="eastAsia" w:eastAsia="宋体"/>
                <w:color w:val="000000"/>
                <w:sz w:val="22"/>
                <w:highlight w:val="none"/>
              </w:rPr>
            </w:pPr>
            <w:r>
              <w:rPr>
                <w:rFonts w:hint="eastAsia" w:eastAsia="宋体"/>
                <w:color w:val="000000"/>
                <w:sz w:val="22"/>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firstLine="440" w:firstLineChars="200"/>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firstLine="440" w:firstLineChars="200"/>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firstLine="442" w:firstLineChars="200"/>
              <w:jc w:val="center"/>
              <w:textAlignment w:val="auto"/>
              <w:rPr>
                <w:rFonts w:cs="宋体"/>
                <w:b/>
                <w:bCs/>
                <w:color w:val="000000"/>
                <w:sz w:val="22"/>
                <w:highlight w:val="none"/>
              </w:rPr>
            </w:pPr>
            <w:r>
              <w:rPr>
                <w:rFonts w:hint="eastAsia" w:cs="宋体"/>
                <w:b/>
                <w:bCs/>
                <w:color w:val="000000"/>
                <w:sz w:val="22"/>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firstLine="442" w:firstLineChars="200"/>
              <w:jc w:val="center"/>
              <w:textAlignment w:val="auto"/>
              <w:rPr>
                <w:rFonts w:hint="default" w:eastAsia="仿宋_GB2312"/>
                <w:b/>
                <w:bCs/>
                <w:color w:val="000000"/>
                <w:sz w:val="22"/>
                <w:highlight w:val="none"/>
                <w:lang w:val="en-US" w:eastAsia="zh-CN"/>
              </w:rPr>
            </w:pPr>
            <w:r>
              <w:rPr>
                <w:rFonts w:hint="eastAsia"/>
                <w:b/>
                <w:bCs/>
                <w:color w:val="000000"/>
                <w:sz w:val="22"/>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firstLine="442" w:firstLineChars="200"/>
              <w:jc w:val="center"/>
              <w:textAlignment w:val="auto"/>
              <w:rPr>
                <w:rFonts w:hint="default" w:eastAsia="仿宋_GB2312"/>
                <w:b/>
                <w:bCs/>
                <w:color w:val="000000"/>
                <w:sz w:val="22"/>
                <w:highlight w:val="none"/>
                <w:lang w:val="en-US" w:eastAsia="zh-CN"/>
              </w:rPr>
            </w:pPr>
            <w:r>
              <w:rPr>
                <w:rFonts w:hint="eastAsia"/>
                <w:b/>
                <w:bCs/>
                <w:color w:val="000000"/>
                <w:sz w:val="22"/>
                <w:highlight w:val="none"/>
                <w:lang w:val="en-US" w:eastAsia="zh-CN"/>
              </w:rPr>
              <w:t>100</w:t>
            </w:r>
          </w:p>
        </w:tc>
      </w:tr>
    </w:tbl>
    <w:p>
      <w:pPr>
        <w:pageBreakBefore w:val="0"/>
        <w:kinsoku/>
        <w:wordWrap/>
        <w:overflowPunct/>
        <w:topLinePunct w:val="0"/>
        <w:autoSpaceDE/>
        <w:autoSpaceDN/>
        <w:bidi w:val="0"/>
        <w:adjustRightInd/>
        <w:snapToGrid/>
        <w:spacing w:line="560" w:lineRule="exact"/>
        <w:ind w:left="0" w:firstLine="640" w:firstLineChars="200"/>
        <w:rPr>
          <w:rFonts w:hint="eastAsia" w:ascii="Times New Roman" w:hAnsi="Times New Roman" w:eastAsia="黑体" w:cs="Times New Roman"/>
          <w:bCs/>
          <w:sz w:val="32"/>
          <w:szCs w:val="32"/>
          <w:highlight w:val="none"/>
          <w:lang w:val="en-US" w:eastAsia="zh-CN"/>
        </w:rPr>
      </w:pPr>
      <w:bookmarkStart w:id="10" w:name="_Toc68703837"/>
      <w:r>
        <w:rPr>
          <w:rFonts w:hint="eastAsia" w:ascii="Times New Roman" w:hAnsi="Times New Roman" w:eastAsia="黑体" w:cs="Times New Roman"/>
          <w:bCs/>
          <w:sz w:val="32"/>
          <w:szCs w:val="32"/>
          <w:highlight w:val="none"/>
          <w:lang w:val="en-US" w:eastAsia="zh-CN"/>
        </w:rPr>
        <w:t>四、绩效评价指标分析</w:t>
      </w:r>
      <w:bookmarkEnd w:id="10"/>
    </w:p>
    <w:p>
      <w:pPr>
        <w:pageBreakBefore w:val="0"/>
        <w:kinsoku/>
        <w:wordWrap/>
        <w:overflowPunct/>
        <w:topLinePunct w:val="0"/>
        <w:autoSpaceDE/>
        <w:autoSpaceDN/>
        <w:bidi w:val="0"/>
        <w:adjustRightInd/>
        <w:snapToGrid/>
        <w:spacing w:line="560" w:lineRule="exact"/>
        <w:ind w:left="0" w:firstLine="643" w:firstLineChars="200"/>
        <w:rPr>
          <w:rFonts w:hint="eastAsia" w:ascii="Times New Roman" w:hAnsi="Times New Roman" w:eastAsia="楷体_GB2312" w:cs="Times New Roman"/>
          <w:b/>
          <w:bCs/>
          <w:kern w:val="2"/>
          <w:sz w:val="32"/>
          <w:szCs w:val="32"/>
          <w:highlight w:val="none"/>
          <w:lang w:val="en-US" w:eastAsia="zh-CN" w:bidi="ar-SA"/>
        </w:rPr>
      </w:pPr>
      <w:bookmarkStart w:id="11" w:name="_Toc68703838"/>
      <w:r>
        <w:rPr>
          <w:rFonts w:hint="eastAsia" w:ascii="Times New Roman" w:hAnsi="Times New Roman" w:eastAsia="楷体_GB2312" w:cs="Times New Roman"/>
          <w:b/>
          <w:bCs/>
          <w:kern w:val="2"/>
          <w:sz w:val="32"/>
          <w:szCs w:val="32"/>
          <w:highlight w:val="none"/>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b w:val="0"/>
          <w:bCs w:val="0"/>
          <w:sz w:val="32"/>
          <w:szCs w:val="32"/>
          <w:highlight w:val="none"/>
          <w:lang w:val="en-US" w:eastAsia="zh-CN"/>
        </w:rPr>
      </w:pPr>
      <w:r>
        <w:rPr>
          <w:rFonts w:hint="eastAsia"/>
          <w:b w:val="0"/>
          <w:bCs w:val="0"/>
          <w:sz w:val="32"/>
          <w:szCs w:val="32"/>
          <w:highlight w:val="none"/>
          <w:lang w:val="en-US" w:eastAsia="zh-CN"/>
        </w:rPr>
        <w:t>项目决策类指标包括项目立项、绩效目标和资金投入三方面的内容，由6个三级指标构成，权重分值为20分，实际得分20分，得分率为100%。</w:t>
      </w:r>
    </w:p>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cs="仿宋_GB2312"/>
          <w:b/>
          <w:bCs/>
          <w:sz w:val="32"/>
          <w:szCs w:val="32"/>
          <w:highlight w:val="none"/>
          <w:lang w:val="en-US" w:eastAsia="zh-CN"/>
        </w:rPr>
        <w:t>1.</w:t>
      </w:r>
      <w:r>
        <w:rPr>
          <w:rFonts w:hint="eastAsia" w:ascii="仿宋_GB2312" w:hAnsi="仿宋_GB2312" w:eastAsia="仿宋_GB2312" w:cs="仿宋_GB2312"/>
          <w:b/>
          <w:bCs/>
          <w:sz w:val="32"/>
          <w:szCs w:val="32"/>
          <w:highlight w:val="none"/>
          <w:lang w:val="en-US" w:eastAsia="zh-CN"/>
        </w:rPr>
        <w:t>项目立项</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（1）立项依据充分性</w:t>
      </w:r>
    </w:p>
    <w:p>
      <w:pPr>
        <w:pageBreakBefore w:val="0"/>
        <w:shd w:val="clear"/>
        <w:kinsoku/>
        <w:wordWrap/>
        <w:overflowPunct/>
        <w:topLinePunct w:val="0"/>
        <w:autoSpaceDE/>
        <w:autoSpaceDN/>
        <w:bidi w:val="0"/>
        <w:adjustRightInd/>
        <w:snapToGrid/>
        <w:spacing w:line="560" w:lineRule="exact"/>
        <w:ind w:left="0" w:firstLine="640" w:firstLineChars="200"/>
        <w:outlineLvl w:val="0"/>
        <w:rPr>
          <w:color w:val="FF0000"/>
          <w:sz w:val="32"/>
          <w:szCs w:val="32"/>
          <w:highlight w:val="none"/>
        </w:rPr>
      </w:pPr>
      <w:r>
        <w:rPr>
          <w:rFonts w:hint="eastAsia" w:ascii="仿宋_GB2312" w:hAnsi="仿宋_GB2312" w:eastAsia="仿宋_GB2312" w:cs="仿宋_GB2312"/>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b w:val="0"/>
          <w:bCs w:val="0"/>
          <w:sz w:val="32"/>
          <w:szCs w:val="32"/>
          <w:highlight w:val="none"/>
        </w:rPr>
      </w:pPr>
      <w:r>
        <w:rPr>
          <w:rFonts w:hint="eastAsia"/>
          <w:b w:val="0"/>
          <w:bCs w:val="0"/>
          <w:sz w:val="32"/>
          <w:szCs w:val="32"/>
          <w:highlight w:val="none"/>
        </w:rPr>
        <w:t>2</w:t>
      </w:r>
      <w:r>
        <w:rPr>
          <w:rFonts w:hint="eastAsia"/>
          <w:b w:val="0"/>
          <w:bCs w:val="0"/>
          <w:sz w:val="32"/>
          <w:szCs w:val="32"/>
          <w:highlight w:val="none"/>
          <w:lang w:val="en-US" w:eastAsia="zh-CN"/>
        </w:rPr>
        <w:t>.</w:t>
      </w:r>
      <w:r>
        <w:rPr>
          <w:rFonts w:hint="eastAsia"/>
          <w:b w:val="0"/>
          <w:bCs w:val="0"/>
          <w:sz w:val="32"/>
          <w:szCs w:val="32"/>
          <w:highlight w:val="none"/>
        </w:rPr>
        <w:t>立项程序规范性</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项目申请、设立过程符合相关要求，</w:t>
      </w:r>
      <w:r>
        <w:rPr>
          <w:rFonts w:hint="eastAsia" w:ascii="仿宋_GB2312" w:hAnsi="仿宋_GB2312" w:eastAsia="仿宋_GB2312" w:cs="仿宋_GB2312"/>
          <w:sz w:val="32"/>
          <w:szCs w:val="32"/>
          <w:highlight w:val="none"/>
          <w:lang w:eastAsia="zh-Hans"/>
        </w:rPr>
        <w:t>严格按照审批流程准备符合要求的文件、材料；</w:t>
      </w:r>
      <w:r>
        <w:rPr>
          <w:rFonts w:hint="eastAsia" w:ascii="仿宋_GB2312" w:hAnsi="仿宋_GB2312" w:eastAsia="仿宋_GB2312" w:cs="仿宋_GB2312"/>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3" w:firstLineChars="200"/>
        <w:textAlignment w:val="auto"/>
        <w:rPr>
          <w:rFonts w:hint="eastAsia"/>
          <w:b w:val="0"/>
          <w:bCs w:val="0"/>
          <w:sz w:val="32"/>
          <w:szCs w:val="32"/>
          <w:highlight w:val="none"/>
        </w:rPr>
      </w:pPr>
      <w:r>
        <w:rPr>
          <w:rFonts w:hint="eastAsia" w:ascii="仿宋_GB2312" w:hAnsi="仿宋_GB2312" w:eastAsia="仿宋_GB2312" w:cs="仿宋_GB2312"/>
          <w:b/>
          <w:bCs/>
          <w:sz w:val="32"/>
          <w:szCs w:val="32"/>
          <w:highlight w:val="none"/>
          <w:lang w:val="en-US" w:eastAsia="zh-CN"/>
        </w:rPr>
        <w:t>2.绩效目标</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（1）绩效目标合理性</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Hans"/>
        </w:rPr>
        <w:t>年初结合实际工作内容</w:t>
      </w:r>
      <w:r>
        <w:rPr>
          <w:rFonts w:hint="eastAsia" w:ascii="仿宋_GB2312" w:hAnsi="仿宋_GB2312" w:eastAsia="仿宋_GB2312" w:cs="仿宋_GB2312"/>
          <w:sz w:val="32"/>
          <w:szCs w:val="32"/>
          <w:highlight w:val="none"/>
          <w:lang w:val="en-US" w:eastAsia="zh-CN"/>
        </w:rPr>
        <w:t>设定绩效目标</w:t>
      </w:r>
      <w:r>
        <w:rPr>
          <w:rFonts w:hint="eastAsia" w:ascii="仿宋_GB2312" w:hAnsi="仿宋_GB2312" w:eastAsia="仿宋_GB2312" w:cs="仿宋_GB2312"/>
          <w:sz w:val="32"/>
          <w:szCs w:val="32"/>
          <w:highlight w:val="none"/>
          <w:lang w:val="en-US" w:eastAsia="zh-Hans"/>
        </w:rPr>
        <w:t>，绩效目标</w:t>
      </w:r>
      <w:r>
        <w:rPr>
          <w:rFonts w:hint="eastAsia" w:ascii="仿宋_GB2312" w:hAnsi="仿宋_GB2312" w:eastAsia="仿宋_GB2312" w:cs="仿宋_GB2312"/>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z w:val="32"/>
          <w:szCs w:val="32"/>
          <w:highlight w:val="none"/>
          <w:lang w:val="en-US" w:eastAsia="zh-CN"/>
        </w:rPr>
      </w:pPr>
      <w:bookmarkStart w:id="12" w:name="_Hlk68699917"/>
      <w:r>
        <w:rPr>
          <w:rFonts w:hint="eastAsia" w:ascii="仿宋_GB2312" w:hAnsi="仿宋_GB2312" w:eastAsia="仿宋_GB2312" w:cs="仿宋_GB2312"/>
          <w:sz w:val="32"/>
          <w:szCs w:val="32"/>
          <w:highlight w:val="none"/>
          <w:lang w:val="en-US" w:eastAsia="zh-CN"/>
        </w:rPr>
        <w:t>（2）绩效指标明确性</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cs="仿宋_GB2312"/>
          <w:b/>
          <w:bCs/>
          <w:sz w:val="32"/>
          <w:szCs w:val="32"/>
          <w:highlight w:val="none"/>
          <w:lang w:val="en-US" w:eastAsia="zh-CN"/>
        </w:rPr>
        <w:t>3.</w:t>
      </w:r>
      <w:r>
        <w:rPr>
          <w:rFonts w:hint="eastAsia" w:ascii="仿宋_GB2312" w:hAnsi="仿宋_GB2312" w:eastAsia="仿宋_GB2312" w:cs="仿宋_GB2312"/>
          <w:b/>
          <w:bCs/>
          <w:sz w:val="32"/>
          <w:szCs w:val="32"/>
          <w:highlight w:val="none"/>
          <w:lang w:val="en-US" w:eastAsia="zh-CN"/>
        </w:rPr>
        <w:t>资金投入</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（1）预算编制科学性</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预算编制经过科学论证，提供充分的测算依据佐证资料，预算内容与项目内容相匹配。项目投资额与工作任务相匹配。</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（2）资金分配合理性</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资金分配额度与项目单位实际工作内容相适应，资金分配额度合理，资金分配依据充分。</w:t>
      </w:r>
    </w:p>
    <w:p>
      <w:pPr>
        <w:pStyle w:val="2"/>
        <w:pageBreakBefore w:val="0"/>
        <w:numPr>
          <w:ilvl w:val="0"/>
          <w:numId w:val="0"/>
        </w:numPr>
        <w:kinsoku/>
        <w:wordWrap/>
        <w:overflowPunct/>
        <w:topLinePunct w:val="0"/>
        <w:autoSpaceDE/>
        <w:autoSpaceDN/>
        <w:bidi w:val="0"/>
        <w:adjustRightInd/>
        <w:snapToGrid/>
        <w:spacing w:before="0" w:after="0" w:line="560" w:lineRule="exact"/>
        <w:ind w:left="0" w:firstLine="643" w:firstLineChars="200"/>
        <w:jc w:val="both"/>
        <w:rPr>
          <w:rFonts w:ascii="楷体" w:hAnsi="楷体" w:eastAsia="楷体" w:cs="楷体"/>
          <w:highlight w:val="none"/>
        </w:rPr>
      </w:pPr>
      <w:r>
        <w:rPr>
          <w:rFonts w:hint="eastAsia" w:ascii="楷体" w:hAnsi="楷体" w:eastAsia="楷体" w:cs="楷体"/>
          <w:highlight w:val="none"/>
          <w:lang w:eastAsia="zh-CN"/>
        </w:rPr>
        <w:t>（二）</w:t>
      </w:r>
      <w:r>
        <w:rPr>
          <w:rFonts w:hint="eastAsia" w:ascii="楷体" w:hAnsi="楷体" w:eastAsia="楷体" w:cs="楷体"/>
          <w:highlight w:val="none"/>
        </w:rPr>
        <w:t>项目过程情况</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项目过程类指标包括资金管理和组织实施两方面的内容，由</w:t>
      </w:r>
      <w:r>
        <w:rPr>
          <w:rFonts w:hint="eastAsia" w:ascii="仿宋_GB2312" w:hAnsi="仿宋_GB2312" w:cs="仿宋_GB2312"/>
          <w:sz w:val="32"/>
          <w:szCs w:val="32"/>
          <w:highlight w:val="none"/>
          <w:lang w:val="en-US" w:eastAsia="zh-CN"/>
        </w:rPr>
        <w:t>7</w:t>
      </w:r>
      <w:r>
        <w:rPr>
          <w:rFonts w:hint="eastAsia" w:ascii="仿宋_GB2312" w:hAnsi="仿宋_GB2312" w:eastAsia="仿宋_GB2312" w:cs="仿宋_GB2312"/>
          <w:sz w:val="32"/>
          <w:szCs w:val="32"/>
          <w:highlight w:val="none"/>
          <w:lang w:val="en-US" w:eastAsia="zh-CN"/>
        </w:rPr>
        <w:t>个三级指标构成，权重分值为20分，实际得分20分，得分率为100%。</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1.资金管理</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（1）资金到位率</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本项目总投资22万元，财政资金及时足额到位，到位率100%，预算资金按计划进度执行。</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（2）预算执行率</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预算编制较为详细，项目资金支出总体能够按照预算执行，预算资金支出22万元，预算执行率为100%。</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（3）资金使用合规性</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2.组织实施</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（1）管理制度健全性</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（2）制度执行有效性</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pageBreakBefore w:val="0"/>
        <w:numPr>
          <w:ilvl w:val="0"/>
          <w:numId w:val="0"/>
        </w:numPr>
        <w:kinsoku/>
        <w:wordWrap/>
        <w:overflowPunct/>
        <w:topLinePunct w:val="0"/>
        <w:autoSpaceDE/>
        <w:autoSpaceDN/>
        <w:bidi w:val="0"/>
        <w:adjustRightInd/>
        <w:snapToGrid/>
        <w:spacing w:line="560" w:lineRule="exact"/>
        <w:ind w:leftChars="200"/>
        <w:rPr>
          <w:rFonts w:hint="eastAsia" w:ascii="Times New Roman" w:hAnsi="Times New Roman" w:eastAsia="楷体_GB2312" w:cs="Times New Roman"/>
          <w:b/>
          <w:bCs/>
          <w:kern w:val="2"/>
          <w:sz w:val="32"/>
          <w:szCs w:val="32"/>
          <w:highlight w:val="none"/>
          <w:lang w:val="en-US" w:eastAsia="zh-CN" w:bidi="ar-SA"/>
        </w:rPr>
      </w:pPr>
      <w:bookmarkStart w:id="13" w:name="_Toc68703840"/>
      <w:r>
        <w:rPr>
          <w:rFonts w:hint="eastAsia" w:ascii="Times New Roman" w:hAnsi="Times New Roman" w:eastAsia="楷体_GB2312" w:cs="Times New Roman"/>
          <w:b/>
          <w:bCs/>
          <w:kern w:val="2"/>
          <w:sz w:val="32"/>
          <w:szCs w:val="32"/>
          <w:highlight w:val="none"/>
          <w:lang w:val="en-US" w:eastAsia="zh-CN" w:bidi="ar-SA"/>
        </w:rPr>
        <w:t>（三）项目产出情况</w:t>
      </w:r>
      <w:bookmarkEnd w:id="13"/>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项目产出类指标包括产出数量、产出质量、产出时效、产出成本四方面的内容，由4个三级指标构成，权重分为</w:t>
      </w:r>
      <w:r>
        <w:rPr>
          <w:rFonts w:hint="eastAsia" w:ascii="仿宋_GB2312" w:hAnsi="仿宋_GB2312" w:cs="仿宋_GB2312"/>
          <w:sz w:val="32"/>
          <w:szCs w:val="32"/>
          <w:highlight w:val="none"/>
          <w:lang w:val="en-US" w:eastAsia="zh-CN"/>
        </w:rPr>
        <w:t>4</w:t>
      </w:r>
      <w:r>
        <w:rPr>
          <w:rFonts w:hint="eastAsia" w:ascii="仿宋_GB2312" w:hAnsi="仿宋_GB2312" w:eastAsia="仿宋_GB2312" w:cs="仿宋_GB2312"/>
          <w:sz w:val="32"/>
          <w:szCs w:val="32"/>
          <w:highlight w:val="none"/>
          <w:lang w:val="en-US" w:eastAsia="zh-CN"/>
        </w:rPr>
        <w:t>0分，实际得分</w:t>
      </w:r>
      <w:r>
        <w:rPr>
          <w:rFonts w:hint="eastAsia" w:ascii="仿宋_GB2312" w:hAnsi="仿宋_GB2312" w:cs="仿宋_GB2312"/>
          <w:sz w:val="32"/>
          <w:szCs w:val="32"/>
          <w:highlight w:val="none"/>
          <w:lang w:val="en-US" w:eastAsia="zh-CN"/>
        </w:rPr>
        <w:t>4</w:t>
      </w:r>
      <w:r>
        <w:rPr>
          <w:rFonts w:hint="eastAsia" w:ascii="仿宋_GB2312" w:hAnsi="仿宋_GB2312" w:eastAsia="仿宋_GB2312" w:cs="仿宋_GB2312"/>
          <w:sz w:val="32"/>
          <w:szCs w:val="32"/>
          <w:highlight w:val="none"/>
          <w:lang w:val="en-US" w:eastAsia="zh-CN"/>
        </w:rPr>
        <w:t>0分，得分率为100%。具体产出指标完成情况如下：</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color w:val="auto"/>
          <w:sz w:val="32"/>
          <w:szCs w:val="32"/>
          <w:highlight w:val="none"/>
          <w:lang w:eastAsia="zh-CN"/>
        </w:rPr>
      </w:pPr>
      <w:r>
        <w:rPr>
          <w:rFonts w:hint="eastAsia"/>
          <w:color w:val="auto"/>
          <w:sz w:val="32"/>
          <w:szCs w:val="32"/>
          <w:highlight w:val="none"/>
        </w:rPr>
        <w:t>指标1：</w:t>
      </w:r>
      <w:r>
        <w:rPr>
          <w:rFonts w:hint="eastAsia"/>
          <w:color w:val="auto"/>
          <w:sz w:val="32"/>
          <w:szCs w:val="32"/>
          <w:highlight w:val="none"/>
          <w:lang w:eastAsia="zh-CN"/>
        </w:rPr>
        <w:t>优化人大代表联络站数量</w:t>
      </w:r>
      <w:r>
        <w:rPr>
          <w:rFonts w:hint="eastAsia"/>
          <w:color w:val="auto"/>
          <w:sz w:val="32"/>
          <w:szCs w:val="32"/>
          <w:highlight w:val="none"/>
        </w:rPr>
        <w:t>，指标值：</w:t>
      </w:r>
      <w:r>
        <w:rPr>
          <w:rFonts w:hint="eastAsia"/>
          <w:color w:val="auto"/>
          <w:sz w:val="32"/>
          <w:szCs w:val="32"/>
          <w:highlight w:val="none"/>
          <w:lang w:val="en-US" w:eastAsia="zh-CN"/>
        </w:rPr>
        <w:t>=11个</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=11个</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eastAsia="仿宋_GB2312"/>
          <w:color w:val="FF0000"/>
          <w:sz w:val="32"/>
          <w:szCs w:val="32"/>
          <w:highlight w:val="none"/>
          <w:lang w:eastAsia="zh-CN"/>
        </w:rPr>
      </w:pPr>
      <w:r>
        <w:rPr>
          <w:rFonts w:hint="eastAsia"/>
          <w:color w:val="auto"/>
          <w:sz w:val="32"/>
          <w:szCs w:val="32"/>
          <w:highlight w:val="none"/>
        </w:rPr>
        <w:t>指标2：</w:t>
      </w:r>
      <w:r>
        <w:rPr>
          <w:rFonts w:hint="eastAsia"/>
          <w:color w:val="auto"/>
          <w:sz w:val="32"/>
          <w:szCs w:val="32"/>
          <w:highlight w:val="none"/>
          <w:lang w:eastAsia="zh-CN"/>
        </w:rPr>
        <w:t>联络站提交的代表建议</w:t>
      </w:r>
      <w:r>
        <w:rPr>
          <w:rFonts w:hint="eastAsia"/>
          <w:color w:val="auto"/>
          <w:sz w:val="32"/>
          <w:szCs w:val="32"/>
          <w:highlight w:val="none"/>
        </w:rPr>
        <w:t>，指标值：</w:t>
      </w:r>
      <w:r>
        <w:rPr>
          <w:rFonts w:hint="eastAsia"/>
          <w:color w:val="auto"/>
          <w:sz w:val="32"/>
          <w:szCs w:val="32"/>
          <w:highlight w:val="none"/>
          <w:lang w:eastAsia="zh-CN"/>
        </w:rPr>
        <w:t>≥</w:t>
      </w:r>
      <w:r>
        <w:rPr>
          <w:rFonts w:hint="eastAsia"/>
          <w:color w:val="auto"/>
          <w:sz w:val="32"/>
          <w:szCs w:val="32"/>
          <w:highlight w:val="none"/>
          <w:lang w:val="en-US" w:eastAsia="zh-CN"/>
        </w:rPr>
        <w:t>22个</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=32个</w:t>
      </w:r>
      <w:r>
        <w:rPr>
          <w:rFonts w:hint="eastAsia"/>
          <w:color w:val="auto"/>
          <w:sz w:val="32"/>
          <w:szCs w:val="32"/>
          <w:highlight w:val="none"/>
        </w:rPr>
        <w:t>，指标完成率</w:t>
      </w:r>
      <w:r>
        <w:rPr>
          <w:rFonts w:hint="eastAsia"/>
          <w:color w:val="auto"/>
          <w:sz w:val="32"/>
          <w:szCs w:val="32"/>
          <w:highlight w:val="none"/>
          <w:lang w:val="en-US" w:eastAsia="zh-CN"/>
        </w:rPr>
        <w:t>145.45</w:t>
      </w:r>
      <w:r>
        <w:rPr>
          <w:rFonts w:hint="eastAsia"/>
          <w:color w:val="auto"/>
          <w:sz w:val="32"/>
          <w:szCs w:val="32"/>
          <w:highlight w:val="none"/>
        </w:rPr>
        <w:t>%</w:t>
      </w:r>
      <w:r>
        <w:rPr>
          <w:rFonts w:hint="eastAsia"/>
          <w:color w:val="auto"/>
          <w:sz w:val="32"/>
          <w:szCs w:val="32"/>
          <w:highlight w:val="none"/>
          <w:lang w:eastAsia="zh-CN"/>
        </w:rPr>
        <w:t>，偏差率：</w:t>
      </w:r>
      <w:r>
        <w:rPr>
          <w:rFonts w:hint="eastAsia"/>
          <w:color w:val="auto"/>
          <w:sz w:val="32"/>
          <w:szCs w:val="32"/>
          <w:highlight w:val="none"/>
          <w:lang w:val="en-US" w:eastAsia="zh-CN"/>
        </w:rPr>
        <w:t>45.45%，偏差原因：根据实际情况，人大代表提出意见建议较多。改进措施：下一年度，结合近三年数据设置目标值</w:t>
      </w:r>
      <w:r>
        <w:rPr>
          <w:rFonts w:hint="eastAsia"/>
          <w:color w:val="auto"/>
          <w:sz w:val="32"/>
          <w:szCs w:val="32"/>
          <w:highlight w:val="none"/>
          <w:lang w:eastAsia="zh-CN"/>
        </w:rPr>
        <w:t>。</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eastAsia="仿宋_GB2312"/>
          <w:highlight w:val="none"/>
          <w:lang w:eastAsia="zh-CN"/>
        </w:rPr>
      </w:pPr>
      <w:r>
        <w:rPr>
          <w:rFonts w:hint="eastAsia"/>
          <w:color w:val="auto"/>
          <w:sz w:val="32"/>
          <w:szCs w:val="32"/>
          <w:highlight w:val="none"/>
        </w:rPr>
        <w:t>指标1：</w:t>
      </w:r>
      <w:r>
        <w:rPr>
          <w:rFonts w:hint="eastAsia"/>
          <w:color w:val="auto"/>
          <w:sz w:val="32"/>
          <w:szCs w:val="32"/>
          <w:highlight w:val="none"/>
          <w:lang w:eastAsia="zh-CN"/>
        </w:rPr>
        <w:t>意见建议办结率</w:t>
      </w:r>
      <w:r>
        <w:rPr>
          <w:rFonts w:hint="eastAsia"/>
          <w:color w:val="auto"/>
          <w:sz w:val="32"/>
          <w:szCs w:val="32"/>
          <w:highlight w:val="none"/>
        </w:rPr>
        <w:t>，指标值：</w:t>
      </w:r>
      <w:r>
        <w:rPr>
          <w:rFonts w:hint="eastAsia"/>
          <w:color w:val="auto"/>
          <w:sz w:val="32"/>
          <w:szCs w:val="32"/>
          <w:highlight w:val="none"/>
          <w:lang w:eastAsia="zh-CN"/>
        </w:rPr>
        <w:t>≥</w:t>
      </w:r>
      <w:r>
        <w:rPr>
          <w:rFonts w:hint="eastAsia"/>
          <w:color w:val="auto"/>
          <w:sz w:val="32"/>
          <w:szCs w:val="32"/>
          <w:highlight w:val="none"/>
          <w:lang w:val="en-US" w:eastAsia="zh-CN"/>
        </w:rPr>
        <w:t>95%</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=100%</w:t>
      </w:r>
      <w:r>
        <w:rPr>
          <w:rFonts w:hint="eastAsia"/>
          <w:color w:val="auto"/>
          <w:sz w:val="32"/>
          <w:szCs w:val="32"/>
          <w:highlight w:val="none"/>
        </w:rPr>
        <w:t>，指标完成率</w:t>
      </w:r>
      <w:r>
        <w:rPr>
          <w:rFonts w:hint="eastAsia"/>
          <w:color w:val="auto"/>
          <w:sz w:val="32"/>
          <w:szCs w:val="32"/>
          <w:highlight w:val="none"/>
          <w:lang w:val="en-US" w:eastAsia="zh-CN"/>
        </w:rPr>
        <w:t>105.26</w:t>
      </w:r>
      <w:r>
        <w:rPr>
          <w:rFonts w:hint="eastAsia"/>
          <w:color w:val="auto"/>
          <w:sz w:val="32"/>
          <w:szCs w:val="32"/>
          <w:highlight w:val="none"/>
        </w:rPr>
        <w:t>%</w:t>
      </w:r>
      <w:r>
        <w:rPr>
          <w:rFonts w:hint="eastAsia"/>
          <w:color w:val="auto"/>
          <w:sz w:val="32"/>
          <w:szCs w:val="32"/>
          <w:highlight w:val="none"/>
          <w:lang w:eastAsia="zh-CN"/>
        </w:rPr>
        <w:t>。</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r>
        <w:rPr>
          <w:rFonts w:hint="eastAsia"/>
          <w:color w:val="auto"/>
          <w:sz w:val="32"/>
          <w:szCs w:val="32"/>
          <w:highlight w:val="none"/>
        </w:rPr>
        <w:t>指标</w:t>
      </w:r>
      <w:r>
        <w:rPr>
          <w:rFonts w:hint="eastAsia"/>
          <w:color w:val="auto"/>
          <w:sz w:val="32"/>
          <w:szCs w:val="32"/>
          <w:highlight w:val="none"/>
          <w:lang w:val="en-US" w:eastAsia="zh-CN"/>
        </w:rPr>
        <w:t>1</w:t>
      </w:r>
      <w:r>
        <w:rPr>
          <w:rFonts w:hint="eastAsia"/>
          <w:color w:val="auto"/>
          <w:sz w:val="32"/>
          <w:szCs w:val="32"/>
          <w:highlight w:val="none"/>
        </w:rPr>
        <w:t>：人大代表“联络站”优化建设及工作资金支付及时率，指标值：</w:t>
      </w:r>
      <w:r>
        <w:rPr>
          <w:rFonts w:hint="eastAsia"/>
          <w:color w:val="auto"/>
          <w:sz w:val="32"/>
          <w:szCs w:val="32"/>
          <w:highlight w:val="none"/>
          <w:lang w:eastAsia="zh-CN"/>
        </w:rPr>
        <w:t>≥</w:t>
      </w:r>
      <w:r>
        <w:rPr>
          <w:rFonts w:hint="eastAsia"/>
          <w:color w:val="auto"/>
          <w:sz w:val="32"/>
          <w:szCs w:val="32"/>
          <w:highlight w:val="none"/>
          <w:lang w:val="en-US" w:eastAsia="zh-CN"/>
        </w:rPr>
        <w:t>95%</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=100%</w:t>
      </w:r>
      <w:r>
        <w:rPr>
          <w:rFonts w:hint="eastAsia"/>
          <w:color w:val="auto"/>
          <w:sz w:val="32"/>
          <w:szCs w:val="32"/>
          <w:highlight w:val="none"/>
        </w:rPr>
        <w:t>，指标完成率</w:t>
      </w:r>
      <w:r>
        <w:rPr>
          <w:rFonts w:hint="eastAsia"/>
          <w:color w:val="auto"/>
          <w:sz w:val="32"/>
          <w:szCs w:val="32"/>
          <w:highlight w:val="none"/>
          <w:lang w:val="en-US" w:eastAsia="zh-CN"/>
        </w:rPr>
        <w:t>105.26</w:t>
      </w:r>
      <w:r>
        <w:rPr>
          <w:rFonts w:hint="eastAsia"/>
          <w:color w:val="auto"/>
          <w:sz w:val="32"/>
          <w:szCs w:val="32"/>
          <w:highlight w:val="none"/>
        </w:rPr>
        <w:t>%</w:t>
      </w:r>
      <w:r>
        <w:rPr>
          <w:rFonts w:hint="eastAsia"/>
          <w:color w:val="auto"/>
          <w:sz w:val="32"/>
          <w:szCs w:val="32"/>
          <w:highlight w:val="none"/>
          <w:lang w:eastAsia="zh-CN"/>
        </w:rPr>
        <w:t>。</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Times New Roman" w:hAnsi="Times New Roman" w:eastAsia="楷体_GB2312" w:cs="Times New Roman"/>
          <w:b/>
          <w:bCs/>
          <w:kern w:val="2"/>
          <w:sz w:val="32"/>
          <w:szCs w:val="32"/>
          <w:highlight w:val="none"/>
          <w:lang w:val="en-US" w:eastAsia="zh-CN" w:bidi="ar-SA"/>
        </w:rPr>
      </w:pPr>
      <w:bookmarkStart w:id="14" w:name="_Toc68703841"/>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 4 \* GB3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sz w:val="32"/>
          <w:szCs w:val="32"/>
          <w:highlight w:val="none"/>
          <w:lang w:val="en-US" w:eastAsia="zh-CN"/>
        </w:rPr>
        <w:t>④</w:t>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成本指标：</w:t>
      </w:r>
      <w:r>
        <w:rPr>
          <w:rFonts w:hint="eastAsia"/>
          <w:color w:val="auto"/>
          <w:sz w:val="32"/>
          <w:szCs w:val="32"/>
          <w:highlight w:val="none"/>
        </w:rPr>
        <w:t>指标</w:t>
      </w:r>
      <w:r>
        <w:rPr>
          <w:rFonts w:hint="eastAsia"/>
          <w:color w:val="auto"/>
          <w:sz w:val="32"/>
          <w:szCs w:val="32"/>
          <w:highlight w:val="none"/>
          <w:lang w:val="en-US" w:eastAsia="zh-CN"/>
        </w:rPr>
        <w:t>1：</w:t>
      </w:r>
      <w:r>
        <w:rPr>
          <w:rFonts w:hint="eastAsia"/>
          <w:color w:val="auto"/>
          <w:sz w:val="32"/>
          <w:szCs w:val="32"/>
          <w:highlight w:val="none"/>
        </w:rPr>
        <w:t>人大代表“联络站”优化建设平均成本</w:t>
      </w:r>
      <w:r>
        <w:rPr>
          <w:rFonts w:hint="eastAsia"/>
          <w:color w:val="auto"/>
          <w:sz w:val="32"/>
          <w:szCs w:val="32"/>
          <w:highlight w:val="none"/>
          <w:lang w:eastAsia="zh-CN"/>
        </w:rPr>
        <w:t>，</w:t>
      </w:r>
      <w:r>
        <w:rPr>
          <w:rFonts w:hint="eastAsia"/>
          <w:color w:val="auto"/>
          <w:sz w:val="32"/>
          <w:szCs w:val="32"/>
          <w:highlight w:val="none"/>
        </w:rPr>
        <w:t>指标值：</w:t>
      </w:r>
      <w:r>
        <w:rPr>
          <w:rFonts w:hint="eastAsia"/>
          <w:color w:val="auto"/>
          <w:sz w:val="32"/>
          <w:szCs w:val="32"/>
          <w:highlight w:val="none"/>
          <w:lang w:eastAsia="zh-CN"/>
        </w:rPr>
        <w:t>≤</w:t>
      </w:r>
      <w:r>
        <w:rPr>
          <w:rFonts w:hint="eastAsia"/>
          <w:color w:val="auto"/>
          <w:sz w:val="32"/>
          <w:szCs w:val="32"/>
          <w:highlight w:val="none"/>
          <w:lang w:val="en-US" w:eastAsia="zh-CN"/>
        </w:rPr>
        <w:t>2万元/个</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=2万元/个</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val="en-US" w:eastAsia="zh-CN"/>
        </w:rPr>
        <w:t>。</w:t>
      </w:r>
    </w:p>
    <w:p>
      <w:pPr>
        <w:pStyle w:val="4"/>
        <w:pageBreakBefore w:val="0"/>
        <w:widowControl w:val="0"/>
        <w:numPr>
          <w:ilvl w:val="0"/>
          <w:numId w:val="0"/>
        </w:numPr>
        <w:kinsoku/>
        <w:wordWrap/>
        <w:overflowPunct/>
        <w:topLinePunct w:val="0"/>
        <w:autoSpaceDE/>
        <w:autoSpaceDN/>
        <w:bidi w:val="0"/>
        <w:adjustRightInd/>
        <w:snapToGrid/>
        <w:spacing w:before="0" w:after="0" w:line="560" w:lineRule="exact"/>
        <w:ind w:left="0" w:firstLine="643" w:firstLineChars="200"/>
        <w:textAlignment w:val="auto"/>
        <w:rPr>
          <w:rFonts w:hint="eastAsia" w:ascii="Times New Roman" w:hAnsi="Times New Roman" w:eastAsia="楷体_GB2312" w:cs="Times New Roman"/>
          <w:b/>
          <w:bCs/>
          <w:kern w:val="2"/>
          <w:sz w:val="32"/>
          <w:szCs w:val="32"/>
          <w:highlight w:val="none"/>
          <w:lang w:val="en-US" w:eastAsia="zh-CN" w:bidi="ar-SA"/>
        </w:rPr>
      </w:pPr>
      <w:r>
        <w:rPr>
          <w:rFonts w:hint="eastAsia" w:ascii="Times New Roman" w:hAnsi="Times New Roman" w:eastAsia="楷体_GB2312" w:cs="Times New Roman"/>
          <w:b/>
          <w:bCs/>
          <w:kern w:val="2"/>
          <w:sz w:val="32"/>
          <w:szCs w:val="32"/>
          <w:highlight w:val="none"/>
          <w:lang w:val="en-US" w:eastAsia="zh-CN" w:bidi="ar-SA"/>
        </w:rPr>
        <w:t>（四）项目效益情况</w:t>
      </w:r>
      <w:bookmarkEnd w:id="14"/>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项目效益类指标包括项目实施效益和满意度两方面的内容，由2个三级指标构成，权重分为20分，实际得分20分，得分率为100%。具体效益指标及满意度指标完成情况如下：</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社会效益指标：</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z w:val="32"/>
          <w:szCs w:val="32"/>
          <w:highlight w:val="none"/>
          <w:lang w:val="en-US" w:eastAsia="zh-CN"/>
        </w:rPr>
      </w:pPr>
      <w:r>
        <w:rPr>
          <w:rFonts w:hint="eastAsia"/>
          <w:color w:val="auto"/>
          <w:sz w:val="32"/>
          <w:szCs w:val="32"/>
          <w:highlight w:val="none"/>
        </w:rPr>
        <w:t>指标</w:t>
      </w:r>
      <w:r>
        <w:rPr>
          <w:rFonts w:hint="eastAsia"/>
          <w:color w:val="auto"/>
          <w:sz w:val="32"/>
          <w:szCs w:val="32"/>
          <w:highlight w:val="none"/>
          <w:lang w:val="en-US" w:eastAsia="zh-CN"/>
        </w:rPr>
        <w:t>1：</w:t>
      </w:r>
      <w:r>
        <w:rPr>
          <w:rFonts w:hint="eastAsia"/>
          <w:color w:val="auto"/>
          <w:sz w:val="32"/>
          <w:szCs w:val="32"/>
          <w:highlight w:val="none"/>
          <w:lang w:eastAsia="zh-CN"/>
        </w:rPr>
        <w:t>加强人大代表与群众的联系，</w:t>
      </w:r>
      <w:r>
        <w:rPr>
          <w:rFonts w:hint="eastAsia"/>
          <w:color w:val="auto"/>
          <w:sz w:val="32"/>
          <w:szCs w:val="32"/>
          <w:highlight w:val="none"/>
        </w:rPr>
        <w:t>指标值：</w:t>
      </w:r>
      <w:r>
        <w:rPr>
          <w:rFonts w:hint="eastAsia"/>
          <w:color w:val="auto"/>
          <w:sz w:val="32"/>
          <w:szCs w:val="32"/>
          <w:highlight w:val="none"/>
          <w:lang w:eastAsia="zh-CN"/>
        </w:rPr>
        <w:t>效果显著</w:t>
      </w:r>
      <w:r>
        <w:rPr>
          <w:rFonts w:hint="eastAsia"/>
          <w:color w:val="auto"/>
          <w:sz w:val="32"/>
          <w:szCs w:val="32"/>
          <w:highlight w:val="none"/>
        </w:rPr>
        <w:t>，实际完成值</w:t>
      </w:r>
      <w:r>
        <w:rPr>
          <w:rFonts w:hint="eastAsia"/>
          <w:color w:val="auto"/>
          <w:sz w:val="32"/>
          <w:szCs w:val="32"/>
          <w:highlight w:val="none"/>
          <w:lang w:eastAsia="zh-CN"/>
        </w:rPr>
        <w:t>：效果显著</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val="en-US" w:eastAsia="zh-CN"/>
        </w:rPr>
        <w:t>。</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满意度指标：</w:t>
      </w:r>
      <w:r>
        <w:rPr>
          <w:rFonts w:hint="eastAsia" w:ascii="仿宋_GB2312" w:hAnsi="仿宋_GB2312" w:cs="仿宋_GB2312"/>
          <w:sz w:val="32"/>
          <w:szCs w:val="32"/>
          <w:highlight w:val="none"/>
          <w:lang w:val="en-US" w:eastAsia="zh-CN"/>
        </w:rPr>
        <w:t>人大代表满意度，</w:t>
      </w:r>
      <w:r>
        <w:rPr>
          <w:rFonts w:hint="eastAsia"/>
          <w:color w:val="auto"/>
          <w:sz w:val="32"/>
          <w:szCs w:val="32"/>
          <w:highlight w:val="none"/>
        </w:rPr>
        <w:t>指标值：</w:t>
      </w:r>
      <w:r>
        <w:rPr>
          <w:rFonts w:hint="eastAsia"/>
          <w:color w:val="auto"/>
          <w:sz w:val="32"/>
          <w:szCs w:val="32"/>
          <w:highlight w:val="none"/>
          <w:lang w:eastAsia="zh-CN"/>
        </w:rPr>
        <w:t>≥</w:t>
      </w:r>
      <w:r>
        <w:rPr>
          <w:rFonts w:hint="eastAsia"/>
          <w:color w:val="auto"/>
          <w:sz w:val="32"/>
          <w:szCs w:val="32"/>
          <w:highlight w:val="none"/>
          <w:lang w:val="en-US" w:eastAsia="zh-CN"/>
        </w:rPr>
        <w:t>95%，</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=95%，</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val="en-US" w:eastAsia="zh-CN"/>
        </w:rPr>
        <w:t>。</w:t>
      </w:r>
    </w:p>
    <w:p>
      <w:pPr>
        <w:pageBreakBefore w:val="0"/>
        <w:kinsoku/>
        <w:wordWrap/>
        <w:overflowPunct/>
        <w:topLinePunct w:val="0"/>
        <w:autoSpaceDE/>
        <w:autoSpaceDN/>
        <w:bidi w:val="0"/>
        <w:adjustRightInd/>
        <w:snapToGrid/>
        <w:spacing w:line="560" w:lineRule="exact"/>
        <w:ind w:left="0" w:firstLine="640" w:firstLineChars="200"/>
        <w:rPr>
          <w:rFonts w:hint="eastAsia" w:ascii="Times New Roman" w:hAnsi="Times New Roman" w:eastAsia="黑体" w:cs="Times New Roman"/>
          <w:sz w:val="32"/>
          <w:szCs w:val="32"/>
          <w:highlight w:val="none"/>
          <w:lang w:eastAsia="zh-Hans"/>
        </w:rPr>
      </w:pPr>
      <w:r>
        <w:rPr>
          <w:rFonts w:hint="eastAsia" w:ascii="Times New Roman" w:hAnsi="Times New Roman" w:eastAsia="黑体" w:cs="Times New Roman"/>
          <w:sz w:val="32"/>
          <w:szCs w:val="32"/>
          <w:highlight w:val="none"/>
          <w:lang w:eastAsia="zh-Hans"/>
        </w:rPr>
        <w:t>五、预算执行进度与绩效指标总体完成率偏差</w:t>
      </w:r>
    </w:p>
    <w:p>
      <w:pPr>
        <w:pStyle w:val="20"/>
        <w:pageBreakBefore w:val="0"/>
        <w:kinsoku/>
        <w:wordWrap/>
        <w:overflowPunct/>
        <w:topLinePunct w:val="0"/>
        <w:autoSpaceDE/>
        <w:autoSpaceDN/>
        <w:bidi w:val="0"/>
        <w:adjustRightInd/>
        <w:snapToGrid/>
        <w:spacing w:line="560" w:lineRule="exact"/>
        <w:ind w:left="0" w:firstLine="640" w:firstLineChars="200"/>
        <w:rPr>
          <w:highlight w:val="none"/>
        </w:rPr>
      </w:pPr>
      <w:r>
        <w:rPr>
          <w:rFonts w:hint="eastAsia" w:ascii="仿宋_GB2312" w:hAnsi="仿宋_GB2312" w:eastAsia="仿宋_GB2312" w:cs="仿宋_GB2312"/>
          <w:kern w:val="2"/>
          <w:sz w:val="32"/>
          <w:szCs w:val="32"/>
          <w:highlight w:val="none"/>
          <w:lang w:val="en-US" w:eastAsia="zh-CN" w:bidi="ar-SA"/>
        </w:rPr>
        <w:t>人大代表联络站优化建设及工作项目年初预算22万元，全年预算22万元，实际支出22万元，预算执行率为100%，项目绩效指标总体完成率为10</w:t>
      </w:r>
      <w:r>
        <w:rPr>
          <w:rFonts w:hint="eastAsia" w:ascii="仿宋_GB2312" w:hAnsi="仿宋_GB2312" w:cs="仿宋_GB2312"/>
          <w:kern w:val="2"/>
          <w:sz w:val="32"/>
          <w:szCs w:val="32"/>
          <w:highlight w:val="none"/>
          <w:lang w:val="en-US" w:eastAsia="zh-CN" w:bidi="ar-SA"/>
        </w:rPr>
        <w:t>8</w:t>
      </w:r>
      <w:r>
        <w:rPr>
          <w:rFonts w:hint="eastAsia" w:ascii="仿宋_GB2312" w:hAnsi="仿宋_GB2312" w:eastAsia="仿宋_GB2312" w:cs="仿宋_GB2312"/>
          <w:kern w:val="2"/>
          <w:sz w:val="32"/>
          <w:szCs w:val="32"/>
          <w:highlight w:val="none"/>
          <w:lang w:val="en-US" w:eastAsia="zh-CN" w:bidi="ar-SA"/>
        </w:rPr>
        <w:t>%，</w:t>
      </w:r>
      <w:r>
        <w:rPr>
          <w:rFonts w:hint="eastAsia" w:ascii="仿宋_GB2312" w:hAnsi="仿宋_GB2312" w:eastAsia="仿宋_GB2312" w:cs="仿宋_GB2312"/>
          <w:kern w:val="2"/>
          <w:sz w:val="32"/>
          <w:szCs w:val="32"/>
          <w:highlight w:val="none"/>
          <w:lang w:val="en-US" w:eastAsia="zh-Hans" w:bidi="ar-SA"/>
        </w:rPr>
        <w:t>总体</w:t>
      </w:r>
      <w:r>
        <w:rPr>
          <w:rFonts w:hint="eastAsia" w:ascii="仿宋_GB2312" w:hAnsi="仿宋_GB2312" w:eastAsia="仿宋_GB2312" w:cs="仿宋_GB2312"/>
          <w:kern w:val="2"/>
          <w:sz w:val="32"/>
          <w:szCs w:val="32"/>
          <w:highlight w:val="none"/>
          <w:lang w:val="en-US" w:eastAsia="zh-CN" w:bidi="ar-SA"/>
        </w:rPr>
        <w:t>偏差率为</w:t>
      </w:r>
      <w:r>
        <w:rPr>
          <w:rFonts w:hint="eastAsia" w:ascii="仿宋_GB2312" w:hAnsi="仿宋_GB2312" w:cs="仿宋_GB2312"/>
          <w:kern w:val="2"/>
          <w:sz w:val="32"/>
          <w:szCs w:val="32"/>
          <w:highlight w:val="none"/>
          <w:lang w:val="en-US" w:eastAsia="zh-CN" w:bidi="ar-SA"/>
        </w:rPr>
        <w:t>8</w:t>
      </w:r>
      <w:r>
        <w:rPr>
          <w:rFonts w:hint="eastAsia" w:ascii="仿宋_GB2312" w:hAnsi="仿宋_GB2312" w:eastAsia="仿宋_GB2312" w:cs="仿宋_GB2312"/>
          <w:kern w:val="2"/>
          <w:sz w:val="32"/>
          <w:szCs w:val="32"/>
          <w:highlight w:val="none"/>
          <w:lang w:val="en-US" w:eastAsia="zh-CN" w:bidi="ar-SA"/>
        </w:rPr>
        <w:t>%,</w:t>
      </w:r>
      <w:r>
        <w:rPr>
          <w:rFonts w:hint="eastAsia" w:ascii="仿宋_GB2312" w:hAnsi="仿宋_GB2312" w:eastAsia="仿宋_GB2312" w:cs="仿宋_GB2312"/>
          <w:kern w:val="2"/>
          <w:sz w:val="32"/>
          <w:szCs w:val="32"/>
          <w:highlight w:val="none"/>
          <w:lang w:val="en-US" w:eastAsia="zh-Hans" w:bidi="ar-SA"/>
        </w:rPr>
        <w:t>偏差</w:t>
      </w:r>
      <w:r>
        <w:rPr>
          <w:rFonts w:hint="eastAsia" w:ascii="仿宋_GB2312" w:hAnsi="仿宋_GB2312" w:eastAsia="仿宋_GB2312" w:cs="仿宋_GB2312"/>
          <w:kern w:val="2"/>
          <w:sz w:val="32"/>
          <w:szCs w:val="32"/>
          <w:highlight w:val="none"/>
          <w:lang w:val="en-US" w:eastAsia="zh-CN" w:bidi="ar-SA"/>
        </w:rPr>
        <w:t>原因</w:t>
      </w:r>
      <w:r>
        <w:rPr>
          <w:rFonts w:hint="eastAsia" w:ascii="仿宋_GB2312" w:hAnsi="仿宋_GB2312" w:cs="仿宋_GB2312"/>
          <w:kern w:val="2"/>
          <w:sz w:val="32"/>
          <w:szCs w:val="32"/>
          <w:highlight w:val="none"/>
          <w:lang w:val="en-US" w:eastAsia="zh-CN" w:bidi="ar-SA"/>
        </w:rPr>
        <w:t>：人大代表全年提出意见建议较多</w:t>
      </w:r>
      <w:r>
        <w:rPr>
          <w:rFonts w:hint="eastAsia" w:ascii="仿宋_GB2312" w:hAnsi="仿宋_GB2312" w:eastAsia="仿宋_GB2312" w:cs="仿宋_GB2312"/>
          <w:kern w:val="2"/>
          <w:sz w:val="32"/>
          <w:szCs w:val="32"/>
          <w:highlight w:val="none"/>
          <w:lang w:val="en-US" w:eastAsia="zh-CN" w:bidi="ar-SA"/>
        </w:rPr>
        <w:t>，</w:t>
      </w:r>
      <w:r>
        <w:rPr>
          <w:rFonts w:hint="eastAsia" w:ascii="仿宋_GB2312" w:hAnsi="仿宋_GB2312" w:eastAsia="仿宋_GB2312" w:cs="仿宋_GB2312"/>
          <w:kern w:val="2"/>
          <w:sz w:val="32"/>
          <w:szCs w:val="32"/>
          <w:highlight w:val="none"/>
          <w:lang w:val="en-US" w:eastAsia="zh-Hans" w:bidi="ar-SA"/>
        </w:rPr>
        <w:t>改进</w:t>
      </w:r>
      <w:r>
        <w:rPr>
          <w:rFonts w:hint="eastAsia" w:ascii="仿宋_GB2312" w:hAnsi="仿宋_GB2312" w:eastAsia="仿宋_GB2312" w:cs="仿宋_GB2312"/>
          <w:kern w:val="2"/>
          <w:sz w:val="32"/>
          <w:szCs w:val="32"/>
          <w:highlight w:val="none"/>
          <w:lang w:val="en-US" w:eastAsia="zh-CN" w:bidi="ar-SA"/>
        </w:rPr>
        <w:t>措施</w:t>
      </w:r>
      <w:r>
        <w:rPr>
          <w:rFonts w:hint="eastAsia" w:ascii="仿宋_GB2312" w:hAnsi="仿宋_GB2312" w:cs="仿宋_GB2312"/>
          <w:kern w:val="2"/>
          <w:sz w:val="32"/>
          <w:szCs w:val="32"/>
          <w:highlight w:val="none"/>
          <w:lang w:val="en-US" w:eastAsia="zh-CN" w:bidi="ar-SA"/>
        </w:rPr>
        <w:t>结合近三年数据，下一年精准设置目标值</w:t>
      </w:r>
      <w:r>
        <w:rPr>
          <w:rFonts w:hint="eastAsia" w:ascii="仿宋_GB2312" w:hAnsi="仿宋_GB2312" w:eastAsia="仿宋_GB2312" w:cs="仿宋_GB2312"/>
          <w:kern w:val="2"/>
          <w:sz w:val="32"/>
          <w:szCs w:val="32"/>
          <w:highlight w:val="none"/>
          <w:lang w:val="en-US" w:eastAsia="zh-CN" w:bidi="ar-SA"/>
        </w:rPr>
        <w:t>。</w:t>
      </w:r>
    </w:p>
    <w:p>
      <w:pPr>
        <w:pageBreakBefore w:val="0"/>
        <w:kinsoku/>
        <w:wordWrap/>
        <w:overflowPunct/>
        <w:topLinePunct w:val="0"/>
        <w:autoSpaceDE/>
        <w:autoSpaceDN/>
        <w:bidi w:val="0"/>
        <w:adjustRightInd/>
        <w:snapToGrid/>
        <w:spacing w:line="560" w:lineRule="exact"/>
        <w:ind w:left="0" w:firstLine="640" w:firstLineChars="200"/>
        <w:rPr>
          <w:rFonts w:hint="eastAsia" w:ascii="Times New Roman" w:hAnsi="Times New Roman" w:eastAsia="黑体" w:cs="Times New Roman"/>
          <w:bCs/>
          <w:sz w:val="32"/>
          <w:szCs w:val="32"/>
          <w:highlight w:val="none"/>
          <w:lang w:val="en-US" w:eastAsia="zh-CN"/>
        </w:rPr>
      </w:pPr>
      <w:bookmarkStart w:id="15" w:name="_Toc68703842"/>
      <w:r>
        <w:rPr>
          <w:rFonts w:hint="eastAsia" w:eastAsia="黑体" w:cs="Times New Roman"/>
          <w:bCs/>
          <w:sz w:val="32"/>
          <w:szCs w:val="32"/>
          <w:highlight w:val="none"/>
          <w:lang w:val="en-US" w:eastAsia="zh-CN"/>
        </w:rPr>
        <w:t>六</w:t>
      </w:r>
      <w:r>
        <w:rPr>
          <w:rFonts w:hint="eastAsia" w:ascii="Times New Roman" w:hAnsi="Times New Roman" w:eastAsia="黑体" w:cs="Times New Roman"/>
          <w:bCs/>
          <w:sz w:val="32"/>
          <w:szCs w:val="32"/>
          <w:highlight w:val="none"/>
          <w:lang w:val="en-US" w:eastAsia="zh-CN"/>
        </w:rPr>
        <w:t>、主要经验及做法、存在的问题及原因分析</w:t>
      </w:r>
      <w:bookmarkEnd w:id="15"/>
    </w:p>
    <w:p>
      <w:pPr>
        <w:pageBreakBefore w:val="0"/>
        <w:kinsoku/>
        <w:wordWrap/>
        <w:overflowPunct/>
        <w:topLinePunct w:val="0"/>
        <w:autoSpaceDE/>
        <w:autoSpaceDN/>
        <w:bidi w:val="0"/>
        <w:adjustRightInd/>
        <w:snapToGrid/>
        <w:spacing w:line="560" w:lineRule="exact"/>
        <w:ind w:left="0" w:firstLine="643" w:firstLineChars="200"/>
        <w:rPr>
          <w:rFonts w:hint="eastAsia"/>
          <w:color w:val="FF0000"/>
          <w:sz w:val="32"/>
          <w:szCs w:val="32"/>
          <w:highlight w:val="none"/>
        </w:rPr>
      </w:pPr>
      <w:bookmarkStart w:id="16" w:name="_Toc68703843"/>
      <w:r>
        <w:rPr>
          <w:rFonts w:hint="eastAsia" w:ascii="Times New Roman" w:hAnsi="Times New Roman" w:eastAsia="楷体_GB2312" w:cs="Times New Roman"/>
          <w:b/>
          <w:bCs/>
          <w:kern w:val="2"/>
          <w:sz w:val="32"/>
          <w:szCs w:val="32"/>
          <w:highlight w:val="none"/>
          <w:lang w:val="en-US" w:eastAsia="zh-CN" w:bidi="ar-SA"/>
        </w:rPr>
        <w:t>（一）主要经验及做法</w:t>
      </w:r>
      <w:bookmarkEnd w:id="16"/>
    </w:p>
    <w:p>
      <w:pPr>
        <w:pageBreakBefore w:val="0"/>
        <w:kinsoku/>
        <w:wordWrap/>
        <w:overflowPunct/>
        <w:topLinePunct w:val="0"/>
        <w:autoSpaceDE/>
        <w:autoSpaceDN/>
        <w:bidi w:val="0"/>
        <w:adjustRightInd/>
        <w:snapToGrid/>
        <w:spacing w:line="560" w:lineRule="exact"/>
        <w:ind w:left="0" w:firstLine="640" w:firstLineChars="200"/>
        <w:rPr>
          <w:rFonts w:eastAsia="仿宋_GB2312"/>
          <w:sz w:val="32"/>
          <w:szCs w:val="32"/>
          <w:highlight w:val="none"/>
        </w:rPr>
      </w:pPr>
      <w:r>
        <w:rPr>
          <w:rFonts w:eastAsia="仿宋_GB2312"/>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exact"/>
        <w:ind w:left="0" w:firstLine="640" w:firstLineChars="200"/>
        <w:jc w:val="left"/>
        <w:rPr>
          <w:highlight w:val="none"/>
        </w:rPr>
      </w:pPr>
      <w:r>
        <w:rPr>
          <w:rFonts w:ascii="Times New Roman" w:hAnsi="Times New Roman" w:eastAsia="仿宋_GB2312"/>
          <w:b w:val="0"/>
          <w:bCs w:val="0"/>
          <w:kern w:val="2"/>
          <w:highlight w:val="none"/>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Style w:val="4"/>
        <w:pageBreakBefore w:val="0"/>
        <w:widowControl w:val="0"/>
        <w:kinsoku/>
        <w:wordWrap/>
        <w:overflowPunct/>
        <w:topLinePunct w:val="0"/>
        <w:autoSpaceDE/>
        <w:autoSpaceDN/>
        <w:bidi w:val="0"/>
        <w:adjustRightInd/>
        <w:snapToGrid/>
        <w:spacing w:before="0" w:after="0" w:line="560" w:lineRule="exact"/>
        <w:ind w:left="0" w:firstLine="643" w:firstLineChars="200"/>
        <w:textAlignment w:val="auto"/>
        <w:rPr>
          <w:rFonts w:hint="eastAsia" w:ascii="Times New Roman" w:hAnsi="Times New Roman" w:eastAsia="楷体_GB2312" w:cs="Times New Roman"/>
          <w:b/>
          <w:bCs/>
          <w:kern w:val="2"/>
          <w:sz w:val="32"/>
          <w:szCs w:val="32"/>
          <w:highlight w:val="none"/>
          <w:lang w:val="en-US" w:eastAsia="zh-CN" w:bidi="ar-SA"/>
        </w:rPr>
      </w:pPr>
      <w:bookmarkStart w:id="17" w:name="_Toc68703844"/>
      <w:r>
        <w:rPr>
          <w:rFonts w:hint="eastAsia" w:ascii="Times New Roman" w:hAnsi="Times New Roman" w:eastAsia="楷体_GB2312" w:cs="Times New Roman"/>
          <w:b/>
          <w:bCs/>
          <w:kern w:val="2"/>
          <w:sz w:val="32"/>
          <w:szCs w:val="32"/>
          <w:highlight w:val="none"/>
          <w:lang w:val="en-US" w:eastAsia="zh-CN" w:bidi="ar-SA"/>
        </w:rPr>
        <w:t>（二）存在的问题及原因分析</w:t>
      </w:r>
      <w:bookmarkEnd w:id="17"/>
      <w:r>
        <w:rPr>
          <w:rFonts w:hint="eastAsia" w:ascii="Times New Roman" w:hAnsi="Times New Roman" w:eastAsia="楷体_GB2312" w:cs="Times New Roman"/>
          <w:b/>
          <w:bCs/>
          <w:kern w:val="2"/>
          <w:sz w:val="32"/>
          <w:szCs w:val="32"/>
          <w:highlight w:val="none"/>
          <w:lang w:val="en-US" w:eastAsia="zh-CN" w:bidi="ar-SA"/>
        </w:rPr>
        <w:t>　</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2.单位内部预算绩效工作有待于进一步提高，工作职责分工要明确。</w:t>
      </w:r>
    </w:p>
    <w:p>
      <w:pPr>
        <w:pStyle w:val="3"/>
        <w:pageBreakBefore w:val="0"/>
        <w:widowControl w:val="0"/>
        <w:numPr>
          <w:ilvl w:val="0"/>
          <w:numId w:val="0"/>
        </w:numPr>
        <w:kinsoku/>
        <w:wordWrap/>
        <w:overflowPunct/>
        <w:topLinePunct w:val="0"/>
        <w:autoSpaceDE/>
        <w:autoSpaceDN/>
        <w:bidi w:val="0"/>
        <w:adjustRightInd/>
        <w:snapToGrid/>
        <w:spacing w:before="0" w:after="0" w:line="560" w:lineRule="exact"/>
        <w:ind w:left="0" w:firstLine="640" w:firstLineChars="200"/>
        <w:textAlignment w:val="auto"/>
        <w:rPr>
          <w:rFonts w:hint="eastAsia" w:ascii="Times New Roman" w:hAnsi="Times New Roman" w:eastAsia="仿宋_GB2312" w:cs="Times New Roman"/>
          <w:b w:val="0"/>
          <w:bCs w:val="0"/>
          <w:color w:val="FF0000"/>
          <w:kern w:val="2"/>
          <w:sz w:val="32"/>
          <w:szCs w:val="32"/>
          <w:highlight w:val="none"/>
          <w:lang w:val="en-US" w:eastAsia="zh-CN" w:bidi="ar-SA"/>
        </w:rPr>
      </w:pPr>
      <w:bookmarkStart w:id="18" w:name="_Toc68703845"/>
      <w:r>
        <w:rPr>
          <w:rFonts w:hint="eastAsia" w:eastAsia="黑体" w:cs="Times New Roman"/>
          <w:b w:val="0"/>
          <w:bCs/>
          <w:kern w:val="2"/>
          <w:sz w:val="32"/>
          <w:szCs w:val="32"/>
          <w:highlight w:val="none"/>
          <w:lang w:val="en-US" w:eastAsia="zh-CN" w:bidi="ar-SA"/>
        </w:rPr>
        <w:t>七</w:t>
      </w:r>
      <w:r>
        <w:rPr>
          <w:rFonts w:hint="eastAsia" w:ascii="Times New Roman" w:hAnsi="Times New Roman" w:eastAsia="黑体" w:cs="Times New Roman"/>
          <w:b w:val="0"/>
          <w:bCs/>
          <w:kern w:val="2"/>
          <w:sz w:val="32"/>
          <w:szCs w:val="32"/>
          <w:highlight w:val="none"/>
          <w:lang w:val="en-US" w:eastAsia="zh-CN" w:bidi="ar-SA"/>
        </w:rPr>
        <w:t>、有关建议</w:t>
      </w:r>
      <w:bookmarkEnd w:id="18"/>
      <w:r>
        <w:rPr>
          <w:rFonts w:hint="eastAsia" w:ascii="Times New Roman" w:hAnsi="Times New Roman" w:eastAsia="黑体" w:cs="Times New Roman"/>
          <w:b w:val="0"/>
          <w:bCs/>
          <w:kern w:val="2"/>
          <w:sz w:val="32"/>
          <w:szCs w:val="32"/>
          <w:highlight w:val="none"/>
          <w:lang w:val="en-US" w:eastAsia="zh-CN" w:bidi="ar-SA"/>
        </w:rPr>
        <w:t>　</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pStyle w:val="3"/>
        <w:pageBreakBefore w:val="0"/>
        <w:widowControl w:val="0"/>
        <w:kinsoku/>
        <w:wordWrap/>
        <w:overflowPunct/>
        <w:topLinePunct w:val="0"/>
        <w:autoSpaceDE/>
        <w:autoSpaceDN/>
        <w:bidi w:val="0"/>
        <w:adjustRightInd/>
        <w:snapToGrid/>
        <w:spacing w:before="0" w:after="0" w:line="560" w:lineRule="exact"/>
        <w:ind w:left="0" w:firstLine="643" w:firstLineChars="200"/>
        <w:textAlignment w:val="auto"/>
        <w:rPr>
          <w:rFonts w:ascii="宋体" w:hAnsi="宋体" w:eastAsia="宋体"/>
          <w:sz w:val="32"/>
          <w:szCs w:val="32"/>
          <w:highlight w:val="none"/>
        </w:rPr>
      </w:pPr>
      <w:bookmarkStart w:id="19" w:name="_Toc68703846"/>
      <w:r>
        <w:rPr>
          <w:rFonts w:hint="eastAsia" w:ascii="宋体" w:hAnsi="宋体" w:eastAsia="宋体"/>
          <w:sz w:val="32"/>
          <w:szCs w:val="32"/>
          <w:highlight w:val="none"/>
          <w:lang w:eastAsia="zh-CN"/>
        </w:rPr>
        <w:t>八</w:t>
      </w:r>
      <w:r>
        <w:rPr>
          <w:rFonts w:hint="eastAsia" w:ascii="宋体" w:hAnsi="宋体" w:eastAsia="宋体"/>
          <w:sz w:val="32"/>
          <w:szCs w:val="32"/>
          <w:highlight w:val="none"/>
        </w:rPr>
        <w:t>、其他需要说明的问题</w:t>
      </w:r>
      <w:bookmarkEnd w:id="19"/>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color w:val="FF0000"/>
          <w:sz w:val="32"/>
          <w:szCs w:val="32"/>
          <w:highlight w:val="none"/>
        </w:rPr>
      </w:pPr>
      <w:r>
        <w:rPr>
          <w:rFonts w:hint="eastAsia" w:ascii="仿宋_GB2312" w:hAnsi="仿宋_GB2312" w:eastAsia="仿宋_GB2312" w:cs="仿宋_GB2312"/>
          <w:sz w:val="32"/>
          <w:szCs w:val="32"/>
          <w:highlight w:val="none"/>
          <w:lang w:eastAsia="zh-Hans"/>
        </w:rPr>
        <w:t>本项目无其他需说明的问题</w:t>
      </w:r>
      <w:r>
        <w:rPr>
          <w:rFonts w:hint="eastAsia" w:ascii="仿宋_GB2312" w:hAnsi="仿宋_GB2312" w:cs="仿宋_GB2312"/>
          <w:sz w:val="32"/>
          <w:szCs w:val="32"/>
          <w:highlight w:val="none"/>
          <w:lang w:eastAsia="zh-CN"/>
        </w:rPr>
        <w:t>。</w:t>
      </w:r>
    </w:p>
    <w:p>
      <w:pPr>
        <w:pageBreakBefore w:val="0"/>
        <w:kinsoku/>
        <w:wordWrap/>
        <w:overflowPunct/>
        <w:topLinePunct w:val="0"/>
        <w:autoSpaceDE/>
        <w:autoSpaceDN/>
        <w:bidi w:val="0"/>
        <w:adjustRightInd/>
        <w:snapToGrid/>
        <w:spacing w:line="560" w:lineRule="exact"/>
        <w:ind w:left="0" w:firstLine="600" w:firstLineChars="200"/>
        <w:rPr>
          <w:highlight w:val="none"/>
        </w:rPr>
      </w:pPr>
    </w:p>
    <w:p>
      <w:pPr>
        <w:pStyle w:val="2"/>
        <w:pageBreakBefore w:val="0"/>
        <w:kinsoku/>
        <w:wordWrap/>
        <w:overflowPunct/>
        <w:topLinePunct w:val="0"/>
        <w:autoSpaceDE/>
        <w:autoSpaceDN/>
        <w:bidi w:val="0"/>
        <w:adjustRightInd/>
        <w:snapToGrid/>
        <w:spacing w:before="0" w:after="0" w:line="560" w:lineRule="exact"/>
        <w:ind w:left="0" w:firstLine="640" w:firstLineChars="200"/>
        <w:rPr>
          <w:highlight w:val="none"/>
        </w:rPr>
      </w:pPr>
    </w:p>
    <w:p>
      <w:pPr>
        <w:pageBreakBefore w:val="0"/>
        <w:kinsoku/>
        <w:wordWrap/>
        <w:overflowPunct/>
        <w:topLinePunct w:val="0"/>
        <w:autoSpaceDE/>
        <w:autoSpaceDN/>
        <w:bidi w:val="0"/>
        <w:adjustRightInd/>
        <w:snapToGrid/>
        <w:spacing w:line="560" w:lineRule="exact"/>
        <w:ind w:left="0" w:firstLine="600" w:firstLineChars="200"/>
        <w:rPr>
          <w:highlight w:val="none"/>
        </w:rPr>
      </w:pPr>
    </w:p>
    <w:p>
      <w:pPr>
        <w:pageBreakBefore w:val="0"/>
        <w:kinsoku/>
        <w:wordWrap/>
        <w:overflowPunct/>
        <w:topLinePunct w:val="0"/>
        <w:autoSpaceDE/>
        <w:autoSpaceDN/>
        <w:bidi w:val="0"/>
        <w:adjustRightInd/>
        <w:snapToGrid/>
        <w:spacing w:line="560" w:lineRule="exact"/>
        <w:ind w:left="0" w:firstLine="600" w:firstLineChars="200"/>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pStyle w:val="2"/>
        <w:pageBreakBefore w:val="0"/>
        <w:kinsoku/>
        <w:wordWrap/>
        <w:overflowPunct/>
        <w:topLinePunct w:val="0"/>
        <w:autoSpaceDE/>
        <w:autoSpaceDN/>
        <w:bidi w:val="0"/>
        <w:adjustRightInd/>
        <w:snapToGrid/>
        <w:spacing w:before="0" w:after="0" w:line="560" w:lineRule="exact"/>
        <w:ind w:left="0" w:firstLine="640" w:firstLineChars="200"/>
        <w:jc w:val="both"/>
        <w:rPr>
          <w:highlight w:val="none"/>
        </w:rPr>
      </w:pPr>
    </w:p>
    <w:tbl>
      <w:tblPr>
        <w:tblW w:w="10200" w:type="dxa"/>
        <w:jc w:val="center"/>
        <w:tblInd w:w="-66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638"/>
        <w:gridCol w:w="639"/>
        <w:gridCol w:w="664"/>
        <w:gridCol w:w="1338"/>
        <w:gridCol w:w="1399"/>
        <w:gridCol w:w="703"/>
        <w:gridCol w:w="928"/>
        <w:gridCol w:w="833"/>
        <w:gridCol w:w="504"/>
        <w:gridCol w:w="468"/>
        <w:gridCol w:w="516"/>
        <w:gridCol w:w="431"/>
        <w:gridCol w:w="443"/>
        <w:gridCol w:w="6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713" w:hRule="atLeast"/>
          <w:jc w:val="center"/>
        </w:trPr>
        <w:tc>
          <w:tcPr>
            <w:tcW w:w="10200" w:type="dxa"/>
            <w:gridSpan w:val="14"/>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bdr w:val="none" w:color="auto" w:sz="0" w:space="0"/>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9" w:hRule="atLeast"/>
          <w:jc w:val="center"/>
        </w:trPr>
        <w:tc>
          <w:tcPr>
            <w:tcW w:w="10200" w:type="dxa"/>
            <w:gridSpan w:val="14"/>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86" w:hRule="atLeast"/>
          <w:jc w:val="center"/>
        </w:trPr>
        <w:tc>
          <w:tcPr>
            <w:tcW w:w="127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项目名称</w:t>
            </w:r>
          </w:p>
        </w:tc>
        <w:tc>
          <w:tcPr>
            <w:tcW w:w="8923" w:type="dxa"/>
            <w:gridSpan w:val="1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人大代表“联络站”优化建设及工作项目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9" w:hRule="atLeast"/>
          <w:jc w:val="center"/>
        </w:trPr>
        <w:tc>
          <w:tcPr>
            <w:tcW w:w="127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主管部门</w:t>
            </w:r>
          </w:p>
        </w:tc>
        <w:tc>
          <w:tcPr>
            <w:tcW w:w="5032"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霍尔果斯市人民代表大会常务委员会</w:t>
            </w:r>
          </w:p>
        </w:tc>
        <w:tc>
          <w:tcPr>
            <w:tcW w:w="133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实施单位</w:t>
            </w:r>
          </w:p>
        </w:tc>
        <w:tc>
          <w:tcPr>
            <w:tcW w:w="2554"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霍尔果斯市人民代表大会常务委员会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86" w:hRule="atLeast"/>
          <w:jc w:val="center"/>
        </w:trPr>
        <w:tc>
          <w:tcPr>
            <w:tcW w:w="1277"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项目资金</w:t>
            </w:r>
            <w:r>
              <w:rPr>
                <w:rFonts w:hint="eastAsia" w:ascii="宋体" w:hAnsi="宋体" w:eastAsia="宋体" w:cs="宋体"/>
                <w:i w:val="0"/>
                <w:color w:val="000000"/>
                <w:kern w:val="0"/>
                <w:sz w:val="20"/>
                <w:szCs w:val="20"/>
                <w:u w:val="none"/>
                <w:bdr w:val="none" w:color="auto" w:sz="0" w:space="0"/>
                <w:lang w:val="en-US" w:eastAsia="zh-CN" w:bidi="ar"/>
              </w:rPr>
              <w:br w:type="textWrapping"/>
            </w:r>
            <w:r>
              <w:rPr>
                <w:rFonts w:hint="eastAsia" w:ascii="宋体" w:hAnsi="宋体" w:eastAsia="宋体" w:cs="宋体"/>
                <w:i w:val="0"/>
                <w:color w:val="000000"/>
                <w:kern w:val="0"/>
                <w:sz w:val="20"/>
                <w:szCs w:val="20"/>
                <w:u w:val="none"/>
                <w:bdr w:val="none" w:color="auto" w:sz="0" w:space="0"/>
                <w:lang w:val="en-US" w:eastAsia="zh-CN" w:bidi="ar"/>
              </w:rPr>
              <w:t>（万元）</w:t>
            </w:r>
          </w:p>
        </w:tc>
        <w:tc>
          <w:tcPr>
            <w:tcW w:w="200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9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年初预算数</w:t>
            </w:r>
          </w:p>
        </w:tc>
        <w:tc>
          <w:tcPr>
            <w:tcW w:w="163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全年预算数</w:t>
            </w:r>
          </w:p>
        </w:tc>
        <w:tc>
          <w:tcPr>
            <w:tcW w:w="133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全年执行数</w:t>
            </w:r>
          </w:p>
        </w:tc>
        <w:tc>
          <w:tcPr>
            <w:tcW w:w="98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分值</w:t>
            </w:r>
          </w:p>
        </w:tc>
        <w:tc>
          <w:tcPr>
            <w:tcW w:w="87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执行率</w:t>
            </w:r>
          </w:p>
        </w:tc>
        <w:tc>
          <w:tcPr>
            <w:tcW w:w="69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9" w:hRule="atLeast"/>
          <w:jc w:val="center"/>
        </w:trPr>
        <w:tc>
          <w:tcPr>
            <w:tcW w:w="1277"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0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年度资金总额</w:t>
            </w:r>
          </w:p>
        </w:tc>
        <w:tc>
          <w:tcPr>
            <w:tcW w:w="139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22.00</w:t>
            </w:r>
          </w:p>
        </w:tc>
        <w:tc>
          <w:tcPr>
            <w:tcW w:w="163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22</w:t>
            </w:r>
          </w:p>
        </w:tc>
        <w:tc>
          <w:tcPr>
            <w:tcW w:w="133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22.00</w:t>
            </w:r>
          </w:p>
        </w:tc>
        <w:tc>
          <w:tcPr>
            <w:tcW w:w="98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87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100.00%</w:t>
            </w:r>
          </w:p>
        </w:tc>
        <w:tc>
          <w:tcPr>
            <w:tcW w:w="69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86" w:hRule="atLeast"/>
          <w:jc w:val="center"/>
        </w:trPr>
        <w:tc>
          <w:tcPr>
            <w:tcW w:w="1277"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0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其中：当年财政拨款</w:t>
            </w:r>
          </w:p>
        </w:tc>
        <w:tc>
          <w:tcPr>
            <w:tcW w:w="139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22</w:t>
            </w:r>
          </w:p>
        </w:tc>
        <w:tc>
          <w:tcPr>
            <w:tcW w:w="163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22</w:t>
            </w:r>
          </w:p>
        </w:tc>
        <w:tc>
          <w:tcPr>
            <w:tcW w:w="133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22</w:t>
            </w:r>
          </w:p>
        </w:tc>
        <w:tc>
          <w:tcPr>
            <w:tcW w:w="98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87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9" w:hRule="atLeast"/>
          <w:jc w:val="center"/>
        </w:trPr>
        <w:tc>
          <w:tcPr>
            <w:tcW w:w="1277"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0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 xml:space="preserve">      上年结转资金</w:t>
            </w:r>
          </w:p>
        </w:tc>
        <w:tc>
          <w:tcPr>
            <w:tcW w:w="139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163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133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8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87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86" w:hRule="atLeast"/>
          <w:jc w:val="center"/>
        </w:trPr>
        <w:tc>
          <w:tcPr>
            <w:tcW w:w="1277"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0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 xml:space="preserve">  其他资金</w:t>
            </w:r>
          </w:p>
        </w:tc>
        <w:tc>
          <w:tcPr>
            <w:tcW w:w="139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163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133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8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87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86" w:hRule="atLeast"/>
          <w:jc w:val="center"/>
        </w:trPr>
        <w:tc>
          <w:tcPr>
            <w:tcW w:w="638"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年度总体目标</w:t>
            </w:r>
          </w:p>
        </w:tc>
        <w:tc>
          <w:tcPr>
            <w:tcW w:w="5671" w:type="dxa"/>
            <w:gridSpan w:val="6"/>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预期目标</w:t>
            </w:r>
          </w:p>
        </w:tc>
        <w:tc>
          <w:tcPr>
            <w:tcW w:w="3891" w:type="dxa"/>
            <w:gridSpan w:val="7"/>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47" w:hRule="atLeast"/>
          <w:jc w:val="center"/>
        </w:trPr>
        <w:tc>
          <w:tcPr>
            <w:tcW w:w="63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671" w:type="dxa"/>
            <w:gridSpan w:val="6"/>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根据人大代表联络站建设实际和重点建设需要用于全市11个代表联络站优化建设，每个代表联络站建设做到"八个有"，通过“人大代表联络站”履职平台，代表闭会期间的履职活动得到进一步加强，对代表参加会议、审议发言、提出建议、视察调研、走访接待、履职培训、建议督办、参加议事会、向选民述职等履职活动提供建设、场所和空间配置、设施、标识等“硬件”标准</w:t>
            </w:r>
          </w:p>
        </w:tc>
        <w:tc>
          <w:tcPr>
            <w:tcW w:w="3891" w:type="dxa"/>
            <w:gridSpan w:val="7"/>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向11个人大代表联络站共计拨款22万元。人大代表与群众的联系效果显著、人大代表满意度达到95%，优化人大代表联络站数量11个，联络站提交的代表建议22个，意见建议办结率达到95%。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jc w:val="center"/>
        </w:trPr>
        <w:tc>
          <w:tcPr>
            <w:tcW w:w="638"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39"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一级指标</w:t>
            </w:r>
          </w:p>
        </w:tc>
        <w:tc>
          <w:tcPr>
            <w:tcW w:w="664"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二级指标</w:t>
            </w:r>
          </w:p>
        </w:tc>
        <w:tc>
          <w:tcPr>
            <w:tcW w:w="3440" w:type="dxa"/>
            <w:gridSpan w:val="3"/>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三级指标</w:t>
            </w:r>
          </w:p>
        </w:tc>
        <w:tc>
          <w:tcPr>
            <w:tcW w:w="928"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年度指标值</w:t>
            </w:r>
          </w:p>
        </w:tc>
        <w:tc>
          <w:tcPr>
            <w:tcW w:w="833"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实际完成值</w:t>
            </w:r>
          </w:p>
        </w:tc>
        <w:tc>
          <w:tcPr>
            <w:tcW w:w="972"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分值</w:t>
            </w:r>
          </w:p>
        </w:tc>
        <w:tc>
          <w:tcPr>
            <w:tcW w:w="947"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得分</w:t>
            </w:r>
          </w:p>
        </w:tc>
        <w:tc>
          <w:tcPr>
            <w:tcW w:w="1139"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9" w:hRule="atLeast"/>
          <w:jc w:val="center"/>
        </w:trPr>
        <w:tc>
          <w:tcPr>
            <w:tcW w:w="63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3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4"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440" w:type="dxa"/>
            <w:gridSpan w:val="3"/>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2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72"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47"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9" w:hRule="atLeast"/>
          <w:jc w:val="center"/>
        </w:trPr>
        <w:tc>
          <w:tcPr>
            <w:tcW w:w="638"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年度绩效指标完成情况</w:t>
            </w:r>
          </w:p>
        </w:tc>
        <w:tc>
          <w:tcPr>
            <w:tcW w:w="639"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产出指标</w:t>
            </w:r>
          </w:p>
        </w:tc>
        <w:tc>
          <w:tcPr>
            <w:tcW w:w="66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数量指标</w:t>
            </w:r>
          </w:p>
        </w:tc>
        <w:tc>
          <w:tcPr>
            <w:tcW w:w="3440"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优化人大代表联络站数量</w:t>
            </w:r>
          </w:p>
        </w:tc>
        <w:tc>
          <w:tcPr>
            <w:tcW w:w="92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=11个</w:t>
            </w:r>
          </w:p>
        </w:tc>
        <w:tc>
          <w:tcPr>
            <w:tcW w:w="83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11个</w:t>
            </w:r>
          </w:p>
        </w:tc>
        <w:tc>
          <w:tcPr>
            <w:tcW w:w="97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94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1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39" w:hRule="atLeast"/>
          <w:jc w:val="center"/>
        </w:trPr>
        <w:tc>
          <w:tcPr>
            <w:tcW w:w="63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3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数量指标</w:t>
            </w:r>
          </w:p>
        </w:tc>
        <w:tc>
          <w:tcPr>
            <w:tcW w:w="3440"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联络站提交的代表建议</w:t>
            </w:r>
          </w:p>
        </w:tc>
        <w:tc>
          <w:tcPr>
            <w:tcW w:w="92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&gt;=22个</w:t>
            </w:r>
          </w:p>
        </w:tc>
        <w:tc>
          <w:tcPr>
            <w:tcW w:w="83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32个</w:t>
            </w:r>
          </w:p>
        </w:tc>
        <w:tc>
          <w:tcPr>
            <w:tcW w:w="97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94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1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1.偏差原因：切实把好事办实、把实事 办好，推动解决一批群众所思所盼的重点难点问题。年初提交的 32 件意见建议；2.改进措施：下一年度精准预算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9" w:hRule="atLeast"/>
          <w:jc w:val="center"/>
        </w:trPr>
        <w:tc>
          <w:tcPr>
            <w:tcW w:w="63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3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质量指标</w:t>
            </w:r>
          </w:p>
        </w:tc>
        <w:tc>
          <w:tcPr>
            <w:tcW w:w="3440"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意见建议办结率</w:t>
            </w:r>
          </w:p>
        </w:tc>
        <w:tc>
          <w:tcPr>
            <w:tcW w:w="92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&gt;=95%</w:t>
            </w:r>
          </w:p>
        </w:tc>
        <w:tc>
          <w:tcPr>
            <w:tcW w:w="83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97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94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1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意见答复率 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73" w:hRule="atLeast"/>
          <w:jc w:val="center"/>
        </w:trPr>
        <w:tc>
          <w:tcPr>
            <w:tcW w:w="63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3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时效指标</w:t>
            </w:r>
          </w:p>
        </w:tc>
        <w:tc>
          <w:tcPr>
            <w:tcW w:w="3440"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人大代表“联络站”优化建设及工作资金支付及时率</w:t>
            </w:r>
          </w:p>
        </w:tc>
        <w:tc>
          <w:tcPr>
            <w:tcW w:w="92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&gt;=95%</w:t>
            </w:r>
          </w:p>
        </w:tc>
        <w:tc>
          <w:tcPr>
            <w:tcW w:w="83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97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94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1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资金已全额及时支付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73" w:hRule="atLeast"/>
          <w:jc w:val="center"/>
        </w:trPr>
        <w:tc>
          <w:tcPr>
            <w:tcW w:w="63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39"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成本指标</w:t>
            </w:r>
          </w:p>
        </w:tc>
        <w:tc>
          <w:tcPr>
            <w:tcW w:w="66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经济成本指标</w:t>
            </w:r>
          </w:p>
        </w:tc>
        <w:tc>
          <w:tcPr>
            <w:tcW w:w="3440"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人大代表“联络站”优化建设平均成本</w:t>
            </w:r>
          </w:p>
        </w:tc>
        <w:tc>
          <w:tcPr>
            <w:tcW w:w="92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&lt;=2万元/个</w:t>
            </w:r>
          </w:p>
        </w:tc>
        <w:tc>
          <w:tcPr>
            <w:tcW w:w="83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2万元/个</w:t>
            </w:r>
          </w:p>
        </w:tc>
        <w:tc>
          <w:tcPr>
            <w:tcW w:w="97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w:t>
            </w:r>
          </w:p>
        </w:tc>
        <w:tc>
          <w:tcPr>
            <w:tcW w:w="94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w:t>
            </w:r>
          </w:p>
        </w:tc>
        <w:tc>
          <w:tcPr>
            <w:tcW w:w="11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73" w:hRule="atLeast"/>
          <w:jc w:val="center"/>
        </w:trPr>
        <w:tc>
          <w:tcPr>
            <w:tcW w:w="63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3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社会成本指标</w:t>
            </w:r>
          </w:p>
        </w:tc>
        <w:tc>
          <w:tcPr>
            <w:tcW w:w="3440"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92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7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4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416" w:hRule="atLeast"/>
          <w:jc w:val="center"/>
        </w:trPr>
        <w:tc>
          <w:tcPr>
            <w:tcW w:w="63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3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生态环境成本指标</w:t>
            </w:r>
          </w:p>
        </w:tc>
        <w:tc>
          <w:tcPr>
            <w:tcW w:w="3440"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92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7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4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73" w:hRule="atLeast"/>
          <w:jc w:val="center"/>
        </w:trPr>
        <w:tc>
          <w:tcPr>
            <w:tcW w:w="63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39"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效益指标</w:t>
            </w:r>
          </w:p>
        </w:tc>
        <w:tc>
          <w:tcPr>
            <w:tcW w:w="66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经济效益指标</w:t>
            </w:r>
          </w:p>
        </w:tc>
        <w:tc>
          <w:tcPr>
            <w:tcW w:w="3440"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92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7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4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73" w:hRule="atLeast"/>
          <w:jc w:val="center"/>
        </w:trPr>
        <w:tc>
          <w:tcPr>
            <w:tcW w:w="63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3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社会效益指标</w:t>
            </w:r>
          </w:p>
        </w:tc>
        <w:tc>
          <w:tcPr>
            <w:tcW w:w="3440"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加强人大代表与群众的联系</w:t>
            </w:r>
          </w:p>
        </w:tc>
        <w:tc>
          <w:tcPr>
            <w:tcW w:w="92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效果显著</w:t>
            </w:r>
          </w:p>
        </w:tc>
        <w:tc>
          <w:tcPr>
            <w:tcW w:w="83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效果显著</w:t>
            </w:r>
          </w:p>
        </w:tc>
        <w:tc>
          <w:tcPr>
            <w:tcW w:w="97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w:t>
            </w:r>
          </w:p>
        </w:tc>
        <w:tc>
          <w:tcPr>
            <w:tcW w:w="94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w:t>
            </w:r>
          </w:p>
        </w:tc>
        <w:tc>
          <w:tcPr>
            <w:tcW w:w="11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73" w:hRule="atLeast"/>
          <w:jc w:val="center"/>
        </w:trPr>
        <w:tc>
          <w:tcPr>
            <w:tcW w:w="63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3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生态效益指标</w:t>
            </w:r>
          </w:p>
        </w:tc>
        <w:tc>
          <w:tcPr>
            <w:tcW w:w="3440"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92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7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4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73" w:hRule="atLeast"/>
          <w:jc w:val="center"/>
        </w:trPr>
        <w:tc>
          <w:tcPr>
            <w:tcW w:w="63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3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满意度指标</w:t>
            </w:r>
          </w:p>
        </w:tc>
        <w:tc>
          <w:tcPr>
            <w:tcW w:w="66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满意度指标</w:t>
            </w:r>
          </w:p>
        </w:tc>
        <w:tc>
          <w:tcPr>
            <w:tcW w:w="3440"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人大代表满意度</w:t>
            </w:r>
          </w:p>
        </w:tc>
        <w:tc>
          <w:tcPr>
            <w:tcW w:w="92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&gt;=95%</w:t>
            </w:r>
          </w:p>
        </w:tc>
        <w:tc>
          <w:tcPr>
            <w:tcW w:w="83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95%</w:t>
            </w:r>
          </w:p>
        </w:tc>
        <w:tc>
          <w:tcPr>
            <w:tcW w:w="97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94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1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46" w:hRule="atLeast"/>
          <w:jc w:val="center"/>
        </w:trPr>
        <w:tc>
          <w:tcPr>
            <w:tcW w:w="7142" w:type="dxa"/>
            <w:gridSpan w:val="8"/>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总分</w:t>
            </w:r>
          </w:p>
        </w:tc>
        <w:tc>
          <w:tcPr>
            <w:tcW w:w="97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94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100.00分</w:t>
            </w:r>
          </w:p>
        </w:tc>
        <w:tc>
          <w:tcPr>
            <w:tcW w:w="11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bl>
    <w:p>
      <w:pPr>
        <w:pageBreakBefore w:val="0"/>
        <w:kinsoku/>
        <w:wordWrap/>
        <w:overflowPunct/>
        <w:topLinePunct w:val="0"/>
        <w:autoSpaceDE/>
        <w:autoSpaceDN/>
        <w:bidi w:val="0"/>
        <w:adjustRightInd/>
        <w:snapToGrid/>
        <w:spacing w:line="560" w:lineRule="exact"/>
        <w:ind w:left="0" w:firstLine="640" w:firstLineChars="200"/>
        <w:rPr>
          <w:rFonts w:hint="eastAsia" w:ascii="黑体" w:hAnsi="黑体" w:eastAsia="黑体" w:cs="黑体"/>
          <w:bCs/>
          <w:sz w:val="32"/>
          <w:szCs w:val="32"/>
          <w:highlight w:val="none"/>
        </w:rPr>
        <w:sectPr>
          <w:headerReference r:id="rId3" w:type="default"/>
          <w:pgSz w:w="11906" w:h="16838"/>
          <w:pgMar w:top="1928" w:right="1531" w:bottom="1701" w:left="1531" w:header="737" w:footer="851" w:gutter="0"/>
          <w:cols w:space="720" w:num="1"/>
          <w:docGrid w:type="lines" w:linePitch="408" w:charSpace="0"/>
        </w:sectPr>
      </w:pPr>
    </w:p>
    <w:p>
      <w:pPr>
        <w:pStyle w:val="20"/>
        <w:pageBreakBefore w:val="0"/>
        <w:kinsoku/>
        <w:wordWrap/>
        <w:overflowPunct/>
        <w:topLinePunct w:val="0"/>
        <w:autoSpaceDE/>
        <w:autoSpaceDN/>
        <w:bidi w:val="0"/>
        <w:adjustRightInd/>
        <w:snapToGrid/>
        <w:spacing w:line="560" w:lineRule="exact"/>
        <w:ind w:left="0" w:firstLine="562" w:firstLineChars="200"/>
        <w:jc w:val="center"/>
        <w:rPr>
          <w:sz w:val="28"/>
          <w:szCs w:val="40"/>
          <w:highlight w:val="none"/>
        </w:rPr>
      </w:pPr>
      <w:bookmarkStart w:id="20" w:name="_Toc30064_WPSOffice_Level1"/>
      <w:bookmarkStart w:id="21" w:name="_Toc26499_WPSOffice_Level2"/>
      <w:r>
        <w:rPr>
          <w:rFonts w:hint="eastAsia"/>
          <w:b/>
          <w:bCs/>
          <w:sz w:val="28"/>
          <w:szCs w:val="40"/>
          <w:highlight w:val="none"/>
          <w:lang w:val="en-US" w:eastAsia="zh-CN"/>
        </w:rPr>
        <w:t>人大代表“”联络站“”优化建设及工作</w:t>
      </w:r>
      <w:r>
        <w:rPr>
          <w:rFonts w:hint="eastAsia"/>
          <w:b/>
          <w:bCs/>
          <w:sz w:val="28"/>
          <w:szCs w:val="40"/>
          <w:highlight w:val="none"/>
        </w:rPr>
        <w:t>项目绩效评价指标体系及综合评分表</w:t>
      </w:r>
      <w:bookmarkEnd w:id="20"/>
      <w:bookmarkEnd w:id="21"/>
    </w:p>
    <w:tbl>
      <w:tblPr>
        <w:tblW w:w="16120" w:type="dxa"/>
        <w:jc w:val="center"/>
        <w:tblInd w:w="-144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794"/>
        <w:gridCol w:w="1226"/>
        <w:gridCol w:w="1461"/>
        <w:gridCol w:w="3648"/>
        <w:gridCol w:w="7423"/>
        <w:gridCol w:w="784"/>
        <w:gridCol w:w="7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737" w:hRule="atLeast"/>
          <w:jc w:val="center"/>
        </w:trPr>
        <w:tc>
          <w:tcPr>
            <w:tcW w:w="14552" w:type="dxa"/>
            <w:gridSpan w:val="5"/>
            <w:tcBorders>
              <w:top w:val="nil"/>
              <w:left w:val="nil"/>
              <w:bottom w:val="nil"/>
              <w:right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bdr w:val="none" w:color="auto" w:sz="0" w:space="0"/>
                <w:lang w:val="en-US" w:eastAsia="zh-CN" w:bidi="ar"/>
              </w:rPr>
              <w:t>人大代表“联络站”优化建设及工作项目支出绩效评价指标体系</w:t>
            </w:r>
          </w:p>
        </w:tc>
        <w:tc>
          <w:tcPr>
            <w:tcW w:w="784" w:type="dxa"/>
            <w:tcBorders>
              <w:top w:val="nil"/>
              <w:left w:val="nil"/>
              <w:bottom w:val="nil"/>
              <w:right w:val="nil"/>
            </w:tcBorders>
            <w:shd w:val="clear"/>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784" w:type="dxa"/>
            <w:tcBorders>
              <w:top w:val="nil"/>
              <w:left w:val="nil"/>
              <w:bottom w:val="nil"/>
              <w:right w:val="nil"/>
            </w:tcBorders>
            <w:shd w:val="clear"/>
            <w:noWrap/>
            <w:tcMar>
              <w:top w:w="15" w:type="dxa"/>
              <w:left w:w="15" w:type="dxa"/>
              <w:right w:w="15" w:type="dxa"/>
            </w:tcMar>
            <w:vAlign w:val="center"/>
          </w:tcPr>
          <w:p>
            <w:pPr>
              <w:jc w:val="center"/>
              <w:rPr>
                <w:rFonts w:hint="default" w:ascii="等线" w:hAnsi="等线" w:eastAsia="等线" w:cs="等线"/>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59" w:hRule="atLeast"/>
          <w:jc w:val="center"/>
        </w:trPr>
        <w:tc>
          <w:tcPr>
            <w:tcW w:w="79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一级指标</w:t>
            </w:r>
          </w:p>
        </w:tc>
        <w:tc>
          <w:tcPr>
            <w:tcW w:w="122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二级指标</w:t>
            </w:r>
          </w:p>
        </w:tc>
        <w:tc>
          <w:tcPr>
            <w:tcW w:w="146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三级指标</w:t>
            </w:r>
          </w:p>
        </w:tc>
        <w:tc>
          <w:tcPr>
            <w:tcW w:w="36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指标解释</w:t>
            </w: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指标说明</w:t>
            </w:r>
          </w:p>
        </w:tc>
        <w:tc>
          <w:tcPr>
            <w:tcW w:w="7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分值</w:t>
            </w:r>
          </w:p>
        </w:tc>
        <w:tc>
          <w:tcPr>
            <w:tcW w:w="7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决策　（20）</w:t>
            </w:r>
          </w:p>
        </w:tc>
        <w:tc>
          <w:tcPr>
            <w:tcW w:w="122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项目立项(6)</w:t>
            </w:r>
          </w:p>
        </w:tc>
        <w:tc>
          <w:tcPr>
            <w:tcW w:w="146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立项依据充分性</w:t>
            </w:r>
          </w:p>
        </w:tc>
        <w:tc>
          <w:tcPr>
            <w:tcW w:w="364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项目立项是否符合法律法规、相关政策、发展规划以及部门职责，用以反映和考核项目立项依据情况。</w:t>
            </w: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84"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①项目立项是否符合国家法律法规、国民经济发展规划和相关政策；</w:t>
            </w:r>
          </w:p>
        </w:tc>
        <w:tc>
          <w:tcPr>
            <w:tcW w:w="784"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784"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②项目立项是否符合行业发展规划和政策要求；</w:t>
            </w: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③项目立项是否与部门职责范围相符，属于部门履职所需；</w:t>
            </w: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④项目是否属于公共财政支持范围，是否符合中央、地方事权支出责任划分原则；</w:t>
            </w: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⑤项目是否与相关部门同类项目或部门内部相关项目重复。</w:t>
            </w: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立项程序规范性</w:t>
            </w:r>
          </w:p>
        </w:tc>
        <w:tc>
          <w:tcPr>
            <w:tcW w:w="364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项目申请、设立过程是否符合相关要求，用以反映和考核项目立项的规范情况。</w:t>
            </w: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84"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①项目是否按照规定的程序申请设立；</w:t>
            </w:r>
          </w:p>
        </w:tc>
        <w:tc>
          <w:tcPr>
            <w:tcW w:w="784"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784"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②审批文件、材料是否符合相关要求；</w:t>
            </w: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③事前是否已经过必要的可行性研究、专家论证、风险评估、绩效评估、集体决策。</w:t>
            </w: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绩效目标(3)</w:t>
            </w:r>
          </w:p>
        </w:tc>
        <w:tc>
          <w:tcPr>
            <w:tcW w:w="146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绩效目标合理性</w:t>
            </w:r>
          </w:p>
        </w:tc>
        <w:tc>
          <w:tcPr>
            <w:tcW w:w="364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项目所设定的绩效目标是否依据充分，是否符合客观实际，用以反映和考核项目绩效目标与项目实施的相符情况。</w:t>
            </w: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84"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（如未设定预算绩效目标，也可考核其他工作任务目标）</w:t>
            </w:r>
          </w:p>
        </w:tc>
        <w:tc>
          <w:tcPr>
            <w:tcW w:w="784"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784"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①项目是否有绩效目标；</w:t>
            </w: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②项目绩效目标与实际工作内容是否具有相关性；</w:t>
            </w: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③项目预期产出效益和效果是否符合正常的业绩水平；</w:t>
            </w: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④是否与预算确定的项目投资额或资金量相匹配。</w:t>
            </w: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绩效目标（3）</w:t>
            </w:r>
          </w:p>
        </w:tc>
        <w:tc>
          <w:tcPr>
            <w:tcW w:w="146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绩效指标明确性</w:t>
            </w:r>
          </w:p>
        </w:tc>
        <w:tc>
          <w:tcPr>
            <w:tcW w:w="364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依据绩效目标设定的绩效指标是否清晰、细化、可衡量等，用以反映和考核项目绩效目标的明细化情况。</w:t>
            </w: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84"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①是否将项目绩效目标细化分解为具体的绩效指标；</w:t>
            </w:r>
          </w:p>
        </w:tc>
        <w:tc>
          <w:tcPr>
            <w:tcW w:w="784"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784"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②是否通过清晰、可衡量的指标值予以体现；</w:t>
            </w: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③是否与项目目标任务数或计划数相对应。</w:t>
            </w: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资金投入（8）</w:t>
            </w:r>
          </w:p>
        </w:tc>
        <w:tc>
          <w:tcPr>
            <w:tcW w:w="146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预算编制科学性</w:t>
            </w:r>
          </w:p>
        </w:tc>
        <w:tc>
          <w:tcPr>
            <w:tcW w:w="364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项目预算编制是否经过科学论证、有明确标准，资金额度与年度目标是否相适应，用以反映和考核项目预算编制的科学性、合理性情况。</w:t>
            </w: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84"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①预算编制是否经过科学论证；</w:t>
            </w:r>
          </w:p>
        </w:tc>
        <w:tc>
          <w:tcPr>
            <w:tcW w:w="784"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c>
          <w:tcPr>
            <w:tcW w:w="784"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②预算内容与项目内容是否匹配；</w:t>
            </w: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③预算额度测算依据是否充分，是否按照标准编制；</w:t>
            </w: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④预算确定的项目投资额或资金量是否与工作任务相匹配。</w:t>
            </w: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资金分配合理性</w:t>
            </w:r>
          </w:p>
        </w:tc>
        <w:tc>
          <w:tcPr>
            <w:tcW w:w="364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项目预算资金分配是否有测算依据，与补助单位或地方实际是否相适应，用以反映和考核项目预算资金分配的科学性、合理性情况。</w:t>
            </w: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84" w:type="dxa"/>
            <w:tcBorders>
              <w:top w:val="single" w:color="000000" w:sz="8" w:space="0"/>
              <w:left w:val="single" w:color="000000" w:sz="8" w:space="0"/>
              <w:bottom w:val="nil"/>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tcBorders>
              <w:top w:val="single" w:color="000000" w:sz="8" w:space="0"/>
              <w:left w:val="single" w:color="000000" w:sz="8" w:space="0"/>
              <w:bottom w:val="nil"/>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①预算资金分配依据是否充分；</w:t>
            </w:r>
          </w:p>
        </w:tc>
        <w:tc>
          <w:tcPr>
            <w:tcW w:w="784"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c>
          <w:tcPr>
            <w:tcW w:w="784"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②资金分配额度是否合理，与项目单位或地方实际是否相适应。</w:t>
            </w: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过程（20）</w:t>
            </w:r>
          </w:p>
        </w:tc>
        <w:tc>
          <w:tcPr>
            <w:tcW w:w="122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资金管理(8)</w:t>
            </w:r>
          </w:p>
        </w:tc>
        <w:tc>
          <w:tcPr>
            <w:tcW w:w="146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资金到位率</w:t>
            </w:r>
          </w:p>
        </w:tc>
        <w:tc>
          <w:tcPr>
            <w:tcW w:w="364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实际到位资金与预算资金的比率，用以反映和考核资金落实情况对项目实施的总体保障程度。</w:t>
            </w:r>
          </w:p>
        </w:tc>
        <w:tc>
          <w:tcPr>
            <w:tcW w:w="7423" w:type="dxa"/>
            <w:tcBorders>
              <w:top w:val="single" w:color="000000" w:sz="8" w:space="0"/>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资金到位率=（实际到位资金/预算资金）×100%。</w:t>
            </w:r>
          </w:p>
        </w:tc>
        <w:tc>
          <w:tcPr>
            <w:tcW w:w="784" w:type="dxa"/>
            <w:vMerge w:val="restart"/>
            <w:tcBorders>
              <w:top w:val="single" w:color="000000" w:sz="8" w:space="0"/>
              <w:left w:val="single" w:color="000000" w:sz="8" w:space="0"/>
              <w:bottom w:val="nil"/>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84" w:type="dxa"/>
            <w:vMerge w:val="restart"/>
            <w:tcBorders>
              <w:top w:val="single" w:color="000000" w:sz="8" w:space="0"/>
              <w:left w:val="single" w:color="000000" w:sz="8" w:space="0"/>
              <w:bottom w:val="nil"/>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实际到位资金：一定时期（本年度或项目期）内落实到具体项目的资金。</w:t>
            </w:r>
          </w:p>
        </w:tc>
        <w:tc>
          <w:tcPr>
            <w:tcW w:w="784" w:type="dxa"/>
            <w:vMerge w:val="continue"/>
            <w:tcBorders>
              <w:top w:val="single" w:color="000000" w:sz="8" w:space="0"/>
              <w:left w:val="single" w:color="000000" w:sz="8" w:space="0"/>
              <w:bottom w:val="nil"/>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vMerge w:val="continue"/>
            <w:tcBorders>
              <w:top w:val="single" w:color="000000" w:sz="8" w:space="0"/>
              <w:left w:val="single" w:color="000000" w:sz="8" w:space="0"/>
              <w:bottom w:val="nil"/>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预算资金：一定时期（本年度或项目期）内预算安排到具体项目的资金。</w:t>
            </w:r>
          </w:p>
        </w:tc>
        <w:tc>
          <w:tcPr>
            <w:tcW w:w="784" w:type="dxa"/>
            <w:vMerge w:val="continue"/>
            <w:tcBorders>
              <w:top w:val="single" w:color="000000" w:sz="8" w:space="0"/>
              <w:left w:val="single" w:color="000000" w:sz="8" w:space="0"/>
              <w:bottom w:val="nil"/>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vMerge w:val="continue"/>
            <w:tcBorders>
              <w:top w:val="single" w:color="000000" w:sz="8" w:space="0"/>
              <w:left w:val="single" w:color="000000" w:sz="8" w:space="0"/>
              <w:bottom w:val="nil"/>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预算执行率</w:t>
            </w:r>
          </w:p>
        </w:tc>
        <w:tc>
          <w:tcPr>
            <w:tcW w:w="364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项目预算资金是否按照计划执行，用以反映或考核项目预算执行情况。</w:t>
            </w:r>
          </w:p>
        </w:tc>
        <w:tc>
          <w:tcPr>
            <w:tcW w:w="7423" w:type="dxa"/>
            <w:tcBorders>
              <w:top w:val="single" w:color="000000" w:sz="8" w:space="0"/>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预算执行率=（实际支出资金/实际到位资金）×100%。</w:t>
            </w:r>
          </w:p>
        </w:tc>
        <w:tc>
          <w:tcPr>
            <w:tcW w:w="784"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784"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nil"/>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实际支出资金：一定时期（本年度或项目期）内项目实际拨付的资金。</w:t>
            </w: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资金管理(4)</w:t>
            </w:r>
          </w:p>
        </w:tc>
        <w:tc>
          <w:tcPr>
            <w:tcW w:w="146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资金使用合规性</w:t>
            </w:r>
          </w:p>
        </w:tc>
        <w:tc>
          <w:tcPr>
            <w:tcW w:w="364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项目资金使用是否符合相关的财务管理制度规定，用以反映和考核项目资金的规范运行情况。</w:t>
            </w: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84" w:type="dxa"/>
            <w:tcBorders>
              <w:top w:val="nil"/>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tcBorders>
              <w:top w:val="nil"/>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①是否符合国家财经法规和财务管理制度以及有关专项资金管理办法的规定；</w:t>
            </w:r>
          </w:p>
        </w:tc>
        <w:tc>
          <w:tcPr>
            <w:tcW w:w="784"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c>
          <w:tcPr>
            <w:tcW w:w="784"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②资金的拨付是否有完整的审批程序和手续；</w:t>
            </w: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③是否符合项目预算批复或合同规定的用途；</w:t>
            </w: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④是否存在截留、挤占、挪用、虚列支出等情况。</w:t>
            </w: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组织实施（8）</w:t>
            </w:r>
          </w:p>
        </w:tc>
        <w:tc>
          <w:tcPr>
            <w:tcW w:w="146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管理制度健全性</w:t>
            </w:r>
          </w:p>
        </w:tc>
        <w:tc>
          <w:tcPr>
            <w:tcW w:w="364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项目实施单位的财务和业务管理制度是否健全，用以反映和考核财务和业务管理制度对项目顺利实施的保障情况。</w:t>
            </w: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84"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①是否已制定或具有相应的财务和业务管理制度；</w:t>
            </w:r>
          </w:p>
        </w:tc>
        <w:tc>
          <w:tcPr>
            <w:tcW w:w="784"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c>
          <w:tcPr>
            <w:tcW w:w="784"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②财务和业务管理制度是否合法、合规、完整。</w:t>
            </w: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制度执行有效性</w:t>
            </w:r>
          </w:p>
        </w:tc>
        <w:tc>
          <w:tcPr>
            <w:tcW w:w="364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项目实施是否符合相关管理规定，用以反映和考核相关管理制度的有效执行情况。</w:t>
            </w: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84"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①是否遵守相关法律法规和相关管理规定；</w:t>
            </w:r>
          </w:p>
        </w:tc>
        <w:tc>
          <w:tcPr>
            <w:tcW w:w="784"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c>
          <w:tcPr>
            <w:tcW w:w="784"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②项目调整及支出调整手续是否完备；</w:t>
            </w: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③项目合同书、验收报告、技术鉴定等资料是否齐全并及时归档；</w:t>
            </w: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④项目实施的人员条件、场地设备、信息支撑等是否落实到位。</w:t>
            </w: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产出（40）</w:t>
            </w:r>
          </w:p>
        </w:tc>
        <w:tc>
          <w:tcPr>
            <w:tcW w:w="122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产出数量(10)</w:t>
            </w:r>
          </w:p>
        </w:tc>
        <w:tc>
          <w:tcPr>
            <w:tcW w:w="146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实际完成率</w:t>
            </w:r>
          </w:p>
        </w:tc>
        <w:tc>
          <w:tcPr>
            <w:tcW w:w="364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项目实施的实际产出数与计划产出数的比率，用以反映和考核项目产出数量目标的实现程度。</w:t>
            </w: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实际完成率=（实际产出数/计划产出数）×100%。</w:t>
            </w:r>
          </w:p>
        </w:tc>
        <w:tc>
          <w:tcPr>
            <w:tcW w:w="784"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c>
          <w:tcPr>
            <w:tcW w:w="784"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实际产出数：一定时期（本年度或项目期）内项目实际产出的产品或提供的服务数量。</w:t>
            </w: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4"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计划产出数：项目绩效目标确定的在一定时期（本年度或项目期）内计划产出的产品或提供的服务数量。</w:t>
            </w: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产出质量(10)</w:t>
            </w:r>
          </w:p>
        </w:tc>
        <w:tc>
          <w:tcPr>
            <w:tcW w:w="146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质量达标率</w:t>
            </w:r>
          </w:p>
        </w:tc>
        <w:tc>
          <w:tcPr>
            <w:tcW w:w="364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项目完成的质量达标产出数与实际产出数的比率，用以反映和考核项目产出质量目标的实现程度。</w:t>
            </w: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质量达标率=（质量达标产出数/实际产出数）×100%。</w:t>
            </w:r>
          </w:p>
        </w:tc>
        <w:tc>
          <w:tcPr>
            <w:tcW w:w="784"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c>
          <w:tcPr>
            <w:tcW w:w="784"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6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产出时效(10)</w:t>
            </w:r>
          </w:p>
        </w:tc>
        <w:tc>
          <w:tcPr>
            <w:tcW w:w="146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完成及时性</w:t>
            </w:r>
          </w:p>
        </w:tc>
        <w:tc>
          <w:tcPr>
            <w:tcW w:w="364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项目实际完成时间与计划完成时间的比较，用以反映和考核项目产出时效目标的实现程度。</w:t>
            </w: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实际完成时间：项目实施单位完成该项目实际所耗用的时间。</w:t>
            </w:r>
          </w:p>
        </w:tc>
        <w:tc>
          <w:tcPr>
            <w:tcW w:w="784"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c>
          <w:tcPr>
            <w:tcW w:w="784"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计划完成时间：按照项目实施计划或相关规定完成该项目所需的时间。</w:t>
            </w: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产出成本(10)</w:t>
            </w:r>
          </w:p>
        </w:tc>
        <w:tc>
          <w:tcPr>
            <w:tcW w:w="146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成本节约率</w:t>
            </w:r>
          </w:p>
        </w:tc>
        <w:tc>
          <w:tcPr>
            <w:tcW w:w="364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完成项目计划工作目标的实际节约成本与计划成本的比率，用以反映和考核项目的成本节约程度。</w:t>
            </w: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成本节约率=[（计划成本-实际成本）/计划成本]×100%。</w:t>
            </w:r>
          </w:p>
        </w:tc>
        <w:tc>
          <w:tcPr>
            <w:tcW w:w="784"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c>
          <w:tcPr>
            <w:tcW w:w="784" w:type="dxa"/>
            <w:vMerge w:val="restart"/>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实际成本：项目实施单位如期、保质、保量完成既定工作目标实际所耗费的支出。</w:t>
            </w: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3"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64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计划成本：项目实施单位为完成工作目标计划安排的支出，一般以项目预算为参考。</w:t>
            </w: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4" w:type="dxa"/>
            <w:vMerge w:val="continue"/>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5" w:hRule="atLeast"/>
          <w:jc w:val="center"/>
        </w:trPr>
        <w:tc>
          <w:tcPr>
            <w:tcW w:w="79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效益（20）</w:t>
            </w:r>
          </w:p>
        </w:tc>
        <w:tc>
          <w:tcPr>
            <w:tcW w:w="122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项目效益（20）</w:t>
            </w:r>
          </w:p>
        </w:tc>
        <w:tc>
          <w:tcPr>
            <w:tcW w:w="146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实施效益</w:t>
            </w:r>
          </w:p>
        </w:tc>
        <w:tc>
          <w:tcPr>
            <w:tcW w:w="36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项目实施所产生的效益。</w:t>
            </w: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项目实施所产生的社会效益、经济效益、生态效益、可持续影响等。可根据项目实际情况有选择地设置和细化。</w:t>
            </w:r>
          </w:p>
        </w:tc>
        <w:tc>
          <w:tcPr>
            <w:tcW w:w="784"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c>
          <w:tcPr>
            <w:tcW w:w="784"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5" w:hRule="atLeast"/>
          <w:jc w:val="center"/>
        </w:trPr>
        <w:tc>
          <w:tcPr>
            <w:tcW w:w="7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6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满意度</w:t>
            </w:r>
          </w:p>
        </w:tc>
        <w:tc>
          <w:tcPr>
            <w:tcW w:w="36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社会公众或服务对象对项目实施效果的满意程度。</w:t>
            </w:r>
          </w:p>
        </w:tc>
        <w:tc>
          <w:tcPr>
            <w:tcW w:w="74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社会公众或服务对象是指因该项目实施而受到影响的部门（单位）、群体或个人。一般采取社会调查的方式。</w:t>
            </w:r>
          </w:p>
        </w:tc>
        <w:tc>
          <w:tcPr>
            <w:tcW w:w="784"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c>
          <w:tcPr>
            <w:tcW w:w="784"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69" w:hRule="atLeast"/>
          <w:jc w:val="center"/>
        </w:trPr>
        <w:tc>
          <w:tcPr>
            <w:tcW w:w="14552" w:type="dxa"/>
            <w:gridSpan w:val="5"/>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总分</w:t>
            </w:r>
          </w:p>
        </w:tc>
        <w:tc>
          <w:tcPr>
            <w:tcW w:w="784"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 xml:space="preserve">100.00 </w:t>
            </w:r>
          </w:p>
        </w:tc>
        <w:tc>
          <w:tcPr>
            <w:tcW w:w="784"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 xml:space="preserve">100.00 </w:t>
            </w:r>
          </w:p>
        </w:tc>
      </w:tr>
    </w:tbl>
    <w:p>
      <w:pPr>
        <w:pageBreakBefore w:val="0"/>
        <w:kinsoku/>
        <w:wordWrap/>
        <w:overflowPunct/>
        <w:topLinePunct w:val="0"/>
        <w:autoSpaceDE/>
        <w:autoSpaceDN/>
        <w:bidi w:val="0"/>
        <w:adjustRightInd/>
        <w:snapToGrid/>
        <w:spacing w:line="560" w:lineRule="exact"/>
        <w:ind w:left="0" w:firstLine="600" w:firstLineChars="200"/>
        <w:rPr>
          <w:highlight w:val="none"/>
        </w:rPr>
      </w:pPr>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方正小标宋_GBK">
    <w:altName w:val="微软雅黑"/>
    <w:panose1 w:val="00000000000000000000"/>
    <w:charset w:val="86"/>
    <w:family w:val="script"/>
    <w:pitch w:val="default"/>
    <w:sig w:usb0="00000000" w:usb1="00000000" w:usb2="00000000" w:usb3="00000000" w:csb0="00040000"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wNWM2OWI1ZWI0MDQzZjY5YzE4ZTJiNjRmZjMxZmIifQ=="/>
  </w:docVars>
  <w:rsids>
    <w:rsidRoot w:val="007D49C5"/>
    <w:rsid w:val="000D63FA"/>
    <w:rsid w:val="0059070C"/>
    <w:rsid w:val="005B64E8"/>
    <w:rsid w:val="00614288"/>
    <w:rsid w:val="00670592"/>
    <w:rsid w:val="00792CFE"/>
    <w:rsid w:val="007D49C5"/>
    <w:rsid w:val="008175E0"/>
    <w:rsid w:val="008C631D"/>
    <w:rsid w:val="00A114ED"/>
    <w:rsid w:val="00B22873"/>
    <w:rsid w:val="00B24331"/>
    <w:rsid w:val="011B0F5D"/>
    <w:rsid w:val="01583141"/>
    <w:rsid w:val="019568A2"/>
    <w:rsid w:val="01BB3D4D"/>
    <w:rsid w:val="01CD095C"/>
    <w:rsid w:val="01D077E7"/>
    <w:rsid w:val="01DA1059"/>
    <w:rsid w:val="022E4093"/>
    <w:rsid w:val="044A23C2"/>
    <w:rsid w:val="044B759E"/>
    <w:rsid w:val="04D76A29"/>
    <w:rsid w:val="05253FFE"/>
    <w:rsid w:val="05637C19"/>
    <w:rsid w:val="05640719"/>
    <w:rsid w:val="05900699"/>
    <w:rsid w:val="05EF03EF"/>
    <w:rsid w:val="06916ED8"/>
    <w:rsid w:val="07126EB2"/>
    <w:rsid w:val="0846691F"/>
    <w:rsid w:val="08B30702"/>
    <w:rsid w:val="09091BF0"/>
    <w:rsid w:val="094B17AD"/>
    <w:rsid w:val="098F0582"/>
    <w:rsid w:val="09A74CC5"/>
    <w:rsid w:val="0AA61ACA"/>
    <w:rsid w:val="0B875C70"/>
    <w:rsid w:val="0BC03CEF"/>
    <w:rsid w:val="0C681B89"/>
    <w:rsid w:val="0CB21D98"/>
    <w:rsid w:val="0D1A7839"/>
    <w:rsid w:val="0E0176FD"/>
    <w:rsid w:val="0E1C7388"/>
    <w:rsid w:val="0E951548"/>
    <w:rsid w:val="0EDE75D9"/>
    <w:rsid w:val="0F2A6BF7"/>
    <w:rsid w:val="0F8F0B9E"/>
    <w:rsid w:val="0FB33815"/>
    <w:rsid w:val="101320C9"/>
    <w:rsid w:val="10490941"/>
    <w:rsid w:val="109627EE"/>
    <w:rsid w:val="10C92FEB"/>
    <w:rsid w:val="11146DDE"/>
    <w:rsid w:val="12AE2E01"/>
    <w:rsid w:val="13CB14AC"/>
    <w:rsid w:val="144320FF"/>
    <w:rsid w:val="14AF1903"/>
    <w:rsid w:val="15512FFC"/>
    <w:rsid w:val="17136327"/>
    <w:rsid w:val="17A36917"/>
    <w:rsid w:val="17D81760"/>
    <w:rsid w:val="18132BA1"/>
    <w:rsid w:val="181871E2"/>
    <w:rsid w:val="184E0D5B"/>
    <w:rsid w:val="18ED0B63"/>
    <w:rsid w:val="1901297A"/>
    <w:rsid w:val="19166846"/>
    <w:rsid w:val="19381FBE"/>
    <w:rsid w:val="193E51CD"/>
    <w:rsid w:val="1A247F39"/>
    <w:rsid w:val="1A3F7593"/>
    <w:rsid w:val="1ABD78EF"/>
    <w:rsid w:val="1AF57872"/>
    <w:rsid w:val="1B253BCF"/>
    <w:rsid w:val="1B582B17"/>
    <w:rsid w:val="1BE875F7"/>
    <w:rsid w:val="1C043357"/>
    <w:rsid w:val="1C2E1D3F"/>
    <w:rsid w:val="1C301FE5"/>
    <w:rsid w:val="1C3A72F2"/>
    <w:rsid w:val="1D68264A"/>
    <w:rsid w:val="1E9262F1"/>
    <w:rsid w:val="1F075917"/>
    <w:rsid w:val="1F0800CF"/>
    <w:rsid w:val="200E7A62"/>
    <w:rsid w:val="204F6D84"/>
    <w:rsid w:val="20E92B23"/>
    <w:rsid w:val="20F5356E"/>
    <w:rsid w:val="212B34F1"/>
    <w:rsid w:val="214B0096"/>
    <w:rsid w:val="217E3EBD"/>
    <w:rsid w:val="21B248EF"/>
    <w:rsid w:val="21EC2DD1"/>
    <w:rsid w:val="22826AB8"/>
    <w:rsid w:val="22AC2218"/>
    <w:rsid w:val="22BF1DE8"/>
    <w:rsid w:val="22C531F0"/>
    <w:rsid w:val="22CC4076"/>
    <w:rsid w:val="235A13F7"/>
    <w:rsid w:val="23891275"/>
    <w:rsid w:val="23CE0B07"/>
    <w:rsid w:val="247A4912"/>
    <w:rsid w:val="24A513D7"/>
    <w:rsid w:val="25280D43"/>
    <w:rsid w:val="26042D77"/>
    <w:rsid w:val="26122F43"/>
    <w:rsid w:val="267A350A"/>
    <w:rsid w:val="2729052F"/>
    <w:rsid w:val="27CE1680"/>
    <w:rsid w:val="28B408EB"/>
    <w:rsid w:val="28C14634"/>
    <w:rsid w:val="28CD480B"/>
    <w:rsid w:val="29DC3611"/>
    <w:rsid w:val="2A204218"/>
    <w:rsid w:val="2A221B0A"/>
    <w:rsid w:val="2A5003B5"/>
    <w:rsid w:val="2AA72D7A"/>
    <w:rsid w:val="2AC25D3A"/>
    <w:rsid w:val="2B337767"/>
    <w:rsid w:val="2C090FBE"/>
    <w:rsid w:val="2C1E59B7"/>
    <w:rsid w:val="2C521046"/>
    <w:rsid w:val="2C6A21E9"/>
    <w:rsid w:val="2D860324"/>
    <w:rsid w:val="2DBB67DE"/>
    <w:rsid w:val="2EC724D4"/>
    <w:rsid w:val="2EE30257"/>
    <w:rsid w:val="2F17304D"/>
    <w:rsid w:val="2F6F619C"/>
    <w:rsid w:val="2FDC579D"/>
    <w:rsid w:val="301A1F37"/>
    <w:rsid w:val="30592B49"/>
    <w:rsid w:val="30B763F1"/>
    <w:rsid w:val="31164B10"/>
    <w:rsid w:val="317527FB"/>
    <w:rsid w:val="31EA1887"/>
    <w:rsid w:val="324A08C8"/>
    <w:rsid w:val="32CA6045"/>
    <w:rsid w:val="33C6108D"/>
    <w:rsid w:val="3480277F"/>
    <w:rsid w:val="34DA27CE"/>
    <w:rsid w:val="352669C8"/>
    <w:rsid w:val="3580573D"/>
    <w:rsid w:val="360C3CFD"/>
    <w:rsid w:val="3635581E"/>
    <w:rsid w:val="36411DC5"/>
    <w:rsid w:val="364E3DF4"/>
    <w:rsid w:val="36801AE4"/>
    <w:rsid w:val="36B72533"/>
    <w:rsid w:val="36DD2F80"/>
    <w:rsid w:val="36FB5AC5"/>
    <w:rsid w:val="3731092A"/>
    <w:rsid w:val="375256A1"/>
    <w:rsid w:val="37640AF7"/>
    <w:rsid w:val="3806577A"/>
    <w:rsid w:val="381B0882"/>
    <w:rsid w:val="386903D9"/>
    <w:rsid w:val="3922069D"/>
    <w:rsid w:val="39AB03C2"/>
    <w:rsid w:val="3A456B1E"/>
    <w:rsid w:val="3ABF35C5"/>
    <w:rsid w:val="3BB4776F"/>
    <w:rsid w:val="3C755625"/>
    <w:rsid w:val="3CC35367"/>
    <w:rsid w:val="3D4B376A"/>
    <w:rsid w:val="3D684C7B"/>
    <w:rsid w:val="3D787471"/>
    <w:rsid w:val="3DA01F6C"/>
    <w:rsid w:val="3DC405E8"/>
    <w:rsid w:val="3DEB580F"/>
    <w:rsid w:val="3E0A7D09"/>
    <w:rsid w:val="3EFC48A4"/>
    <w:rsid w:val="3F680993"/>
    <w:rsid w:val="3F864C2C"/>
    <w:rsid w:val="401D432B"/>
    <w:rsid w:val="40375193"/>
    <w:rsid w:val="4057649F"/>
    <w:rsid w:val="41D45BD3"/>
    <w:rsid w:val="420D749C"/>
    <w:rsid w:val="42501CEE"/>
    <w:rsid w:val="43713A94"/>
    <w:rsid w:val="43AE540F"/>
    <w:rsid w:val="43E1456E"/>
    <w:rsid w:val="43FB5C5D"/>
    <w:rsid w:val="4476513B"/>
    <w:rsid w:val="44DB2491"/>
    <w:rsid w:val="44EF28CC"/>
    <w:rsid w:val="450B6AE4"/>
    <w:rsid w:val="45830C3D"/>
    <w:rsid w:val="45C27725"/>
    <w:rsid w:val="46AC3F87"/>
    <w:rsid w:val="46F86B73"/>
    <w:rsid w:val="4707784D"/>
    <w:rsid w:val="4758512F"/>
    <w:rsid w:val="48405A03"/>
    <w:rsid w:val="49073C3B"/>
    <w:rsid w:val="4A033AF7"/>
    <w:rsid w:val="4A4F2F90"/>
    <w:rsid w:val="4A767004"/>
    <w:rsid w:val="4A8A4FB4"/>
    <w:rsid w:val="4ABF4011"/>
    <w:rsid w:val="4B033892"/>
    <w:rsid w:val="4C2B21DE"/>
    <w:rsid w:val="4C5C2223"/>
    <w:rsid w:val="4C756225"/>
    <w:rsid w:val="4C823778"/>
    <w:rsid w:val="4D3A51BC"/>
    <w:rsid w:val="4DB06A2E"/>
    <w:rsid w:val="4EA076F3"/>
    <w:rsid w:val="4EEA0B02"/>
    <w:rsid w:val="4F161C74"/>
    <w:rsid w:val="4F432612"/>
    <w:rsid w:val="4F7321BA"/>
    <w:rsid w:val="506A0EB9"/>
    <w:rsid w:val="50A77931"/>
    <w:rsid w:val="51182980"/>
    <w:rsid w:val="516759E9"/>
    <w:rsid w:val="51A92909"/>
    <w:rsid w:val="51FE7D22"/>
    <w:rsid w:val="520A5851"/>
    <w:rsid w:val="52897A01"/>
    <w:rsid w:val="529C767F"/>
    <w:rsid w:val="534C337D"/>
    <w:rsid w:val="53B14CB3"/>
    <w:rsid w:val="54055DD3"/>
    <w:rsid w:val="541A1661"/>
    <w:rsid w:val="54873A1A"/>
    <w:rsid w:val="54B31D35"/>
    <w:rsid w:val="54F709A1"/>
    <w:rsid w:val="558C0369"/>
    <w:rsid w:val="55BF7E59"/>
    <w:rsid w:val="55F219E1"/>
    <w:rsid w:val="55FA085A"/>
    <w:rsid w:val="56796849"/>
    <w:rsid w:val="568F383B"/>
    <w:rsid w:val="56FC522E"/>
    <w:rsid w:val="573B70F8"/>
    <w:rsid w:val="581E20AA"/>
    <w:rsid w:val="59160AA5"/>
    <w:rsid w:val="591937B0"/>
    <w:rsid w:val="591A7D9D"/>
    <w:rsid w:val="59564422"/>
    <w:rsid w:val="59992CD3"/>
    <w:rsid w:val="5A87232E"/>
    <w:rsid w:val="5B9B143E"/>
    <w:rsid w:val="5BA943F5"/>
    <w:rsid w:val="5BDA225C"/>
    <w:rsid w:val="5BE92CA1"/>
    <w:rsid w:val="5CA61194"/>
    <w:rsid w:val="5CA6743B"/>
    <w:rsid w:val="5CC24C3F"/>
    <w:rsid w:val="5CC607DF"/>
    <w:rsid w:val="5CD562DC"/>
    <w:rsid w:val="5D507BC7"/>
    <w:rsid w:val="5D555EEF"/>
    <w:rsid w:val="5DA95371"/>
    <w:rsid w:val="5E754601"/>
    <w:rsid w:val="5E9263FA"/>
    <w:rsid w:val="5EFD56B6"/>
    <w:rsid w:val="5F253865"/>
    <w:rsid w:val="5F4D23F2"/>
    <w:rsid w:val="5F68553D"/>
    <w:rsid w:val="5F8B48CC"/>
    <w:rsid w:val="5F903FD7"/>
    <w:rsid w:val="5FD40A04"/>
    <w:rsid w:val="5FDE661A"/>
    <w:rsid w:val="5FF95088"/>
    <w:rsid w:val="600E5A8C"/>
    <w:rsid w:val="61384994"/>
    <w:rsid w:val="61653698"/>
    <w:rsid w:val="61A411D9"/>
    <w:rsid w:val="61BE02F8"/>
    <w:rsid w:val="622F27F9"/>
    <w:rsid w:val="6237267B"/>
    <w:rsid w:val="624B0B30"/>
    <w:rsid w:val="626872B0"/>
    <w:rsid w:val="626E6F9F"/>
    <w:rsid w:val="63572B69"/>
    <w:rsid w:val="6368125C"/>
    <w:rsid w:val="63D46460"/>
    <w:rsid w:val="63EC6607"/>
    <w:rsid w:val="6507361B"/>
    <w:rsid w:val="65AB13CF"/>
    <w:rsid w:val="661B35FE"/>
    <w:rsid w:val="668E342C"/>
    <w:rsid w:val="66FA0E05"/>
    <w:rsid w:val="675C53C7"/>
    <w:rsid w:val="676B7821"/>
    <w:rsid w:val="676D366B"/>
    <w:rsid w:val="67EE4DA9"/>
    <w:rsid w:val="67EF0DAF"/>
    <w:rsid w:val="68141162"/>
    <w:rsid w:val="686F7714"/>
    <w:rsid w:val="689E7B0D"/>
    <w:rsid w:val="68AC6034"/>
    <w:rsid w:val="69F16623"/>
    <w:rsid w:val="6A1E4205"/>
    <w:rsid w:val="6A7D21E4"/>
    <w:rsid w:val="6A8048C4"/>
    <w:rsid w:val="6A862BA8"/>
    <w:rsid w:val="6AF470F5"/>
    <w:rsid w:val="6B55609B"/>
    <w:rsid w:val="6B8E786E"/>
    <w:rsid w:val="6BE62F9B"/>
    <w:rsid w:val="6C040B09"/>
    <w:rsid w:val="6D161B4A"/>
    <w:rsid w:val="6D4F77FC"/>
    <w:rsid w:val="6DA60819"/>
    <w:rsid w:val="6DFC1C65"/>
    <w:rsid w:val="6E294261"/>
    <w:rsid w:val="6FCF4C01"/>
    <w:rsid w:val="70055A21"/>
    <w:rsid w:val="70A943B2"/>
    <w:rsid w:val="71C01707"/>
    <w:rsid w:val="72834791"/>
    <w:rsid w:val="72B73F04"/>
    <w:rsid w:val="72EA270E"/>
    <w:rsid w:val="736807B6"/>
    <w:rsid w:val="73AA7DCE"/>
    <w:rsid w:val="7420431B"/>
    <w:rsid w:val="747721D2"/>
    <w:rsid w:val="748531AE"/>
    <w:rsid w:val="748C6FA1"/>
    <w:rsid w:val="74C56C10"/>
    <w:rsid w:val="74EC79A6"/>
    <w:rsid w:val="753B5A0E"/>
    <w:rsid w:val="75A60202"/>
    <w:rsid w:val="75FA041F"/>
    <w:rsid w:val="760F49BD"/>
    <w:rsid w:val="76943A81"/>
    <w:rsid w:val="76A47802"/>
    <w:rsid w:val="76E870A0"/>
    <w:rsid w:val="77282245"/>
    <w:rsid w:val="772A02DC"/>
    <w:rsid w:val="77575A7C"/>
    <w:rsid w:val="7837174B"/>
    <w:rsid w:val="78CE2801"/>
    <w:rsid w:val="78CF5800"/>
    <w:rsid w:val="79474968"/>
    <w:rsid w:val="797D3A7A"/>
    <w:rsid w:val="7A940179"/>
    <w:rsid w:val="7AE40DD7"/>
    <w:rsid w:val="7B3A2929"/>
    <w:rsid w:val="7B594F35"/>
    <w:rsid w:val="7BF57737"/>
    <w:rsid w:val="7C466D7C"/>
    <w:rsid w:val="7DC551CE"/>
    <w:rsid w:val="7E082C8E"/>
    <w:rsid w:val="7EB066A2"/>
    <w:rsid w:val="7FCA4E90"/>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19"/>
    <w:semiHidden/>
    <w:unhideWhenUsed/>
    <w:qFormat/>
    <w:uiPriority w:val="99"/>
    <w:pPr>
      <w:tabs>
        <w:tab w:val="center" w:pos="4153"/>
        <w:tab w:val="right" w:pos="8306"/>
      </w:tabs>
      <w:snapToGrid w:val="0"/>
      <w:jc w:val="left"/>
    </w:pPr>
    <w:rPr>
      <w:sz w:val="18"/>
      <w:szCs w:val="18"/>
    </w:rPr>
  </w:style>
  <w:style w:type="paragraph" w:styleId="8">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Strong"/>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2"/>
    <w:link w:val="4"/>
    <w:qFormat/>
    <w:uiPriority w:val="9"/>
    <w:rPr>
      <w:rFonts w:asciiTheme="majorHAnsi" w:hAnsiTheme="majorHAnsi" w:eastAsiaTheme="majorEastAsia" w:cstheme="majorBidi"/>
      <w:b/>
      <w:bCs/>
      <w:sz w:val="32"/>
      <w:szCs w:val="32"/>
    </w:rPr>
  </w:style>
  <w:style w:type="paragraph" w:customStyle="1" w:styleId="1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2"/>
    <w:link w:val="8"/>
    <w:semiHidden/>
    <w:qFormat/>
    <w:uiPriority w:val="99"/>
    <w:rPr>
      <w:rFonts w:ascii="Times New Roman" w:hAnsi="Times New Roman" w:eastAsia="仿宋_GB2312" w:cs="Times New Roman"/>
      <w:sz w:val="18"/>
      <w:szCs w:val="18"/>
    </w:rPr>
  </w:style>
  <w:style w:type="character" w:customStyle="1" w:styleId="19">
    <w:name w:val="页脚 Char"/>
    <w:basedOn w:val="12"/>
    <w:link w:val="7"/>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5042</Words>
  <Characters>5242</Characters>
  <Lines>37</Lines>
  <Paragraphs>10</Paragraphs>
  <TotalTime>0</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2024-06-11T14:50:47Z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474120B5BAEA43AFB94531B1C8881849</vt:lpwstr>
  </property>
</Properties>
</file>