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sz w:val="48"/>
          <w:szCs w:val="48"/>
        </w:rPr>
      </w:pPr>
      <w:bookmarkStart w:id="22" w:name="_GoBack"/>
      <w:bookmarkEnd w:id="22"/>
    </w:p>
    <w:p>
      <w:pPr>
        <w:jc w:val="center"/>
        <w:rPr>
          <w:rFonts w:hint="default" w:ascii="Times New Roman" w:hAnsi="Times New Roman" w:eastAsia="宋体" w:cs="Times New Roman"/>
          <w:b/>
          <w:bCs/>
          <w:sz w:val="48"/>
          <w:szCs w:val="48"/>
        </w:rPr>
      </w:pPr>
    </w:p>
    <w:p>
      <w:pPr>
        <w:jc w:val="center"/>
        <w:rPr>
          <w:rFonts w:hint="default" w:ascii="Times New Roman" w:hAnsi="Times New Roman" w:eastAsia="宋体" w:cs="Times New Roman"/>
          <w:b/>
          <w:bCs/>
          <w:sz w:val="48"/>
          <w:szCs w:val="48"/>
        </w:rPr>
      </w:pPr>
    </w:p>
    <w:p>
      <w:pPr>
        <w:spacing w:line="540" w:lineRule="exact"/>
        <w:jc w:val="center"/>
        <w:rPr>
          <w:rFonts w:hint="default" w:ascii="Times New Roman" w:hAnsi="Times New Roman" w:eastAsia="方正小标宋简体" w:cs="Times New Roman"/>
          <w:b/>
          <w:bCs/>
          <w:kern w:val="0"/>
          <w:sz w:val="48"/>
          <w:szCs w:val="48"/>
        </w:rPr>
      </w:pPr>
      <w:r>
        <w:rPr>
          <w:rFonts w:hint="default" w:ascii="Times New Roman" w:hAnsi="Times New Roman" w:eastAsia="方正小标宋简体" w:cs="Times New Roman"/>
          <w:b/>
          <w:bCs/>
          <w:kern w:val="0"/>
          <w:sz w:val="48"/>
          <w:szCs w:val="48"/>
        </w:rPr>
        <w:t>霍尔果斯市“7x24小时自助服务站”智能化建设资金项目支出绩效评价</w:t>
      </w:r>
    </w:p>
    <w:p>
      <w:pPr>
        <w:spacing w:line="540" w:lineRule="exact"/>
        <w:jc w:val="center"/>
        <w:rPr>
          <w:rFonts w:hint="default" w:ascii="Times New Roman" w:hAnsi="Times New Roman" w:eastAsia="方正小标宋简体" w:cs="Times New Roman"/>
          <w:b/>
          <w:bCs/>
          <w:kern w:val="0"/>
          <w:sz w:val="48"/>
          <w:szCs w:val="48"/>
        </w:rPr>
      </w:pPr>
      <w:r>
        <w:rPr>
          <w:rFonts w:hint="default" w:ascii="Times New Roman" w:hAnsi="Times New Roman" w:eastAsia="方正小标宋简体" w:cs="Times New Roman"/>
          <w:b/>
          <w:bCs/>
          <w:kern w:val="0"/>
          <w:sz w:val="48"/>
          <w:szCs w:val="48"/>
        </w:rPr>
        <w:t>报告</w:t>
      </w:r>
    </w:p>
    <w:p>
      <w:pPr>
        <w:jc w:val="center"/>
        <w:rPr>
          <w:rFonts w:hint="default" w:ascii="Times New Roman" w:hAnsi="Times New Roman" w:eastAsia="宋体" w:cs="Times New Roman"/>
          <w:b/>
          <w:bCs/>
          <w:sz w:val="48"/>
          <w:szCs w:val="48"/>
        </w:rPr>
      </w:pPr>
    </w:p>
    <w:p>
      <w:pPr>
        <w:widowControl/>
        <w:spacing w:line="560" w:lineRule="exact"/>
        <w:jc w:val="center"/>
        <w:rPr>
          <w:rFonts w:hint="default" w:ascii="Times New Roman" w:hAnsi="Times New Roman" w:cs="Times New Roman"/>
          <w:b/>
          <w:kern w:val="0"/>
          <w:sz w:val="50"/>
          <w:szCs w:val="50"/>
          <w:lang w:bidi="en-US"/>
        </w:rPr>
      </w:pPr>
      <w:r>
        <w:rPr>
          <w:rFonts w:hint="default" w:ascii="Times New Roman" w:hAnsi="Times New Roman" w:eastAsia="红豆小标宋简体" w:cs="Times New Roman"/>
          <w:color w:val="000000"/>
          <w:kern w:val="0"/>
          <w:sz w:val="36"/>
          <w:szCs w:val="36"/>
        </w:rPr>
        <w:t>（202</w:t>
      </w:r>
      <w:r>
        <w:rPr>
          <w:rFonts w:hint="default" w:ascii="Times New Roman" w:hAnsi="Times New Roman" w:eastAsia="红豆小标宋简体" w:cs="Times New Roman"/>
          <w:color w:val="000000"/>
          <w:kern w:val="0"/>
          <w:sz w:val="36"/>
          <w:szCs w:val="36"/>
          <w:lang w:val="en-US" w:eastAsia="zh-CN"/>
        </w:rPr>
        <w:t>3</w:t>
      </w:r>
      <w:r>
        <w:rPr>
          <w:rFonts w:hint="default" w:ascii="Times New Roman" w:hAnsi="Times New Roman" w:eastAsia="红豆小标宋简体" w:cs="Times New Roman"/>
          <w:color w:val="000000"/>
          <w:kern w:val="0"/>
          <w:sz w:val="36"/>
          <w:szCs w:val="36"/>
        </w:rPr>
        <w:t>年度）</w:t>
      </w: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560" w:lineRule="exact"/>
        <w:ind w:left="3209" w:leftChars="106" w:hanging="2891" w:hangingChars="900"/>
        <w:jc w:val="both"/>
        <w:rPr>
          <w:rFonts w:hint="default" w:ascii="Times New Roman" w:hAnsi="Times New Roman" w:eastAsia="宋体" w:cs="Times New Roman"/>
          <w:b/>
          <w:bCs/>
          <w:color w:val="000000"/>
          <w:kern w:val="0"/>
          <w:sz w:val="32"/>
          <w:szCs w:val="32"/>
          <w:lang w:val="en-US" w:eastAsia="zh-CN"/>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项目名称：霍尔果斯市“7</w:t>
      </w:r>
      <w:r>
        <w:rPr>
          <w:rFonts w:hint="default" w:ascii="Times New Roman" w:hAnsi="Times New Roman" w:eastAsia="宋体" w:cs="Times New Roman"/>
          <w:b/>
          <w:bCs/>
          <w:color w:val="000000"/>
          <w:kern w:val="0"/>
          <w:sz w:val="32"/>
          <w:szCs w:val="32"/>
          <w:lang w:val="en-US" w:eastAsia="zh-CN"/>
        </w:rPr>
        <w:t>*</w:t>
      </w:r>
      <w:r>
        <w:rPr>
          <w:rFonts w:hint="default" w:ascii="Times New Roman" w:hAnsi="Times New Roman" w:eastAsia="宋体" w:cs="Times New Roman"/>
          <w:b/>
          <w:bCs/>
          <w:color w:val="000000"/>
          <w:kern w:val="0"/>
          <w:sz w:val="32"/>
          <w:szCs w:val="32"/>
        </w:rPr>
        <w:t>24小时自助服务站”智能化建设</w:t>
      </w:r>
      <w:r>
        <w:rPr>
          <w:rFonts w:hint="default" w:ascii="Times New Roman" w:hAnsi="Times New Roman" w:eastAsia="宋体" w:cs="Times New Roman"/>
          <w:b/>
          <w:bCs/>
          <w:color w:val="000000"/>
          <w:kern w:val="0"/>
          <w:sz w:val="32"/>
          <w:szCs w:val="32"/>
          <w:lang w:val="en-US" w:eastAsia="zh-CN"/>
        </w:rPr>
        <w:t>项目</w:t>
      </w:r>
    </w:p>
    <w:p>
      <w:pPr>
        <w:spacing w:line="560" w:lineRule="exact"/>
        <w:jc w:val="both"/>
        <w:rPr>
          <w:rFonts w:hint="default" w:ascii="Times New Roman" w:hAnsi="Times New Roman" w:eastAsia="宋体" w:cs="Times New Roman"/>
          <w:kern w:val="0"/>
          <w:sz w:val="32"/>
          <w:szCs w:val="32"/>
          <w:lang w:eastAsia="zh-CN"/>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实施单位（公章）：</w:t>
      </w:r>
      <w:r>
        <w:rPr>
          <w:rFonts w:hint="default" w:ascii="Times New Roman" w:hAnsi="Times New Roman" w:eastAsia="宋体" w:cs="Times New Roman"/>
          <w:b/>
          <w:bCs/>
          <w:color w:val="000000"/>
          <w:kern w:val="0"/>
          <w:sz w:val="32"/>
          <w:szCs w:val="32"/>
          <w:lang w:eastAsia="zh-CN"/>
        </w:rPr>
        <w:t>霍尔果斯市政务服务中心</w:t>
      </w:r>
    </w:p>
    <w:p>
      <w:pPr>
        <w:spacing w:line="560" w:lineRule="exact"/>
        <w:jc w:val="both"/>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主管部门（公章）：</w:t>
      </w:r>
      <w:r>
        <w:rPr>
          <w:rFonts w:hint="default" w:ascii="Times New Roman" w:hAnsi="Times New Roman" w:eastAsia="宋体" w:cs="Times New Roman"/>
          <w:b/>
          <w:bCs/>
          <w:color w:val="000000"/>
          <w:kern w:val="0"/>
          <w:sz w:val="32"/>
          <w:szCs w:val="32"/>
          <w:lang w:eastAsia="zh-CN"/>
        </w:rPr>
        <w:t>霍尔果斯市政务服务中心</w:t>
      </w:r>
    </w:p>
    <w:p>
      <w:pPr>
        <w:spacing w:line="560" w:lineRule="exact"/>
        <w:ind w:firstLine="321" w:firstLineChars="100"/>
        <w:jc w:val="both"/>
        <w:rPr>
          <w:rFonts w:hint="default" w:ascii="Times New Roman" w:hAnsi="Times New Roman" w:eastAsia="宋体" w:cs="Times New Roman"/>
          <w:kern w:val="0"/>
          <w:sz w:val="32"/>
          <w:szCs w:val="32"/>
          <w:lang w:eastAsia="zh-CN"/>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项目负责人（签章）：</w:t>
      </w:r>
      <w:r>
        <w:rPr>
          <w:rFonts w:hint="default" w:ascii="Times New Roman" w:hAnsi="Times New Roman" w:eastAsia="宋体" w:cs="Times New Roman"/>
          <w:b/>
          <w:bCs/>
          <w:color w:val="000000"/>
          <w:kern w:val="0"/>
          <w:sz w:val="32"/>
          <w:szCs w:val="32"/>
          <w:lang w:eastAsia="zh-CN"/>
        </w:rPr>
        <w:t>仲洁</w:t>
      </w:r>
    </w:p>
    <w:p>
      <w:pPr>
        <w:spacing w:line="560" w:lineRule="exact"/>
        <w:ind w:firstLine="321" w:firstLineChars="100"/>
        <w:jc w:val="both"/>
        <w:rPr>
          <w:rFonts w:hint="default" w:ascii="Times New Roman" w:hAnsi="Times New Roman" w:eastAsia="宋体" w:cs="Times New Roman"/>
          <w:color w:val="000000"/>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填报时间：</w:t>
      </w:r>
      <w:r>
        <w:rPr>
          <w:rFonts w:hint="default" w:ascii="Times New Roman" w:hAnsi="Times New Roman" w:eastAsia="宋体" w:cs="Times New Roman"/>
          <w:color w:val="000000"/>
          <w:kern w:val="0"/>
          <w:sz w:val="32"/>
          <w:szCs w:val="32"/>
        </w:rPr>
        <w:t>202</w:t>
      </w:r>
      <w:r>
        <w:rPr>
          <w:rFonts w:hint="default" w:ascii="Times New Roman" w:hAnsi="Times New Roman" w:eastAsia="宋体" w:cs="Times New Roman"/>
          <w:color w:val="000000"/>
          <w:kern w:val="0"/>
          <w:sz w:val="32"/>
          <w:szCs w:val="32"/>
          <w:lang w:val="en-US" w:eastAsia="zh-CN"/>
        </w:rPr>
        <w:t>4</w:t>
      </w:r>
      <w:r>
        <w:rPr>
          <w:rFonts w:hint="default" w:ascii="Times New Roman" w:hAnsi="Times New Roman" w:eastAsia="宋体" w:cs="Times New Roman"/>
          <w:color w:val="000000"/>
          <w:kern w:val="0"/>
          <w:sz w:val="32"/>
          <w:szCs w:val="32"/>
        </w:rPr>
        <w:t xml:space="preserve">年 </w:t>
      </w:r>
      <w:r>
        <w:rPr>
          <w:rFonts w:hint="default" w:ascii="Times New Roman" w:hAnsi="Times New Roman" w:eastAsia="宋体" w:cs="Times New Roman"/>
          <w:color w:val="000000"/>
          <w:kern w:val="0"/>
          <w:sz w:val="32"/>
          <w:szCs w:val="32"/>
          <w:lang w:val="en-US" w:eastAsia="zh-CN"/>
        </w:rPr>
        <w:t>4</w:t>
      </w:r>
      <w:r>
        <w:rPr>
          <w:rFonts w:hint="default" w:ascii="Times New Roman" w:hAnsi="Times New Roman" w:eastAsia="宋体" w:cs="Times New Roman"/>
          <w:color w:val="000000"/>
          <w:kern w:val="0"/>
          <w:sz w:val="32"/>
          <w:szCs w:val="32"/>
        </w:rPr>
        <w:t xml:space="preserve">月 </w:t>
      </w:r>
      <w:r>
        <w:rPr>
          <w:rFonts w:hint="default" w:ascii="Times New Roman" w:hAnsi="Times New Roman" w:eastAsia="宋体" w:cs="Times New Roman"/>
          <w:color w:val="000000"/>
          <w:kern w:val="0"/>
          <w:sz w:val="32"/>
          <w:szCs w:val="32"/>
          <w:lang w:val="en-US" w:eastAsia="zh-CN"/>
        </w:rPr>
        <w:t>9</w:t>
      </w:r>
      <w:r>
        <w:rPr>
          <w:rFonts w:hint="default" w:ascii="Times New Roman" w:hAnsi="Times New Roman" w:eastAsia="宋体" w:cs="Times New Roman"/>
          <w:color w:val="000000"/>
          <w:kern w:val="0"/>
          <w:sz w:val="32"/>
          <w:szCs w:val="32"/>
        </w:rPr>
        <w:t>日</w:t>
      </w:r>
    </w:p>
    <w:p>
      <w:pPr>
        <w:widowControl/>
        <w:jc w:val="left"/>
        <w:rPr>
          <w:rFonts w:hint="default" w:ascii="Times New Roman" w:hAnsi="Times New Roman" w:eastAsia="宋体" w:cs="Times New Roman"/>
          <w:b/>
          <w:bCs/>
          <w:sz w:val="36"/>
          <w:szCs w:val="36"/>
        </w:rPr>
      </w:pPr>
      <w:r>
        <w:rPr>
          <w:rFonts w:hint="default" w:ascii="Times New Roman" w:hAnsi="Times New Roman" w:eastAsia="宋体" w:cs="Times New Roman"/>
          <w:b/>
          <w:bCs/>
          <w:sz w:val="36"/>
          <w:szCs w:val="36"/>
        </w:rPr>
        <w:br w:type="page"/>
      </w:r>
    </w:p>
    <w:p>
      <w:pPr>
        <w:numPr>
          <w:ilvl w:val="0"/>
          <w:numId w:val="1"/>
        </w:numPr>
        <w:spacing w:line="560" w:lineRule="exact"/>
        <w:rPr>
          <w:rFonts w:hint="default" w:ascii="Times New Roman" w:hAnsi="Times New Roman" w:eastAsia="黑体" w:cs="Times New Roman"/>
          <w:bCs/>
          <w:sz w:val="32"/>
          <w:szCs w:val="32"/>
        </w:rPr>
      </w:pPr>
      <w:bookmarkStart w:id="0" w:name="_Toc68703827"/>
      <w:r>
        <w:rPr>
          <w:rFonts w:hint="default"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（一）</w:t>
      </w:r>
      <w:r>
        <w:rPr>
          <w:rFonts w:hint="default"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lang w:eastAsia="zh-CN"/>
        </w:rPr>
      </w:pPr>
      <w:r>
        <w:rPr>
          <w:rFonts w:hint="default" w:ascii="Times New Roman" w:hAnsi="Times New Roman" w:cs="Times New Roman"/>
          <w:b w:val="0"/>
          <w:bCs w:val="0"/>
          <w:sz w:val="32"/>
          <w:szCs w:val="32"/>
          <w:lang w:val="en-US" w:eastAsia="zh-CN"/>
        </w:rPr>
        <w:t>　</w:t>
      </w:r>
      <w:r>
        <w:rPr>
          <w:rFonts w:hint="default" w:ascii="Times New Roman" w:hAnsi="Times New Roman" w:eastAsia="仿宋_GB2312" w:cs="Times New Roman"/>
          <w:b w:val="0"/>
          <w:bCs w:val="0"/>
          <w:sz w:val="32"/>
          <w:szCs w:val="32"/>
          <w:lang w:val="en-US" w:eastAsia="zh-CN"/>
        </w:rPr>
        <w:t>1.项目背景：</w:t>
      </w:r>
    </w:p>
    <w:p>
      <w:pPr>
        <w:keepNext w:val="0"/>
        <w:keepLines w:val="0"/>
        <w:pageBreakBefore w:val="0"/>
        <w:widowControl w:val="0"/>
        <w:kinsoku/>
        <w:wordWrap/>
        <w:overflowPunct/>
        <w:topLinePunct w:val="0"/>
        <w:autoSpaceDE/>
        <w:autoSpaceDN/>
        <w:bidi w:val="0"/>
        <w:adjustRightInd/>
        <w:snapToGrid/>
        <w:spacing w:after="240" w:afterAutospacing="0" w:line="560" w:lineRule="exact"/>
        <w:ind w:left="600" w:leftChars="200" w:firstLine="640" w:firstLineChars="200"/>
        <w:jc w:val="left"/>
        <w:textAlignment w:val="auto"/>
        <w:rPr>
          <w:rFonts w:hint="default" w:ascii="Times New Roman" w:hAnsi="Times New Roman" w:cs="Times New Roman"/>
          <w:color w:val="FF0000"/>
          <w:sz w:val="32"/>
          <w:szCs w:val="32"/>
        </w:rPr>
      </w:pPr>
      <w:r>
        <w:rPr>
          <w:rFonts w:hint="default" w:ascii="Times New Roman" w:hAnsi="Times New Roman" w:eastAsia="仿宋_GB2312" w:cs="Times New Roman"/>
          <w:color w:val="333333"/>
          <w:kern w:val="2"/>
          <w:sz w:val="32"/>
          <w:szCs w:val="32"/>
          <w:lang w:val="en-US" w:eastAsia="zh-CN" w:bidi="ar"/>
        </w:rPr>
        <w:t>李</w:t>
      </w:r>
      <w:r>
        <w:rPr>
          <w:rFonts w:hint="default" w:ascii="Times New Roman" w:hAnsi="Times New Roman" w:cs="Times New Roman"/>
          <w:color w:val="000000" w:themeColor="text1"/>
          <w:sz w:val="32"/>
          <w:szCs w:val="32"/>
          <w:lang w:val="en-US" w:eastAsia="zh-CN"/>
          <w14:textFill>
            <w14:solidFill>
              <w14:schemeClr w14:val="tx1"/>
            </w14:solidFill>
          </w14:textFill>
        </w:rPr>
        <w:t>克强总理在全国深化“放管服”改革优化营商环境电视电话会议上强调，各级政务机构要进一步拓展“互联网+政务服务”，全面推行“不见面审批”，提供“24 小时不打烊”的在线政务服务。自治区政务服务和公共资源交易中心按照自治区统一工作部署安排，将《自治区各级政务服务大厅集中服务模式建设指引(1.0版)》印发至各地州，要求各地州、县市加强综合性实体政务大厅体系建设，预算152万元。结合实际打造自助服务区，提供“一站式”自助政务服务。</w:t>
      </w:r>
      <w:r>
        <w:rPr>
          <w:rFonts w:hint="default" w:ascii="Times New Roman" w:hAnsi="Times New Roman" w:cs="Times New Roman"/>
          <w:color w:val="000000" w:themeColor="text1"/>
          <w:sz w:val="32"/>
          <w:szCs w:val="32"/>
          <w:lang w:val="en-US" w:eastAsia="zh-CN"/>
          <w14:textFill>
            <w14:solidFill>
              <w14:schemeClr w14:val="tx1"/>
            </w14:solidFill>
          </w14:textFill>
        </w:rPr>
        <w:br w:type="textWrapping"/>
      </w:r>
      <w:r>
        <w:rPr>
          <w:rFonts w:hint="default" w:ascii="Times New Roman" w:hAnsi="Times New Roman" w:cs="Times New Roman"/>
          <w:color w:val="000000" w:themeColor="text1"/>
          <w:sz w:val="32"/>
          <w:szCs w:val="32"/>
          <w:lang w:val="en-US" w:eastAsia="zh-CN"/>
          <w14:textFill>
            <w14:solidFill>
              <w14:schemeClr w14:val="tx1"/>
            </w14:solidFill>
          </w14:textFill>
        </w:rPr>
        <w:t xml:space="preserve">    按照“马上办、网上办、就近办、一次办”的要求，</w:t>
      </w:r>
      <w:r>
        <w:rPr>
          <w:rFonts w:hint="eastAsia" w:cs="Times New Roman"/>
          <w:color w:val="000000" w:themeColor="text1"/>
          <w:sz w:val="32"/>
          <w:szCs w:val="32"/>
          <w:lang w:val="en-US" w:eastAsia="zh-CN"/>
          <w14:textFill>
            <w14:solidFill>
              <w14:schemeClr w14:val="tx1"/>
            </w14:solidFill>
          </w14:textFill>
        </w:rPr>
        <w:t>市委、市政府</w:t>
      </w:r>
      <w:r>
        <w:rPr>
          <w:rFonts w:hint="default" w:ascii="Times New Roman" w:hAnsi="Times New Roman" w:cs="Times New Roman"/>
          <w:color w:val="000000" w:themeColor="text1"/>
          <w:sz w:val="32"/>
          <w:szCs w:val="32"/>
          <w:lang w:val="en-US" w:eastAsia="zh-CN"/>
          <w14:textFill>
            <w14:solidFill>
              <w14:schemeClr w14:val="tx1"/>
            </w14:solidFill>
          </w14:textFill>
        </w:rPr>
        <w:t>大力推动“互联网+政务服务”，推进更多事项实现网上可办，目前全市网上可办率在70%以上，但实际应用中网上办理率 不足40%。市政务服务中心拟建设“7x24 小时自助服务站”，工作时间可通过实体大厅和自助服务站的有机联动，引导、辅助广大企业和群众网上办、自助办，逐步提高政务服务网办率。目前已投入使用，同时可打破时间限制，满足“随时办”需求，提升政务服务便捷度和群众获得感。</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cs="Times New Roman"/>
          <w:b w:val="0"/>
          <w:bCs w:val="0"/>
          <w:sz w:val="32"/>
          <w:szCs w:val="32"/>
          <w:lang w:eastAsia="zh-CN"/>
        </w:rPr>
        <w:t>　</w:t>
      </w:r>
      <w:r>
        <w:rPr>
          <w:rFonts w:hint="default" w:ascii="Times New Roman" w:hAnsi="Times New Roman" w:eastAsia="仿宋_GB2312" w:cs="Times New Roman"/>
          <w:b w:val="0"/>
          <w:bCs w:val="0"/>
          <w:sz w:val="32"/>
          <w:szCs w:val="32"/>
          <w:lang w:eastAsia="zh-CN"/>
        </w:rPr>
        <w:t>2</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cs="Times New Roman"/>
          <w:sz w:val="32"/>
          <w:szCs w:val="32"/>
        </w:rPr>
        <w:t>主要内容：为持续推进政府职能转变和“放管服”改革走深走实，依照自治区统一工作部署安排及自治区政务服务与公共资源交易中心《自治区各级政务服务大厅集中服务模式建设指引（1.0 版）》工作要求，按照《霍尔果斯市委财经委员会2022年第4次会议纪要》（霍市党财纪〔2022〕4号）要求，政务服务中心立足企业和群众需求，采用高科技手段，引进智能化、信息化服务设备，积极打造集便民服务、高效利企于一体的“7×24小时自助服务站”，</w:t>
      </w:r>
      <w:r>
        <w:rPr>
          <w:rFonts w:hint="default" w:ascii="Times New Roman" w:hAnsi="Times New Roman" w:cs="Times New Roman"/>
          <w:sz w:val="32"/>
          <w:szCs w:val="32"/>
          <w:lang w:eastAsia="zh-CN"/>
        </w:rPr>
        <w:t>从硬件和软件上，</w:t>
      </w:r>
      <w:r>
        <w:rPr>
          <w:rFonts w:hint="default" w:ascii="Times New Roman" w:hAnsi="Times New Roman" w:cs="Times New Roman"/>
          <w:sz w:val="32"/>
          <w:szCs w:val="32"/>
        </w:rPr>
        <w:t>最大限度为市场主体和各族群众提供便利条件和精准化服务。</w:t>
      </w:r>
    </w:p>
    <w:p>
      <w:pPr>
        <w:spacing w:line="560" w:lineRule="exact"/>
        <w:ind w:firstLine="640" w:firstLineChars="200"/>
        <w:rPr>
          <w:rFonts w:hint="default" w:ascii="Times New Roman" w:hAnsi="Times New Roman" w:cs="Times New Roman"/>
        </w:rPr>
      </w:pPr>
      <w:r>
        <w:rPr>
          <w:rFonts w:hint="default" w:ascii="Times New Roman" w:hAnsi="Times New Roman" w:cs="Times New Roman"/>
          <w:sz w:val="32"/>
          <w:szCs w:val="32"/>
        </w:rPr>
        <w:t>实施情况：</w:t>
      </w:r>
      <w:r>
        <w:rPr>
          <w:rFonts w:hint="default" w:ascii="Times New Roman" w:hAnsi="Times New Roman" w:eastAsia="仿宋_GB2312" w:cs="Times New Roman"/>
          <w:sz w:val="32"/>
          <w:szCs w:val="32"/>
        </w:rPr>
        <w:t>项目目前已经完成实际设立的目标，项目在实施过程中严格按照目标设立的各阶段任务进行开展工作，在前期立项过程中严格把质量关，建立安全防护机制，保证项目实施各阶段安全顺利进行。</w:t>
      </w:r>
      <w:r>
        <w:rPr>
          <w:rFonts w:hint="default" w:ascii="Times New Roman" w:hAnsi="Times New Roman" w:cs="Times New Roman"/>
          <w:sz w:val="32"/>
          <w:szCs w:val="32"/>
          <w:lang w:eastAsia="zh-CN"/>
        </w:rPr>
        <w:t>目前，项目已经顺利投入使用中。</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sz w:val="32"/>
          <w:szCs w:val="32"/>
          <w:lang w:eastAsia="zh-CN"/>
        </w:rPr>
      </w:pPr>
      <w:r>
        <w:rPr>
          <w:rFonts w:hint="default" w:ascii="Times New Roman" w:hAnsi="Times New Roman" w:cs="Times New Roman"/>
          <w:b w:val="0"/>
          <w:bCs w:val="0"/>
          <w:sz w:val="32"/>
          <w:szCs w:val="32"/>
          <w:lang w:eastAsia="zh-CN"/>
        </w:rPr>
        <w:t>　3</w:t>
      </w:r>
      <w:r>
        <w:rPr>
          <w:rFonts w:hint="default"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sz w:val="32"/>
          <w:szCs w:val="32"/>
        </w:rPr>
        <w:t>资金投入情况：</w:t>
      </w:r>
      <w:r>
        <w:rPr>
          <w:rFonts w:hint="default" w:ascii="Times New Roman" w:hAnsi="Times New Roman" w:cs="Times New Roman"/>
          <w:color w:val="auto"/>
          <w:sz w:val="32"/>
          <w:szCs w:val="32"/>
        </w:rPr>
        <w:t>该项目年初预算数</w:t>
      </w:r>
      <w:r>
        <w:rPr>
          <w:rFonts w:hint="default" w:ascii="Times New Roman" w:hAnsi="Times New Roman" w:cs="Times New Roman"/>
          <w:color w:val="auto"/>
          <w:sz w:val="32"/>
          <w:szCs w:val="32"/>
          <w:lang w:val="en-US" w:eastAsia="zh-CN"/>
        </w:rPr>
        <w:t>152</w:t>
      </w:r>
      <w:r>
        <w:rPr>
          <w:rFonts w:hint="default" w:ascii="Times New Roman" w:hAnsi="Times New Roman" w:cs="Times New Roman"/>
          <w:color w:val="auto"/>
          <w:sz w:val="32"/>
          <w:szCs w:val="32"/>
        </w:rPr>
        <w:t>万元，全年预算数</w:t>
      </w:r>
      <w:r>
        <w:rPr>
          <w:rFonts w:hint="default" w:ascii="Times New Roman" w:hAnsi="Times New Roman" w:cs="Times New Roman"/>
          <w:color w:val="auto"/>
          <w:sz w:val="32"/>
          <w:szCs w:val="32"/>
          <w:lang w:val="en-US" w:eastAsia="zh-CN"/>
        </w:rPr>
        <w:t>152</w:t>
      </w:r>
      <w:r>
        <w:rPr>
          <w:rFonts w:hint="default" w:ascii="Times New Roman" w:hAnsi="Times New Roman" w:cs="Times New Roman"/>
          <w:color w:val="auto"/>
          <w:sz w:val="32"/>
          <w:szCs w:val="32"/>
        </w:rPr>
        <w:t>万元，实际总投入</w:t>
      </w:r>
      <w:r>
        <w:rPr>
          <w:rFonts w:hint="default" w:ascii="Times New Roman" w:hAnsi="Times New Roman" w:cs="Times New Roman"/>
          <w:color w:val="auto"/>
          <w:sz w:val="32"/>
          <w:szCs w:val="32"/>
          <w:lang w:val="en-US" w:eastAsia="zh-CN"/>
        </w:rPr>
        <w:t>152</w:t>
      </w:r>
      <w:r>
        <w:rPr>
          <w:rFonts w:hint="default" w:ascii="Times New Roman" w:hAnsi="Times New Roman" w:cs="Times New Roman"/>
          <w:color w:val="auto"/>
          <w:sz w:val="32"/>
          <w:szCs w:val="32"/>
        </w:rPr>
        <w:t>万元，该项目资金已全部落实到位</w:t>
      </w:r>
      <w:r>
        <w:rPr>
          <w:rFonts w:hint="default" w:ascii="Times New Roman" w:hAnsi="Times New Roman" w:cs="Times New Roman"/>
          <w:color w:val="auto"/>
          <w:sz w:val="32"/>
          <w:szCs w:val="32"/>
          <w:lang w:val="en-US" w:eastAsia="zh-CN"/>
        </w:rPr>
        <w:t>152万元</w:t>
      </w:r>
      <w:r>
        <w:rPr>
          <w:rFonts w:hint="default" w:ascii="Times New Roman" w:hAnsi="Times New Roman" w:cs="Times New Roman"/>
          <w:color w:val="auto"/>
          <w:sz w:val="32"/>
          <w:szCs w:val="32"/>
        </w:rPr>
        <w:t>，资金来源为</w:t>
      </w:r>
      <w:r>
        <w:rPr>
          <w:rFonts w:hint="eastAsia" w:ascii="Times New Roman" w:hAnsi="Times New Roman" w:cs="Times New Roman"/>
          <w:color w:val="auto"/>
          <w:sz w:val="32"/>
          <w:szCs w:val="32"/>
          <w:lang w:eastAsia="zh-CN"/>
        </w:rPr>
        <w:t>本级财政资金</w:t>
      </w:r>
      <w:r>
        <w:rPr>
          <w:rFonts w:hint="default" w:ascii="Times New Roman" w:hAnsi="Times New Roman"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cs="Times New Roman"/>
          <w:color w:val="auto"/>
          <w:sz w:val="32"/>
          <w:szCs w:val="32"/>
        </w:rPr>
        <w:t>资金使用情况：该项目年初预算数</w:t>
      </w:r>
      <w:r>
        <w:rPr>
          <w:rFonts w:hint="default" w:ascii="Times New Roman" w:hAnsi="Times New Roman" w:cs="Times New Roman"/>
          <w:color w:val="auto"/>
          <w:sz w:val="32"/>
          <w:szCs w:val="32"/>
          <w:lang w:val="en-US" w:eastAsia="zh-CN"/>
        </w:rPr>
        <w:t>152</w:t>
      </w:r>
      <w:r>
        <w:rPr>
          <w:rFonts w:hint="default" w:ascii="Times New Roman" w:hAnsi="Times New Roman" w:cs="Times New Roman"/>
          <w:color w:val="auto"/>
          <w:sz w:val="32"/>
          <w:szCs w:val="32"/>
        </w:rPr>
        <w:t>万元，全年预算数</w:t>
      </w:r>
      <w:r>
        <w:rPr>
          <w:rFonts w:hint="default" w:ascii="Times New Roman" w:hAnsi="Times New Roman" w:cs="Times New Roman"/>
          <w:color w:val="auto"/>
          <w:sz w:val="32"/>
          <w:szCs w:val="32"/>
          <w:lang w:val="en-US" w:eastAsia="zh-CN"/>
        </w:rPr>
        <w:t>152</w:t>
      </w:r>
      <w:r>
        <w:rPr>
          <w:rFonts w:hint="default" w:ascii="Times New Roman" w:hAnsi="Times New Roman" w:cs="Times New Roman"/>
          <w:color w:val="auto"/>
          <w:sz w:val="32"/>
          <w:szCs w:val="32"/>
        </w:rPr>
        <w:t>万元，全年执行数</w:t>
      </w:r>
      <w:r>
        <w:rPr>
          <w:rFonts w:hint="default" w:ascii="Times New Roman" w:hAnsi="Times New Roman" w:cs="Times New Roman"/>
          <w:color w:val="auto"/>
          <w:sz w:val="32"/>
          <w:szCs w:val="32"/>
          <w:lang w:val="en-US" w:eastAsia="zh-CN"/>
        </w:rPr>
        <w:t>152</w:t>
      </w:r>
      <w:r>
        <w:rPr>
          <w:rFonts w:hint="default" w:ascii="Times New Roman" w:hAnsi="Times New Roman" w:cs="Times New Roman"/>
          <w:color w:val="auto"/>
          <w:sz w:val="32"/>
          <w:szCs w:val="32"/>
        </w:rPr>
        <w:t>万元，预算执行率为</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主要</w:t>
      </w:r>
      <w:r>
        <w:rPr>
          <w:rFonts w:hint="default" w:ascii="Times New Roman" w:hAnsi="Times New Roman" w:cs="Times New Roman"/>
          <w:color w:val="auto"/>
          <w:sz w:val="32"/>
          <w:szCs w:val="32"/>
        </w:rPr>
        <w:t>用于：自助服务站建设成本</w:t>
      </w:r>
      <w:r>
        <w:rPr>
          <w:rFonts w:hint="default" w:ascii="Times New Roman" w:hAnsi="Times New Roman" w:cs="Times New Roman"/>
          <w:color w:val="auto"/>
          <w:sz w:val="32"/>
          <w:szCs w:val="32"/>
          <w:lang w:val="en-US" w:eastAsia="zh-CN"/>
        </w:rPr>
        <w:t>77.9</w:t>
      </w:r>
      <w:r>
        <w:rPr>
          <w:rFonts w:hint="default" w:ascii="Times New Roman" w:hAnsi="Times New Roman" w:cs="Times New Roman"/>
          <w:color w:val="auto"/>
          <w:sz w:val="32"/>
          <w:szCs w:val="32"/>
        </w:rPr>
        <w:t>万元</w:t>
      </w:r>
      <w:r>
        <w:rPr>
          <w:rFonts w:hint="default" w:ascii="Times New Roman" w:hAnsi="Times New Roman" w:cs="Times New Roman"/>
          <w:color w:val="auto"/>
          <w:sz w:val="32"/>
          <w:szCs w:val="32"/>
          <w:lang w:eastAsia="zh-CN"/>
        </w:rPr>
        <w:t>，自助服务站工作设备采购</w:t>
      </w:r>
      <w:r>
        <w:rPr>
          <w:rFonts w:hint="default" w:ascii="Times New Roman" w:hAnsi="Times New Roman" w:cs="Times New Roman"/>
          <w:color w:val="auto"/>
          <w:sz w:val="32"/>
          <w:szCs w:val="32"/>
          <w:lang w:val="en-US" w:eastAsia="zh-CN"/>
        </w:rPr>
        <w:t>64.7万元，自助服务站智能化管理系统采购4.7万元/个，共2个。</w:t>
      </w:r>
      <w:bookmarkStart w:id="2" w:name="_Toc68703829"/>
    </w:p>
    <w:p>
      <w:pPr>
        <w:spacing w:line="560" w:lineRule="exact"/>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cs="Times New Roman"/>
          <w:color w:val="FF0000"/>
          <w:sz w:val="32"/>
          <w:szCs w:val="32"/>
          <w:lang w:eastAsia="zh-CN"/>
        </w:rPr>
        <w:t>　</w:t>
      </w:r>
      <w:r>
        <w:rPr>
          <w:rFonts w:hint="default" w:ascii="Times New Roman" w:hAnsi="Times New Roman" w:cs="Times New Roman"/>
          <w:b w:val="0"/>
          <w:bCs w:val="0"/>
          <w:sz w:val="32"/>
          <w:szCs w:val="32"/>
          <w:lang w:eastAsia="zh-CN"/>
        </w:rPr>
        <w:t>　</w:t>
      </w:r>
      <w:r>
        <w:rPr>
          <w:rFonts w:hint="default" w:ascii="Times New Roman" w:hAnsi="Times New Roman" w:eastAsia="仿宋_GB2312" w:cs="Times New Roman"/>
          <w:b w:val="0"/>
          <w:bCs w:val="0"/>
          <w:sz w:val="32"/>
          <w:szCs w:val="32"/>
          <w:lang w:val="en-US" w:eastAsia="zh-CN"/>
        </w:rPr>
        <w:t>1.总体目标：为持续推进政府职能转变和“放管服”改革走深走实，依照自治区统一工作部署安排及自治区政务服务与公共资源交易中心《自治区各级政务服务大厅集中服务模式建设指引（1.0版）》工作要求，政务服务中心立足企业和群众需求，采用高科技手段，引进智能化、信息化服务设备，积极打造集便民服务、高效利企于一体的“7*24小时自助服务站”，最大限度为市场主体和各族群众提供便利条件和精准化服务。</w:t>
      </w:r>
    </w:p>
    <w:p>
      <w:pPr>
        <w:spacing w:line="560" w:lineRule="exact"/>
        <w:rPr>
          <w:rFonts w:hint="default" w:ascii="Times New Roman" w:hAnsi="Times New Roman" w:cs="Times New Roman"/>
          <w:b w:val="0"/>
          <w:bCs w:val="0"/>
          <w:color w:val="FF0000"/>
          <w:sz w:val="32"/>
          <w:szCs w:val="32"/>
          <w:lang w:val="en-US" w:eastAsia="zh-CN"/>
        </w:rPr>
      </w:pPr>
      <w:r>
        <w:rPr>
          <w:rFonts w:hint="default" w:ascii="Times New Roman" w:hAnsi="Times New Roman" w:cs="Times New Roman"/>
          <w:b w:val="0"/>
          <w:bCs w:val="0"/>
          <w:sz w:val="32"/>
          <w:szCs w:val="32"/>
          <w:lang w:eastAsia="zh-CN"/>
        </w:rPr>
        <w:t>　</w:t>
      </w:r>
      <w:r>
        <w:rPr>
          <w:rFonts w:hint="default" w:ascii="Times New Roman" w:hAnsi="Times New Roman" w:eastAsia="仿宋_GB2312" w:cs="Times New Roman"/>
          <w:b w:val="0"/>
          <w:bCs w:val="0"/>
          <w:sz w:val="32"/>
          <w:szCs w:val="32"/>
          <w:lang w:val="en-US" w:eastAsia="zh-CN"/>
        </w:rPr>
        <w:t>2.阶段性目标：</w:t>
      </w:r>
      <w:bookmarkStart w:id="3" w:name="_Toc68703830"/>
      <w:r>
        <w:rPr>
          <w:rFonts w:hint="default" w:ascii="Times New Roman" w:hAnsi="Times New Roman" w:eastAsia="仿宋_GB2312" w:cs="Times New Roman"/>
          <w:b w:val="0"/>
          <w:bCs w:val="0"/>
          <w:sz w:val="32"/>
          <w:szCs w:val="32"/>
          <w:lang w:val="en-US" w:eastAsia="zh-CN"/>
        </w:rPr>
        <w:t>项目于2023年10月完成建设，进入调试阶段，2023年11月投入使用。</w:t>
      </w:r>
    </w:p>
    <w:p>
      <w:pPr>
        <w:spacing w:line="560" w:lineRule="exact"/>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default" w:ascii="Times New Roman" w:hAnsi="Times New Roman" w:eastAsia="楷体_GB2312" w:cs="Times New Roman"/>
          <w:b/>
          <w:bCs/>
          <w:sz w:val="32"/>
          <w:szCs w:val="32"/>
          <w:lang w:eastAsia="zh-CN"/>
        </w:rPr>
      </w:pPr>
      <w:bookmarkStart w:id="4" w:name="_Toc68703831"/>
      <w:r>
        <w:rPr>
          <w:rFonts w:hint="default"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（2）项目绩效管理财政支出运行提供及时、有效的信息。</w:t>
      </w:r>
    </w:p>
    <w:p>
      <w:pPr>
        <w:pStyle w:val="23"/>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仿宋_GB2312" w:cs="Times New Roman"/>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default" w:ascii="Times New Roman" w:hAnsi="Times New Roman" w:eastAsia="仿宋_GB2312" w:cs="Times New Roman"/>
          <w:b w:val="0"/>
          <w:bCs w:val="0"/>
          <w:sz w:val="32"/>
          <w:szCs w:val="32"/>
          <w:lang w:val="en-US" w:eastAsia="zh-CN"/>
        </w:rPr>
      </w:pPr>
      <w:r>
        <w:rPr>
          <w:rFonts w:hint="default" w:ascii="Times New Roman" w:hAnsi="Times New Roman" w:cs="Times New Roman"/>
          <w:b/>
          <w:bCs/>
          <w:sz w:val="30"/>
          <w:szCs w:val="30"/>
          <w:lang w:val="en-US" w:eastAsia="zh-CN"/>
        </w:rPr>
        <w:t>　</w:t>
      </w:r>
      <w:r>
        <w:rPr>
          <w:rFonts w:hint="default"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hint="default" w:ascii="Times New Roman" w:hAnsi="Times New Roman" w:cs="Times New Roman"/>
          <w:color w:val="FF0000"/>
          <w:sz w:val="32"/>
          <w:szCs w:val="32"/>
        </w:rPr>
      </w:pPr>
      <w:r>
        <w:rPr>
          <w:rFonts w:hint="default" w:ascii="Times New Roman" w:hAnsi="Times New Roman" w:eastAsia="仿宋_GB2312" w:cs="Times New Roman"/>
          <w:sz w:val="32"/>
          <w:szCs w:val="32"/>
        </w:rPr>
        <w:t>霍尔果斯市“7x24小时自助服务站”智能化建设</w:t>
      </w:r>
      <w:r>
        <w:rPr>
          <w:rFonts w:hint="default"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rPr>
        <w:t>所包含的全部项目内容。</w:t>
      </w:r>
    </w:p>
    <w:p>
      <w:pPr>
        <w:spacing w:line="560" w:lineRule="exact"/>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eastAsia="仿宋_GB2312" w:cs="Times New Roman"/>
          <w:sz w:val="32"/>
          <w:szCs w:val="32"/>
        </w:rPr>
        <w:t>“7x24小时自助服务站”智能化建设</w:t>
      </w:r>
      <w:r>
        <w:rPr>
          <w:rFonts w:hint="default" w:ascii="Times New Roman" w:hAnsi="Times New Roman" w:eastAsia="仿宋_GB2312" w:cs="Times New Roman"/>
          <w:sz w:val="32"/>
          <w:szCs w:val="32"/>
          <w:lang w:val="en-US" w:eastAsia="zh-CN"/>
        </w:rPr>
        <w:t>项目</w:t>
      </w:r>
      <w:r>
        <w:rPr>
          <w:rFonts w:hint="default" w:ascii="Times New Roman" w:hAnsi="Times New Roman" w:cs="Times New Roman"/>
          <w:color w:val="auto"/>
          <w:sz w:val="32"/>
          <w:szCs w:val="32"/>
        </w:rPr>
        <w:t>评价，评价核心为资金的支出完成情况和效果。</w:t>
      </w:r>
    </w:p>
    <w:p>
      <w:pPr>
        <w:pStyle w:val="7"/>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5" w:name="_Toc68703832"/>
      <w:r>
        <w:rPr>
          <w:rFonts w:hint="default" w:ascii="Times New Roman" w:hAnsi="Times New Roman" w:eastAsia="楷体_GB2312" w:cs="Times New Roman"/>
          <w:b/>
          <w:bCs/>
          <w:kern w:val="2"/>
          <w:sz w:val="32"/>
          <w:szCs w:val="32"/>
          <w:lang w:val="en-US" w:eastAsia="zh-CN" w:bidi="ar-SA"/>
        </w:rPr>
        <w:t>（二）绩效评价原则、评价指标体系</w:t>
      </w:r>
      <w:r>
        <w:rPr>
          <w:rFonts w:hint="default" w:ascii="Times New Roman" w:hAnsi="Times New Roman" w:eastAsia="楷体_GB2312" w:cs="Times New Roman"/>
          <w:b/>
          <w:bCs/>
          <w:sz w:val="32"/>
          <w:szCs w:val="32"/>
        </w:rPr>
        <w:t>（详情见表1）</w:t>
      </w:r>
      <w:r>
        <w:rPr>
          <w:rFonts w:hint="default"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1</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3"/>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eastAsia="仿宋_GB2312" w:cs="Times New Roman"/>
          <w:b w:val="0"/>
          <w:bCs w:val="0"/>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outlineLvl w:val="9"/>
        <w:rPr>
          <w:rFonts w:hint="default" w:ascii="Times New Roman" w:hAnsi="Times New Roman" w:cs="Times New Roman"/>
          <w:sz w:val="32"/>
          <w:szCs w:val="32"/>
        </w:rPr>
      </w:pPr>
      <w:r>
        <w:rPr>
          <w:rFonts w:hint="default" w:ascii="Times New Roman" w:hAnsi="Times New Roman" w:cs="Times New Roman"/>
        </w:rPr>
        <w:t>2、</w:t>
      </w:r>
      <w:r>
        <w:rPr>
          <w:rFonts w:hint="default" w:ascii="Times New Roman" w:hAnsi="Times New Roman" w:cs="Times New Roman"/>
          <w:sz w:val="32"/>
          <w:szCs w:val="32"/>
        </w:rPr>
        <w:t>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outlineLvl w:val="9"/>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w:t>
      </w:r>
      <w:r>
        <w:rPr>
          <w:rFonts w:hint="default" w:ascii="Times New Roman" w:hAnsi="Times New Roman" w:eastAsia="仿宋_GB2312" w:cs="Times New Roman"/>
          <w:color w:val="000000"/>
          <w:spacing w:val="17"/>
          <w:w w:val="95"/>
          <w:sz w:val="32"/>
          <w:szCs w:val="32"/>
        </w:rPr>
        <w:t>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3"/>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3"/>
        <w:widowControl w:val="0"/>
        <w:spacing w:before="0" w:after="0" w:line="560" w:lineRule="exact"/>
        <w:ind w:firstLine="708" w:firstLineChars="200"/>
        <w:jc w:val="both"/>
        <w:outlineLvl w:val="9"/>
        <w:rPr>
          <w:rFonts w:hint="default" w:ascii="Times New Roman" w:hAnsi="Times New Roman" w:cs="Times New Roman"/>
        </w:rPr>
      </w:pPr>
      <w:r>
        <w:rPr>
          <w:rFonts w:hint="default" w:ascii="Times New Roman" w:hAnsi="Times New Roman" w:eastAsia="仿宋_GB2312" w:cs="Times New Roman"/>
          <w:b w:val="0"/>
          <w:bCs w:val="0"/>
          <w:color w:val="000000"/>
          <w:spacing w:val="17"/>
        </w:rPr>
        <w:t>具体评价指标体系详情见附件1</w:t>
      </w:r>
    </w:p>
    <w:p>
      <w:pPr>
        <w:pStyle w:val="5"/>
        <w:rPr>
          <w:rFonts w:hint="default" w:ascii="Times New Roman" w:hAnsi="Times New Roman" w:cs="Times New Roman"/>
          <w:sz w:val="32"/>
          <w:szCs w:val="32"/>
        </w:rPr>
      </w:pPr>
      <w:r>
        <w:rPr>
          <w:rFonts w:hint="default" w:ascii="Times New Roman" w:hAnsi="Times New Roman" w:cs="Times New Roman"/>
          <w:sz w:val="32"/>
          <w:szCs w:val="32"/>
        </w:rPr>
        <w:t>3、评价方法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Cs/>
          <w:color w:val="FF0000"/>
          <w:sz w:val="32"/>
          <w:szCs w:val="32"/>
          <w:lang w:eastAsia="zh-CN"/>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（1）比较法</w:t>
      </w:r>
    </w:p>
    <w:p>
      <w:pPr>
        <w:spacing w:line="560" w:lineRule="exact"/>
        <w:ind w:firstLine="708" w:firstLineChars="200"/>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通过对绩效目标与实施效果、历史与当期情况，综合分析绩效目标实现程度。对</w:t>
      </w:r>
      <w:r>
        <w:rPr>
          <w:rFonts w:hint="default" w:ascii="Times New Roman" w:hAnsi="Times New Roman" w:eastAsia="仿宋_GB2312" w:cs="Times New Roman"/>
          <w:color w:val="000000" w:themeColor="text1"/>
          <w:sz w:val="32"/>
          <w:szCs w:val="32"/>
          <w14:textFill>
            <w14:solidFill>
              <w14:schemeClr w14:val="tx1"/>
            </w14:solidFill>
          </w14:textFill>
        </w:rPr>
        <w:t>项目</w:t>
      </w:r>
      <w:r>
        <w:rPr>
          <w:rFonts w:hint="default" w:ascii="Times New Roman" w:hAnsi="Times New Roman" w:eastAsia="仿宋_GB2312" w:cs="Times New Roman"/>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（2）因素分析法</w:t>
      </w:r>
    </w:p>
    <w:p>
      <w:pPr>
        <w:spacing w:line="560" w:lineRule="exact"/>
        <w:ind w:firstLine="708" w:firstLineChars="200"/>
        <w:rPr>
          <w:rFonts w:hint="default" w:ascii="Times New Roman" w:hAnsi="Times New Roman" w:eastAsia="仿宋_GB2312" w:cs="Times New Roman"/>
          <w:bCs/>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hint="default" w:ascii="Times New Roman" w:hAnsi="Times New Roman" w:eastAsia="仿宋_GB2312" w:cs="Times New Roman"/>
          <w:color w:val="000000" w:themeColor="text1"/>
          <w:sz w:val="32"/>
          <w:szCs w:val="32"/>
          <w14:textFill>
            <w14:solidFill>
              <w14:schemeClr w14:val="tx1"/>
            </w14:solidFill>
          </w14:textFill>
        </w:rPr>
        <w:t>项目</w:t>
      </w:r>
      <w:r>
        <w:rPr>
          <w:rFonts w:hint="default" w:ascii="Times New Roman" w:hAnsi="Times New Roman" w:eastAsia="仿宋_GB2312" w:cs="Times New Roman"/>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rPr>
      </w:pPr>
      <w:r>
        <w:rPr>
          <w:rFonts w:hint="default" w:ascii="Times New Roman" w:hAnsi="Times New Roman" w:cs="Times New Roman"/>
          <w:lang w:eastAsia="zh-CN"/>
        </w:rPr>
        <w:t>　　</w:t>
      </w:r>
      <w:r>
        <w:rPr>
          <w:rFonts w:hint="default" w:ascii="Times New Roman" w:hAnsi="Times New Roman" w:cs="Times New Roman"/>
          <w:sz w:val="32"/>
          <w:szCs w:val="32"/>
        </w:rPr>
        <w:t>4</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评价标准</w:t>
      </w:r>
    </w:p>
    <w:p>
      <w:pPr>
        <w:spacing w:line="560" w:lineRule="exact"/>
        <w:ind w:firstLine="640"/>
        <w:rPr>
          <w:rFonts w:hint="default" w:ascii="Times New Roman" w:hAnsi="Times New Roman" w:cs="Times New Roman"/>
          <w:bCs/>
          <w:color w:val="000000" w:themeColor="text1"/>
          <w:sz w:val="32"/>
          <w:szCs w:val="32"/>
          <w14:textFill>
            <w14:solidFill>
              <w14:schemeClr w14:val="tx1"/>
            </w14:solidFill>
          </w14:textFill>
        </w:rPr>
      </w:pPr>
      <w:r>
        <w:rPr>
          <w:rFonts w:hint="default" w:ascii="Times New Roman" w:hAnsi="Times New Roman" w:cs="Times New Roman"/>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w:t>
      </w:r>
      <w:bookmarkStart w:id="6" w:name="_Toc68703833"/>
    </w:p>
    <w:p>
      <w:pPr>
        <w:spacing w:line="560" w:lineRule="exact"/>
        <w:ind w:firstLine="640"/>
        <w:rPr>
          <w:rFonts w:hint="eastAsia" w:eastAsia="仿宋_GB2312"/>
          <w:lang w:eastAsia="zh-CN"/>
        </w:rPr>
      </w:pPr>
      <w:r>
        <w:rPr>
          <w:rFonts w:hint="eastAsia" w:ascii="Times New Roman" w:hAnsi="Times New Roman" w:cs="Times New Roman"/>
          <w:bCs/>
          <w:color w:val="000000" w:themeColor="text1"/>
          <w:sz w:val="32"/>
          <w:szCs w:val="32"/>
          <w14:textFill>
            <w14:solidFill>
              <w14:schemeClr w14:val="tx1"/>
            </w14:solidFill>
          </w14:textFill>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1</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2</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3</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sz w:val="32"/>
          <w:szCs w:val="32"/>
        </w:rPr>
      </w:pPr>
      <w:bookmarkStart w:id="7" w:name="_Toc68703834"/>
      <w:r>
        <w:rPr>
          <w:rFonts w:hint="default" w:ascii="Times New Roman" w:hAnsi="Times New Roman" w:eastAsia="仿宋_GB2312" w:cs="Times New Roman"/>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三、综合评价情况及评价结论</w:t>
      </w:r>
      <w:bookmarkEnd w:id="7"/>
      <w:r>
        <w:rPr>
          <w:rFonts w:hint="default" w:ascii="Times New Roman" w:hAnsi="Times New Roman" w:eastAsia="黑体" w:cs="Times New Roman"/>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8" w:name="_Toc68703835"/>
      <w:r>
        <w:rPr>
          <w:rFonts w:hint="default"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cs="Times New Roman"/>
          <w:color w:val="FF0000"/>
          <w:sz w:val="32"/>
          <w:szCs w:val="32"/>
        </w:rPr>
      </w:pPr>
      <w:r>
        <w:rPr>
          <w:rFonts w:hint="default"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before="0" w:after="0" w:line="560" w:lineRule="exact"/>
        <w:textAlignment w:val="auto"/>
        <w:outlineLvl w:val="9"/>
        <w:rPr>
          <w:rFonts w:hint="default" w:ascii="Times New Roman" w:hAnsi="Times New Roman" w:eastAsia="楷体_GB2312" w:cs="Times New Roman"/>
          <w:b/>
          <w:bCs/>
          <w:kern w:val="2"/>
          <w:sz w:val="32"/>
          <w:szCs w:val="32"/>
          <w:lang w:val="en-US" w:eastAsia="zh-CN" w:bidi="ar-SA"/>
        </w:rPr>
      </w:pPr>
      <w:bookmarkStart w:id="9" w:name="_Toc68703836"/>
      <w:r>
        <w:rPr>
          <w:rFonts w:hint="default" w:ascii="Times New Roman" w:hAnsi="Times New Roman" w:eastAsia="楷体_GB2312" w:cs="Times New Roman"/>
          <w:b/>
          <w:bCs/>
          <w:kern w:val="2"/>
          <w:sz w:val="32"/>
          <w:szCs w:val="32"/>
          <w:lang w:val="en-US" w:eastAsia="zh-CN" w:bidi="ar-SA"/>
        </w:rPr>
        <w:t>（二）评价结论</w:t>
      </w:r>
      <w:bookmarkEnd w:id="9"/>
    </w:p>
    <w:p>
      <w:pPr>
        <w:pStyle w:val="13"/>
        <w:keepNext w:val="0"/>
        <w:keepLines w:val="0"/>
        <w:pageBreakBefore w:val="0"/>
        <w:widowControl/>
        <w:kinsoku/>
        <w:wordWrap/>
        <w:overflowPunct/>
        <w:topLinePunct w:val="0"/>
        <w:autoSpaceDE/>
        <w:autoSpaceDN/>
        <w:bidi w:val="0"/>
        <w:adjustRightInd/>
        <w:snapToGrid/>
        <w:spacing w:before="0" w:after="0" w:line="560" w:lineRule="exact"/>
        <w:jc w:val="both"/>
        <w:textAlignment w:val="auto"/>
        <w:outlineLvl w:val="9"/>
        <w:rPr>
          <w:rFonts w:hint="default" w:ascii="Times New Roman" w:hAnsi="Times New Roman" w:cs="Times New Roman"/>
        </w:rPr>
      </w:pPr>
      <w:r>
        <w:rPr>
          <w:rFonts w:hint="default" w:ascii="Times New Roman" w:hAnsi="Times New Roman" w:eastAsia="仿宋_GB2312" w:cs="Times New Roman"/>
          <w:b w:val="0"/>
          <w:bCs w:val="0"/>
          <w:lang w:eastAsia="zh-CN"/>
        </w:rPr>
        <w:t>　　</w:t>
      </w:r>
      <w:r>
        <w:rPr>
          <w:rFonts w:hint="default" w:ascii="Times New Roman" w:hAnsi="Times New Roman" w:eastAsia="仿宋_GB2312" w:cs="Times New Roman"/>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 xml:space="preserve">分，属于“优”。其中，项目决策类指标权重为20分，得分为 </w:t>
      </w:r>
      <w:r>
        <w:rPr>
          <w:rFonts w:hint="default"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default"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default"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分，得分率为</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default"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cs="Times New Roman"/>
          <w:sz w:val="30"/>
          <w:szCs w:val="30"/>
          <w:lang w:eastAsia="zh-CN"/>
        </w:rPr>
        <w:t>　　　　　　　　</w:t>
      </w:r>
      <w:r>
        <w:rPr>
          <w:rFonts w:hint="default" w:ascii="Times New Roman" w:hAnsi="Times New Roman" w:eastAsia="仿宋_GB2312" w:cs="Times New Roman"/>
          <w:b w:val="0"/>
          <w:bCs w:val="0"/>
          <w:kern w:val="28"/>
          <w:sz w:val="32"/>
          <w:szCs w:val="32"/>
          <w:lang w:val="en-US" w:eastAsia="zh-CN" w:bidi="ar-SA"/>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lang w:val="en-US" w:eastAsia="zh-CN"/>
              </w:rPr>
            </w:pPr>
            <w:r>
              <w:rPr>
                <w:rFonts w:hint="default" w:ascii="Times New Roman" w:hAnsi="Times New Roman" w:cs="Times New Roman"/>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lang w:val="en-US" w:eastAsia="zh-CN"/>
              </w:rPr>
            </w:pPr>
            <w:r>
              <w:rPr>
                <w:rFonts w:hint="default" w:ascii="Times New Roman" w:hAnsi="Times New Roman" w:cs="Times New Roman"/>
                <w:b/>
                <w:bCs/>
                <w:color w:val="000000"/>
                <w:sz w:val="22"/>
                <w:lang w:val="en-US" w:eastAsia="zh-CN"/>
              </w:rPr>
              <w:t>100</w:t>
            </w:r>
          </w:p>
        </w:tc>
      </w:tr>
    </w:tbl>
    <w:p>
      <w:pPr>
        <w:spacing w:line="560" w:lineRule="exact"/>
        <w:rPr>
          <w:rFonts w:hint="default" w:ascii="Times New Roman" w:hAnsi="Times New Roman" w:eastAsia="黑体" w:cs="Times New Roman"/>
          <w:bCs/>
          <w:sz w:val="32"/>
          <w:szCs w:val="32"/>
          <w:lang w:val="en-US" w:eastAsia="zh-CN"/>
        </w:rPr>
      </w:pPr>
      <w:bookmarkStart w:id="10" w:name="_Toc68703837"/>
      <w:r>
        <w:rPr>
          <w:rFonts w:hint="default" w:ascii="Times New Roman" w:hAnsi="Times New Roman" w:eastAsia="黑体" w:cs="Times New Roman"/>
          <w:bCs/>
          <w:sz w:val="32"/>
          <w:szCs w:val="32"/>
          <w:lang w:val="en-US" w:eastAsia="zh-CN"/>
        </w:rPr>
        <w:t>四、绩效评价指标分析</w:t>
      </w:r>
      <w:bookmarkEnd w:id="10"/>
    </w:p>
    <w:p>
      <w:pPr>
        <w:spacing w:line="560" w:lineRule="exact"/>
        <w:rPr>
          <w:rFonts w:hint="default" w:ascii="Times New Roman" w:hAnsi="Times New Roman" w:eastAsia="楷体_GB2312" w:cs="Times New Roman"/>
          <w:b/>
          <w:bCs/>
          <w:kern w:val="2"/>
          <w:sz w:val="32"/>
          <w:szCs w:val="32"/>
          <w:lang w:val="en-US" w:eastAsia="zh-CN" w:bidi="ar-SA"/>
        </w:rPr>
      </w:pPr>
      <w:bookmarkStart w:id="11" w:name="_Toc68703838"/>
      <w:r>
        <w:rPr>
          <w:rFonts w:hint="default"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b w:val="0"/>
          <w:bCs w:val="0"/>
          <w:sz w:val="32"/>
          <w:szCs w:val="32"/>
          <w:lang w:val="en-US" w:eastAsia="zh-CN"/>
        </w:rPr>
      </w:pPr>
      <w:r>
        <w:rPr>
          <w:rFonts w:hint="default" w:ascii="Times New Roman" w:hAnsi="Times New Roman" w:cs="Times New Roman"/>
          <w:b w:val="0"/>
          <w:bCs w:val="0"/>
          <w:sz w:val="32"/>
          <w:szCs w:val="32"/>
          <w:lang w:val="en-US" w:eastAsia="zh-CN"/>
        </w:rPr>
        <w:t>　　项目决策类指标包括项目立项、绩效目标和资金投入三方面的内容，由6个三级指标构成，权重分值为20分，实际得分20分，得分率为100%。</w:t>
      </w:r>
    </w:p>
    <w:p>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cs="Times New Roman"/>
          <w:b/>
          <w:bCs/>
          <w:sz w:val="32"/>
          <w:szCs w:val="32"/>
          <w:lang w:val="en-US" w:eastAsia="zh-CN"/>
        </w:rPr>
        <w:t>1.</w:t>
      </w:r>
      <w:r>
        <w:rPr>
          <w:rFonts w:hint="default" w:ascii="Times New Roman" w:hAnsi="Times New Roman" w:eastAsia="仿宋_GB2312" w:cs="Times New Roman"/>
          <w:b/>
          <w:bCs/>
          <w:sz w:val="32"/>
          <w:szCs w:val="32"/>
          <w:lang w:val="en-US" w:eastAsia="zh-CN"/>
        </w:rPr>
        <w:t>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cs="Times New Roman"/>
          <w:color w:val="FF0000"/>
          <w:sz w:val="32"/>
          <w:szCs w:val="32"/>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b w:val="0"/>
          <w:bCs w:val="0"/>
          <w:sz w:val="32"/>
          <w:szCs w:val="32"/>
        </w:rPr>
      </w:pPr>
      <w:r>
        <w:rPr>
          <w:rFonts w:hint="default" w:ascii="Times New Roman" w:hAnsi="Times New Roman" w:cs="Times New Roman"/>
          <w:b w:val="0"/>
          <w:bCs w:val="0"/>
          <w:sz w:val="32"/>
          <w:szCs w:val="32"/>
        </w:rPr>
        <w:t>2</w:t>
      </w:r>
      <w:r>
        <w:rPr>
          <w:rFonts w:hint="default"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rPr>
        <w:t>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bookmarkStart w:id="12" w:name="_Hlk68699917"/>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cs="Times New Roman"/>
          <w:b/>
          <w:bCs/>
          <w:sz w:val="32"/>
          <w:szCs w:val="32"/>
          <w:lang w:val="en-US" w:eastAsia="zh-CN"/>
        </w:rPr>
        <w:t>3.</w:t>
      </w:r>
      <w:r>
        <w:rPr>
          <w:rFonts w:hint="default" w:ascii="Times New Roman" w:hAnsi="Times New Roman" w:eastAsia="仿宋_GB2312" w:cs="Times New Roman"/>
          <w:b/>
          <w:bCs/>
          <w:sz w:val="32"/>
          <w:szCs w:val="32"/>
          <w:lang w:val="en-US" w:eastAsia="zh-CN"/>
        </w:rPr>
        <w:t>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资金分配额度与项目单位实际工作内容相适应，资金分配额度合理，资金分配依据充分。</w:t>
      </w:r>
    </w:p>
    <w:p>
      <w:pPr>
        <w:pStyle w:val="13"/>
        <w:numPr>
          <w:ilvl w:val="0"/>
          <w:numId w:val="0"/>
        </w:numPr>
        <w:spacing w:before="0" w:after="0" w:line="560" w:lineRule="exact"/>
        <w:jc w:val="both"/>
        <w:rPr>
          <w:rFonts w:hint="default" w:ascii="Times New Roman" w:hAnsi="Times New Roman" w:eastAsia="楷体" w:cs="Times New Roman"/>
        </w:rPr>
      </w:pPr>
      <w:r>
        <w:rPr>
          <w:rFonts w:hint="default" w:ascii="Times New Roman" w:hAnsi="Times New Roman" w:eastAsia="楷体" w:cs="Times New Roman"/>
          <w:lang w:eastAsia="zh-CN"/>
        </w:rPr>
        <w:t>（二）</w:t>
      </w: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三级指标构成，权重分值为20分，实际得分20分，得分率为100%。</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本项目总投资152万元，财政资金及时足额到位，到位率100%，预算资金按计划进度执行。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预算编制较为详细，项目资金支出总体能够按照预算执行，预算资金支出152万元，预算执行率为100%。</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5"/>
        <w:numPr>
          <w:ilvl w:val="0"/>
          <w:numId w:val="3"/>
        </w:numPr>
        <w:rPr>
          <w:rFonts w:hint="default" w:ascii="Times New Roman" w:hAnsi="Times New Roman" w:eastAsia="楷体_GB2312" w:cs="Times New Roman"/>
          <w:b/>
          <w:bCs/>
          <w:kern w:val="2"/>
          <w:sz w:val="32"/>
          <w:szCs w:val="32"/>
          <w:lang w:val="en-US" w:eastAsia="zh-CN" w:bidi="ar-SA"/>
        </w:rPr>
      </w:pPr>
      <w:bookmarkStart w:id="13" w:name="_Toc68703840"/>
      <w:r>
        <w:rPr>
          <w:rFonts w:hint="default"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cs="Times New Roman"/>
          <w:sz w:val="32"/>
          <w:szCs w:val="32"/>
          <w:lang w:val="en-US" w:eastAsia="zh-CN"/>
        </w:rPr>
        <w:t>4</w:t>
      </w:r>
      <w:r>
        <w:rPr>
          <w:rFonts w:hint="default" w:ascii="Times New Roman" w:hAnsi="Times New Roman" w:eastAsia="仿宋_GB2312" w:cs="Times New Roman"/>
          <w:sz w:val="32"/>
          <w:szCs w:val="32"/>
          <w:lang w:val="en-US" w:eastAsia="zh-CN"/>
        </w:rPr>
        <w:t>个三级指标构成，权重分为40分，实际得分40分，得分率为100%。具体产出指标完成情况如下：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指标1：自助服务站建设数量，指标值：</w:t>
      </w:r>
      <w:r>
        <w:rPr>
          <w:rFonts w:hint="default" w:ascii="Times New Roman" w:hAnsi="Times New Roman" w:cs="Times New Roman"/>
          <w:color w:val="auto"/>
          <w:sz w:val="32"/>
          <w:szCs w:val="32"/>
          <w:lang w:eastAsia="zh-CN"/>
        </w:rPr>
        <w:t>=1个</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：1个</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指标2：</w:t>
      </w:r>
      <w:r>
        <w:rPr>
          <w:rFonts w:hint="default" w:ascii="Times New Roman" w:hAnsi="Times New Roman" w:cs="Times New Roman"/>
          <w:color w:val="auto"/>
          <w:sz w:val="32"/>
          <w:szCs w:val="32"/>
          <w:lang w:eastAsia="zh-CN"/>
        </w:rPr>
        <w:t>自助服务站工作设备采购数量</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=1批</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：1批</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lang w:eastAsia="zh-CN"/>
        </w:rPr>
      </w:pPr>
      <w:r>
        <w:rPr>
          <w:rFonts w:hint="default" w:ascii="Times New Roman" w:hAnsi="Times New Roman" w:cs="Times New Roman"/>
          <w:color w:val="auto"/>
          <w:sz w:val="32"/>
          <w:szCs w:val="32"/>
        </w:rPr>
        <w:t>指标</w:t>
      </w:r>
      <w:r>
        <w:rPr>
          <w:rFonts w:hint="default" w:ascii="Times New Roman" w:hAnsi="Times New Roman" w:cs="Times New Roman"/>
          <w:color w:val="auto"/>
          <w:sz w:val="32"/>
          <w:szCs w:val="32"/>
          <w:lang w:val="en-US" w:eastAsia="zh-CN"/>
        </w:rPr>
        <w:t>3</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自助服务站智能化管理系统采购数量</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&gt;=2个</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：2个</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竣工验收合格率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&gt;=95%</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105.26</w:t>
      </w:r>
      <w:r>
        <w:rPr>
          <w:rFonts w:hint="default" w:ascii="Times New Roman" w:hAnsi="Times New Roman" w:cs="Times New Roman"/>
          <w:color w:val="auto"/>
          <w:sz w:val="32"/>
          <w:szCs w:val="32"/>
        </w:rPr>
        <w:t>%</w:t>
      </w:r>
      <w:r>
        <w:rPr>
          <w:rFonts w:hint="default" w:ascii="Times New Roman" w:hAnsi="Times New Roman" w:cs="Times New Roman"/>
          <w:color w:val="FF0000"/>
          <w:sz w:val="32"/>
          <w:szCs w:val="32"/>
        </w:rPr>
        <w:t>，</w:t>
      </w:r>
      <w:r>
        <w:rPr>
          <w:rFonts w:hint="default" w:ascii="Times New Roman" w:hAnsi="Times New Roman" w:cs="Times New Roman"/>
          <w:color w:val="auto"/>
          <w:sz w:val="32"/>
          <w:szCs w:val="32"/>
        </w:rPr>
        <w:t>偏差原因：</w:t>
      </w:r>
      <w:r>
        <w:rPr>
          <w:rFonts w:hint="default" w:ascii="Times New Roman" w:hAnsi="Times New Roman" w:cs="Times New Roman"/>
          <w:color w:val="auto"/>
          <w:sz w:val="32"/>
          <w:szCs w:val="32"/>
          <w:lang w:eastAsia="zh-CN"/>
        </w:rPr>
        <w:t>项目已验收完工且合格率为</w:t>
      </w:r>
      <w:r>
        <w:rPr>
          <w:rFonts w:hint="default" w:ascii="Times New Roman" w:hAnsi="Times New Roman" w:cs="Times New Roman"/>
          <w:color w:val="auto"/>
          <w:sz w:val="32"/>
          <w:szCs w:val="32"/>
          <w:lang w:val="en-US" w:eastAsia="zh-CN"/>
        </w:rPr>
        <w:t>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FF0000"/>
          <w:sz w:val="32"/>
          <w:szCs w:val="32"/>
          <w:lang w:eastAsia="zh-CN"/>
        </w:rPr>
      </w:pPr>
      <w:r>
        <w:rPr>
          <w:rFonts w:hint="default" w:ascii="Times New Roman" w:hAnsi="Times New Roman" w:cs="Times New Roman"/>
          <w:color w:val="auto"/>
          <w:sz w:val="32"/>
          <w:szCs w:val="32"/>
        </w:rPr>
        <w:t>指标2：自助服务站建设资金支付率，指标值：</w:t>
      </w:r>
      <w:r>
        <w:rPr>
          <w:rFonts w:hint="default" w:ascii="Times New Roman" w:hAnsi="Times New Roman" w:cs="Times New Roman"/>
          <w:color w:val="auto"/>
          <w:sz w:val="32"/>
          <w:szCs w:val="32"/>
          <w:lang w:eastAsia="zh-CN"/>
        </w:rPr>
        <w:t>=100%</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color w:val="auto"/>
          <w:sz w:val="32"/>
          <w:szCs w:val="32"/>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自助服务站工作设备质量合格率</w:t>
      </w:r>
      <w:r>
        <w:rPr>
          <w:rFonts w:hint="default" w:ascii="Times New Roman" w:hAnsi="Times New Roman" w:cs="Times New Roman"/>
          <w:color w:val="auto"/>
          <w:sz w:val="32"/>
          <w:szCs w:val="32"/>
        </w:rPr>
        <w:t>，指标值：=100%，实际完成值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100%，指标完成率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color w:val="auto"/>
          <w:sz w:val="32"/>
          <w:szCs w:val="32"/>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4</w:t>
      </w:r>
      <w:r>
        <w:rPr>
          <w:rFonts w:hint="default" w:ascii="Times New Roman" w:hAnsi="Times New Roman" w:eastAsia="仿宋_GB2312" w:cs="Times New Roman"/>
          <w:sz w:val="32"/>
          <w:szCs w:val="32"/>
          <w:highlight w:val="none"/>
        </w:rPr>
        <w:t>：自助服务站工作设备验收合格率</w:t>
      </w:r>
      <w:r>
        <w:rPr>
          <w:rFonts w:hint="default" w:ascii="Times New Roman" w:hAnsi="Times New Roman" w:cs="Times New Roman"/>
          <w:color w:val="auto"/>
          <w:sz w:val="32"/>
          <w:szCs w:val="32"/>
        </w:rPr>
        <w:t>，指标值：=100%，实际完成值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100%，指标完成率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5</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系统使用故障率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&lt;=5%</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cs="Times New Roman"/>
          <w:color w:val="auto"/>
          <w:sz w:val="32"/>
          <w:szCs w:val="32"/>
          <w:lang w:eastAsia="zh-CN"/>
        </w:rPr>
      </w:pPr>
      <w:bookmarkStart w:id="14" w:name="_Toc68703841"/>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项目计划开工时间</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&lt;=3月6日</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：3月6日</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项目按计划完工时间</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&lt;=5月24日</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：5月24日</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自助服务站设备采购完成时间</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&lt;=5月24日</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：5月24日</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系统故障修复处理时间</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&lt;=1天</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5</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系统运行维护响应时间</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&lt;=1天</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4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④</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成本指标：</w:t>
      </w:r>
    </w:p>
    <w:p>
      <w:pPr>
        <w:shd w:val="clear"/>
        <w:spacing w:line="600" w:lineRule="exact"/>
        <w:ind w:firstLine="640" w:firstLineChars="200"/>
        <w:outlineLvl w:val="0"/>
        <w:rPr>
          <w:rFonts w:hint="default" w:ascii="Times New Roman" w:hAnsi="Times New Roman" w:cs="Times New Roman"/>
          <w:color w:val="auto"/>
          <w:sz w:val="32"/>
          <w:szCs w:val="32"/>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自助服务站建设成本</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&lt;=77.9万元</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：77.9万元</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自助服务站工作设备采购成本</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&lt;=64.7万元</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：64.7万元</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cs="Times New Roman"/>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自助服务站智能化管理系统采购成本</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&lt;=4.7万元/个</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：4.7万元/个</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cs="Times New Roman"/>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ascii="Times New Roman" w:hAnsi="Times New Roman"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个三级指标构成，权重分为20分，实际得分20分，得分率为100%。具体效益指标及满意度指标完成情况如下：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pPr>
        <w:shd w:val="clear"/>
        <w:spacing w:line="600" w:lineRule="exact"/>
        <w:ind w:firstLine="640" w:firstLineChars="200"/>
        <w:outlineLvl w:val="0"/>
        <w:rPr>
          <w:rFonts w:hint="default" w:ascii="Times New Roman" w:hAnsi="Times New Roman" w:cs="Times New Roman"/>
          <w:color w:val="auto"/>
          <w:sz w:val="32"/>
          <w:szCs w:val="32"/>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设备利用率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&gt;=95%</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105.26</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，偏差原因：投入设备已全部投入使用，设备利用率为</w:t>
      </w:r>
      <w:r>
        <w:rPr>
          <w:rFonts w:hint="default" w:ascii="Times New Roman" w:hAnsi="Times New Roman" w:cs="Times New Roman"/>
          <w:color w:val="auto"/>
          <w:sz w:val="32"/>
          <w:szCs w:val="32"/>
          <w:lang w:val="en-US" w:eastAsia="zh-CN"/>
        </w:rPr>
        <w:t>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default" w:ascii="Times New Roman" w:hAnsi="Times New Roman"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default" w:ascii="Times New Roman" w:hAnsi="Times New Roman" w:cs="Times New Roman"/>
          <w:color w:val="auto"/>
          <w:sz w:val="32"/>
          <w:szCs w:val="32"/>
          <w:lang w:eastAsia="zh-CN"/>
        </w:rPr>
        <w:t>系统正常使用年限</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&gt;=2年</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：2年</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sz w:val="32"/>
          <w:szCs w:val="32"/>
          <w:highlight w:val="none"/>
          <w:lang w:val="en-US" w:eastAsia="zh-CN"/>
        </w:rPr>
        <w:t>③生态效益指标：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指标1：</w:t>
      </w:r>
      <w:r>
        <w:rPr>
          <w:rFonts w:hint="eastAsia" w:ascii="Times New Roman" w:hAnsi="Times New Roman" w:cs="Times New Roman"/>
          <w:sz w:val="32"/>
          <w:szCs w:val="32"/>
          <w:highlight w:val="none"/>
          <w:lang w:val="en-US" w:eastAsia="zh-CN"/>
        </w:rPr>
        <w:t>用户使用满意度</w:t>
      </w:r>
      <w:r>
        <w:rPr>
          <w:rFonts w:hint="default" w:ascii="Times New Roman" w:hAnsi="Times New Roman" w:cs="Times New Roman"/>
          <w:sz w:val="32"/>
          <w:szCs w:val="32"/>
          <w:highlight w:val="none"/>
          <w:lang w:val="en-US" w:eastAsia="zh-CN"/>
        </w:rPr>
        <w:t>，指标值：&gt;=95%，实际完成值：100%，指标完成率105%。</w:t>
      </w:r>
    </w:p>
    <w:p>
      <w:pPr>
        <w:spacing w:line="560" w:lineRule="exact"/>
        <w:rPr>
          <w:rFonts w:hint="default" w:ascii="Times New Roman" w:hAnsi="Times New Roman" w:eastAsia="黑体" w:cs="Times New Roman"/>
          <w:sz w:val="32"/>
          <w:szCs w:val="32"/>
          <w:lang w:eastAsia="zh-Hans"/>
        </w:rPr>
      </w:pPr>
      <w:r>
        <w:rPr>
          <w:rFonts w:hint="default" w:ascii="Times New Roman" w:hAnsi="Times New Roman" w:eastAsia="黑体" w:cs="Times New Roman"/>
          <w:sz w:val="32"/>
          <w:szCs w:val="32"/>
          <w:lang w:eastAsia="zh-Hans"/>
        </w:rPr>
        <w:t>五、预算执行进度与绩效指标总体完成率偏差</w:t>
      </w:r>
    </w:p>
    <w:p>
      <w:pPr>
        <w:pStyle w:val="2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kern w:val="2"/>
          <w:sz w:val="32"/>
          <w:szCs w:val="32"/>
          <w:lang w:val="en-US" w:eastAsia="zh-CN" w:bidi="ar-SA"/>
        </w:rPr>
        <w:t>“7x24小时自助服务站”智能化建设项目年初预算152万元，全年预算152万元，实际支出152万元，预算执行率为100%，项目绩效指标总体完成率为100%，</w:t>
      </w:r>
      <w:r>
        <w:rPr>
          <w:rFonts w:hint="default" w:ascii="Times New Roman" w:hAnsi="Times New Roman" w:eastAsia="仿宋_GB2312" w:cs="Times New Roman"/>
          <w:kern w:val="2"/>
          <w:sz w:val="32"/>
          <w:szCs w:val="32"/>
          <w:lang w:val="en-US" w:eastAsia="zh-Hans" w:bidi="ar-SA"/>
        </w:rPr>
        <w:t>总体</w:t>
      </w:r>
      <w:r>
        <w:rPr>
          <w:rFonts w:hint="default" w:ascii="Times New Roman" w:hAnsi="Times New Roman" w:eastAsia="仿宋_GB2312" w:cs="Times New Roman"/>
          <w:kern w:val="2"/>
          <w:sz w:val="32"/>
          <w:szCs w:val="32"/>
          <w:lang w:val="en-US" w:eastAsia="zh-CN" w:bidi="ar-SA"/>
        </w:rPr>
        <w:t>偏差率为0%。</w:t>
      </w:r>
    </w:p>
    <w:p>
      <w:pPr>
        <w:spacing w:line="560" w:lineRule="exact"/>
        <w:rPr>
          <w:rFonts w:hint="default" w:ascii="Times New Roman" w:hAnsi="Times New Roman" w:eastAsia="黑体" w:cs="Times New Roman"/>
          <w:bCs/>
          <w:sz w:val="32"/>
          <w:szCs w:val="32"/>
          <w:lang w:val="en-US" w:eastAsia="zh-CN"/>
        </w:rPr>
      </w:pPr>
      <w:bookmarkStart w:id="15" w:name="_Toc68703842"/>
      <w:r>
        <w:rPr>
          <w:rFonts w:hint="default" w:ascii="Times New Roman" w:hAnsi="Times New Roman" w:eastAsia="黑体" w:cs="Times New Roman"/>
          <w:bCs/>
          <w:sz w:val="32"/>
          <w:szCs w:val="32"/>
          <w:lang w:val="en-US" w:eastAsia="zh-CN"/>
        </w:rPr>
        <w:t>六、主要经验及做法、存在的问题及原因分析</w:t>
      </w:r>
      <w:bookmarkEnd w:id="15"/>
    </w:p>
    <w:p>
      <w:pPr>
        <w:spacing w:line="560" w:lineRule="exact"/>
        <w:rPr>
          <w:rFonts w:hint="default" w:ascii="Times New Roman" w:hAnsi="Times New Roman" w:eastAsia="楷体_GB2312" w:cs="Times New Roman"/>
          <w:b/>
          <w:bCs/>
          <w:kern w:val="2"/>
          <w:sz w:val="32"/>
          <w:szCs w:val="32"/>
          <w:lang w:val="en-US" w:eastAsia="zh-CN" w:bidi="ar-SA"/>
        </w:rPr>
      </w:pPr>
      <w:bookmarkStart w:id="16" w:name="_Toc68703843"/>
      <w:r>
        <w:rPr>
          <w:rFonts w:hint="default" w:ascii="Times New Roman" w:hAnsi="Times New Roman" w:eastAsia="楷体_GB2312" w:cs="Times New Roman"/>
          <w:b/>
          <w:bCs/>
          <w:kern w:val="2"/>
          <w:sz w:val="32"/>
          <w:szCs w:val="32"/>
          <w:lang w:val="en-US" w:eastAsia="zh-CN" w:bidi="ar-SA"/>
        </w:rPr>
        <w:t>（一）主要经验及做法</w:t>
      </w:r>
      <w:bookmarkEnd w:id="16"/>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widowControl w:val="0"/>
        <w:kinsoku/>
        <w:wordWrap/>
        <w:overflowPunct/>
        <w:topLinePunct w:val="0"/>
        <w:autoSpaceDE/>
        <w:autoSpaceDN/>
        <w:bidi w:val="0"/>
        <w:adjustRightInd/>
        <w:snapToGrid/>
        <w:spacing w:before="0" w:after="0" w:line="560" w:lineRule="exact"/>
        <w:textAlignment w:val="auto"/>
        <w:outlineLvl w:val="9"/>
        <w:rPr>
          <w:rFonts w:hint="default" w:ascii="Times New Roman" w:hAnsi="Times New Roman" w:eastAsia="楷体_GB2312" w:cs="Times New Roman"/>
          <w:b/>
          <w:bCs/>
          <w:kern w:val="2"/>
          <w:sz w:val="32"/>
          <w:szCs w:val="32"/>
          <w:lang w:val="en-US" w:eastAsia="zh-CN" w:bidi="ar-SA"/>
        </w:rPr>
      </w:pPr>
      <w:bookmarkStart w:id="17" w:name="_Toc68703844"/>
      <w:r>
        <w:rPr>
          <w:rFonts w:hint="default" w:ascii="Times New Roman" w:hAnsi="Times New Roman" w:eastAsia="楷体_GB2312" w:cs="Times New Roman"/>
          <w:b/>
          <w:bCs/>
          <w:kern w:val="2"/>
          <w:sz w:val="32"/>
          <w:szCs w:val="32"/>
          <w:lang w:val="en-US" w:eastAsia="zh-CN" w:bidi="ar-SA"/>
        </w:rPr>
        <w:t>（二）存在的问题及原因分析</w:t>
      </w:r>
      <w:bookmarkEnd w:id="17"/>
      <w:r>
        <w:rPr>
          <w:rFonts w:hint="default"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cs="Times New Roman"/>
          <w:sz w:val="32"/>
          <w:szCs w:val="28"/>
        </w:rPr>
      </w:pPr>
      <w:r>
        <w:rPr>
          <w:rFonts w:hint="default" w:ascii="Times New Roman" w:hAnsi="Times New Roman" w:eastAsia="仿宋_GB2312" w:cs="Times New Roman"/>
          <w:sz w:val="32"/>
          <w:szCs w:val="32"/>
          <w:highlight w:val="none"/>
          <w:lang w:val="en-US" w:eastAsia="zh-CN"/>
        </w:rPr>
        <w:t>1</w:t>
      </w:r>
      <w:r>
        <w:rPr>
          <w:rFonts w:hint="default" w:ascii="Times New Roman" w:hAnsi="Times New Roman" w:cs="Times New Roman"/>
          <w:sz w:val="32"/>
          <w:szCs w:val="32"/>
          <w:highlight w:val="none"/>
          <w:lang w:val="en-US" w:eastAsia="zh-CN"/>
        </w:rPr>
        <w:t>.</w:t>
      </w:r>
      <w:r>
        <w:rPr>
          <w:rFonts w:hint="default" w:ascii="Times New Roman" w:hAnsi="Times New Roman" w:cs="Times New Roman"/>
          <w:sz w:val="32"/>
          <w:szCs w:val="28"/>
          <w:lang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default" w:ascii="Times New Roman" w:hAnsi="Times New Roman" w:eastAsia="仿宋_GB2312" w:cs="Times New Roman"/>
          <w:b w:val="0"/>
          <w:bCs w:val="0"/>
          <w:color w:val="FF0000"/>
          <w:kern w:val="2"/>
          <w:sz w:val="32"/>
          <w:szCs w:val="32"/>
          <w:lang w:val="en-US" w:eastAsia="zh-CN" w:bidi="ar-SA"/>
        </w:rPr>
      </w:pPr>
      <w:bookmarkStart w:id="18" w:name="_Toc68703845"/>
      <w:r>
        <w:rPr>
          <w:rFonts w:hint="default" w:ascii="Times New Roman" w:hAnsi="Times New Roman" w:eastAsia="黑体" w:cs="Times New Roman"/>
          <w:b w:val="0"/>
          <w:bCs/>
          <w:kern w:val="2"/>
          <w:sz w:val="32"/>
          <w:szCs w:val="32"/>
          <w:lang w:val="en-US" w:eastAsia="zh-CN" w:bidi="ar-SA"/>
        </w:rPr>
        <w:t>七、有关建议</w:t>
      </w:r>
      <w:bookmarkEnd w:id="18"/>
      <w:r>
        <w:rPr>
          <w:rFonts w:hint="default"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default" w:ascii="Times New Roman" w:hAnsi="Times New Roman" w:eastAsia="黑体" w:cs="Times New Roman"/>
          <w:b w:val="0"/>
          <w:bCs/>
          <w:kern w:val="2"/>
          <w:sz w:val="32"/>
          <w:szCs w:val="32"/>
          <w:lang w:val="en-US" w:eastAsia="zh-CN" w:bidi="ar-SA"/>
        </w:rPr>
      </w:pPr>
      <w:bookmarkStart w:id="19" w:name="_Toc68703846"/>
      <w:r>
        <w:rPr>
          <w:rFonts w:hint="default" w:ascii="Times New Roman" w:hAnsi="Times New Roman"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cs="Times New Roman"/>
          <w:color w:val="FF0000"/>
          <w:sz w:val="32"/>
          <w:szCs w:val="32"/>
        </w:rPr>
      </w:pPr>
      <w:r>
        <w:rPr>
          <w:rFonts w:hint="default" w:ascii="Times New Roman" w:hAnsi="Times New Roman" w:cs="Times New Roman"/>
          <w:sz w:val="32"/>
          <w:szCs w:val="32"/>
          <w:lang w:eastAsia="zh-CN"/>
        </w:rPr>
        <w:t>　</w:t>
      </w:r>
      <w:r>
        <w:rPr>
          <w:rFonts w:hint="default" w:ascii="Times New Roman" w:hAnsi="Times New Roman" w:eastAsia="仿宋_GB2312" w:cs="Times New Roman"/>
          <w:sz w:val="32"/>
          <w:szCs w:val="32"/>
          <w:lang w:eastAsia="zh-Hans"/>
        </w:rPr>
        <w:t>本项目无其他需说明的问题</w:t>
      </w:r>
      <w:r>
        <w:rPr>
          <w:rFonts w:hint="default" w:ascii="Times New Roman" w:hAnsi="Times New Roman" w:cs="Times New Roman"/>
          <w:sz w:val="32"/>
          <w:szCs w:val="32"/>
          <w:lang w:eastAsia="zh-CN"/>
        </w:rPr>
        <w:t>。</w:t>
      </w:r>
    </w:p>
    <w:p>
      <w:pPr>
        <w:rPr>
          <w:rFonts w:hint="default" w:ascii="Times New Roman" w:hAnsi="Times New Roman" w:cs="Times New Roman"/>
        </w:rPr>
      </w:pPr>
    </w:p>
    <w:p>
      <w:pPr>
        <w:pStyle w:val="13"/>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pStyle w:val="13"/>
        <w:jc w:val="both"/>
        <w:rPr>
          <w:rFonts w:hint="default" w:ascii="Times New Roman" w:hAnsi="Times New Roman" w:cs="Times New Roman"/>
        </w:rPr>
      </w:pPr>
    </w:p>
    <w:p>
      <w:pPr>
        <w:rPr>
          <w:rFonts w:hint="default" w:ascii="Times New Roman" w:hAnsi="Times New Roman" w:cs="Times New Roman"/>
        </w:rPr>
      </w:pPr>
    </w:p>
    <w:p>
      <w:pPr>
        <w:pStyle w:val="2"/>
        <w:rPr>
          <w:rFonts w:hint="default" w:ascii="Times New Roman" w:hAnsi="Times New Roman" w:cs="Times New Roman"/>
        </w:rPr>
      </w:pPr>
    </w:p>
    <w:p>
      <w:pPr>
        <w:rPr>
          <w:rFonts w:hint="default" w:ascii="Times New Roman" w:hAnsi="Times New Roman" w:cs="Times New Roman"/>
        </w:rPr>
      </w:pPr>
    </w:p>
    <w:tbl>
      <w:tblPr>
        <w:tblStyle w:val="14"/>
        <w:tblpPr w:leftFromText="180" w:rightFromText="180" w:vertAnchor="text" w:horzAnchor="page" w:tblpX="1653" w:tblpY="902"/>
        <w:tblOverlap w:val="never"/>
        <w:tblW w:w="137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9"/>
        <w:gridCol w:w="1019"/>
        <w:gridCol w:w="1029"/>
        <w:gridCol w:w="1305"/>
        <w:gridCol w:w="1214"/>
        <w:gridCol w:w="711"/>
        <w:gridCol w:w="1438"/>
        <w:gridCol w:w="1281"/>
        <w:gridCol w:w="818"/>
        <w:gridCol w:w="738"/>
        <w:gridCol w:w="832"/>
        <w:gridCol w:w="605"/>
        <w:gridCol w:w="675"/>
        <w:gridCol w:w="10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spacing w:line="560" w:lineRule="exact"/>
              <w:ind w:left="3209" w:leftChars="106" w:hanging="2891" w:hangingChars="900"/>
              <w:jc w:val="both"/>
              <w:rPr>
                <w:rFonts w:hint="default" w:ascii="Times New Roman" w:hAnsi="Times New Roman" w:eastAsia="宋体" w:cs="Times New Roman"/>
                <w:b/>
                <w:bCs/>
                <w:color w:val="000000"/>
                <w:kern w:val="0"/>
                <w:sz w:val="32"/>
                <w:szCs w:val="32"/>
              </w:rPr>
            </w:pPr>
            <w:bookmarkStart w:id="20" w:name="_Toc26499_WPSOffice_Level2"/>
            <w:bookmarkStart w:id="21" w:name="_Toc30064_WPSOffice_Level1"/>
          </w:p>
          <w:p>
            <w:pPr>
              <w:spacing w:line="560" w:lineRule="exact"/>
              <w:ind w:left="3209" w:leftChars="106" w:hanging="2891" w:hangingChars="900"/>
              <w:jc w:val="center"/>
              <w:rPr>
                <w:rFonts w:hint="default" w:ascii="Times New Roman" w:hAnsi="Times New Roman" w:eastAsia="宋体" w:cs="Times New Roman"/>
                <w:b/>
                <w:i w:val="0"/>
                <w:color w:val="000000"/>
                <w:sz w:val="32"/>
                <w:szCs w:val="32"/>
                <w:u w:val="none"/>
              </w:rPr>
            </w:pPr>
            <w:r>
              <w:rPr>
                <w:rFonts w:hint="eastAsia" w:eastAsia="宋体" w:cs="Times New Roman"/>
                <w:b/>
                <w:bCs/>
                <w:color w:val="000000"/>
                <w:kern w:val="0"/>
                <w:sz w:val="32"/>
                <w:szCs w:val="32"/>
                <w:lang w:eastAsia="zh-CN"/>
              </w:rPr>
              <w:t>霍尔果斯市</w:t>
            </w:r>
            <w:r>
              <w:rPr>
                <w:rFonts w:hint="default" w:ascii="Times New Roman" w:hAnsi="Times New Roman" w:eastAsia="宋体" w:cs="Times New Roman"/>
                <w:b/>
                <w:bCs/>
                <w:color w:val="000000"/>
                <w:kern w:val="0"/>
                <w:sz w:val="32"/>
                <w:szCs w:val="32"/>
              </w:rPr>
              <w:t>“7x24小时自助服务站”智能化建设</w:t>
            </w:r>
            <w:r>
              <w:rPr>
                <w:rFonts w:hint="default" w:ascii="Times New Roman" w:hAnsi="Times New Roman" w:eastAsia="宋体" w:cs="Times New Roman"/>
                <w:b/>
                <w:bCs/>
                <w:color w:val="000000"/>
                <w:kern w:val="0"/>
                <w:sz w:val="32"/>
                <w:szCs w:val="32"/>
                <w:lang w:val="en-US" w:eastAsia="zh-CN"/>
              </w:rPr>
              <w:t>项目</w:t>
            </w:r>
            <w:r>
              <w:rPr>
                <w:rFonts w:hint="default" w:ascii="Times New Roman" w:hAnsi="Times New Roman" w:eastAsia="宋体" w:cs="Times New Roman"/>
                <w:b/>
                <w:i w:val="0"/>
                <w:color w:val="000000"/>
                <w:kern w:val="0"/>
                <w:sz w:val="32"/>
                <w:szCs w:val="32"/>
                <w:u w:val="none"/>
                <w:lang w:val="en-US" w:eastAsia="zh-CN" w:bidi="ar"/>
              </w:rPr>
              <w:t>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20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项目名称</w:t>
            </w:r>
          </w:p>
        </w:tc>
        <w:tc>
          <w:tcPr>
            <w:tcW w:w="11687"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霍尔果斯市“7x24小时自助服务站”智能化建设项目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20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主管部门</w:t>
            </w:r>
          </w:p>
        </w:tc>
        <w:tc>
          <w:tcPr>
            <w:tcW w:w="569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霍尔果斯市政务服务中心</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实施单位</w:t>
            </w:r>
          </w:p>
        </w:tc>
        <w:tc>
          <w:tcPr>
            <w:tcW w:w="38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霍尔果斯市政务服务中心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20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项目资金</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（万元）</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年初预算数</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全年预算数</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全年执行数</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分值</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执行率</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0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年度资金总额</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152.00</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152</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152.00</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100.00%</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0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其中：当年财政拨款</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152</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152</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152</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0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上年结转资金</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0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其他资金</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年度总体目标</w:t>
            </w:r>
          </w:p>
        </w:tc>
        <w:tc>
          <w:tcPr>
            <w:tcW w:w="67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预期目标</w:t>
            </w:r>
          </w:p>
        </w:tc>
        <w:tc>
          <w:tcPr>
            <w:tcW w:w="59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671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为持续推进政府职能转变和“放管服”改革走深走实，依照自治区统一工作部署安排及自治区政务服务与公共资源交易中心《自治区各级政务服务大厅集中服务模式建设指引（1.0版）》工作要求，政务服务中心立足企业和群众需求，采用高科技手段，引进智能化、信息化服务设备，积极打造集便民服务、高效利企于一体的“7*24小时自助服务站”，最大限度为市场主体和各族群众提供便利条件和精准化服务。</w:t>
            </w:r>
          </w:p>
        </w:tc>
        <w:tc>
          <w:tcPr>
            <w:tcW w:w="59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“7*24小时自助服务站”建设项目已购买自助服务站管理化系统，用高科技手段，引进智能化、信息化服务设备，已完成“7*24小时自助服务站”的打造。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一级指标</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二级指标</w:t>
            </w:r>
          </w:p>
        </w:tc>
        <w:tc>
          <w:tcPr>
            <w:tcW w:w="32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三级指标</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年度指标值</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实际完成值</w:t>
            </w:r>
          </w:p>
        </w:tc>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分值</w:t>
            </w:r>
          </w:p>
        </w:tc>
        <w:tc>
          <w:tcPr>
            <w:tcW w:w="14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得分</w:t>
            </w:r>
          </w:p>
        </w:tc>
        <w:tc>
          <w:tcPr>
            <w:tcW w:w="17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2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4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7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年度绩效指标完成情况</w:t>
            </w: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产出指标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自助服务站建设数量</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=1个</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1个</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自助服务站工作设备采购数量</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=1批</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1批</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自助服务站智能化管理系统采购数量</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&gt;=2个</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2个</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竣工验收合格率</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&gt;=95%</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项目已验收完工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自助服务站建设资金支付率</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自助服务站工作设备质量合格率</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自助服务站工作设备验收合格率</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系统使用故障率</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&lt;=5%</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项目计划开工时间</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&lt;=3月6日</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3月6日</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项目按计划完工时间</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&lt;=5月24日</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5月24日</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自助服务站设备采购完成时间</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&lt;=5月24日</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5月24日</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系统故障修复处理时间</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&lt;=1天</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0天</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系统运行维护响应时间</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&lt;=1天</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0天</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成本指标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经济成本指标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自助服务站建设成本</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&lt;=77.9万元</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77.9万元</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经济成本指标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自助服务站工作设备采购成本</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&lt;=64.7万元</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64.7万元</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经济成本指标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自助服务站智能化管理系统采购成本</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&lt;=4.7万元/个</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4.7万元/个</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效益指标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经济效益指标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设备利用率</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&gt;=95%</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设备已全部投入使用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社会效益指标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系统正常使用年限</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&gt;=2年</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2年</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满意度指标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满意度指标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用户使用满意度</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&gt;=95%</w:t>
            </w:r>
          </w:p>
        </w:tc>
        <w:tc>
          <w:tcPr>
            <w:tcW w:w="12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项目圆满完成受益人员满意度较高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901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总分</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4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100.00分</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bl>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b/>
          <w:bCs/>
          <w:sz w:val="28"/>
          <w:szCs w:val="40"/>
        </w:rPr>
      </w:pPr>
    </w:p>
    <w:p>
      <w:pPr>
        <w:pStyle w:val="23"/>
        <w:ind w:firstLine="562"/>
        <w:jc w:val="center"/>
        <w:rPr>
          <w:rFonts w:hint="default" w:ascii="Times New Roman" w:hAnsi="Times New Roman" w:cs="Times New Roman"/>
          <w:sz w:val="28"/>
          <w:szCs w:val="40"/>
        </w:rPr>
      </w:pPr>
      <w:r>
        <w:rPr>
          <w:rFonts w:hint="eastAsia" w:cs="Times New Roman"/>
          <w:b/>
          <w:bCs/>
          <w:sz w:val="28"/>
          <w:szCs w:val="40"/>
          <w:lang w:eastAsia="zh-CN"/>
        </w:rPr>
        <w:t>霍尔果斯市</w:t>
      </w:r>
      <w:r>
        <w:rPr>
          <w:rFonts w:hint="default" w:ascii="Times New Roman" w:hAnsi="Times New Roman" w:cs="Times New Roman"/>
          <w:b/>
          <w:bCs/>
          <w:sz w:val="28"/>
          <w:szCs w:val="40"/>
        </w:rPr>
        <w:t>“7x24小时自助服务站”智能化建设</w:t>
      </w:r>
      <w:r>
        <w:rPr>
          <w:rFonts w:hint="default" w:ascii="Times New Roman" w:hAnsi="Times New Roman" w:cs="Times New Roman"/>
          <w:b/>
          <w:bCs/>
          <w:sz w:val="28"/>
          <w:szCs w:val="40"/>
          <w:lang w:val="en-US" w:eastAsia="zh-CN"/>
        </w:rPr>
        <w:t>项目</w:t>
      </w:r>
      <w:r>
        <w:rPr>
          <w:rFonts w:hint="default" w:ascii="Times New Roman" w:hAnsi="Times New Roman" w:cs="Times New Roman"/>
          <w:b/>
          <w:bCs/>
          <w:sz w:val="28"/>
          <w:szCs w:val="40"/>
        </w:rPr>
        <w:t>绩效评价指标体系及综合评分表</w:t>
      </w:r>
      <w:bookmarkEnd w:id="20"/>
      <w:bookmarkEnd w:id="21"/>
    </w:p>
    <w:tbl>
      <w:tblPr>
        <w:tblStyle w:val="14"/>
        <w:tblW w:w="1323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86"/>
        <w:gridCol w:w="999"/>
        <w:gridCol w:w="1191"/>
        <w:gridCol w:w="2930"/>
        <w:gridCol w:w="6048"/>
        <w:gridCol w:w="692"/>
        <w:gridCol w:w="6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8" w:hRule="atLeast"/>
          <w:jc w:val="center"/>
        </w:trPr>
        <w:tc>
          <w:tcPr>
            <w:tcW w:w="11854"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霍尔果斯市“7x24小时自助服务站”智能化建设项目支出绩效评价指标体系</w:t>
            </w:r>
          </w:p>
        </w:tc>
        <w:tc>
          <w:tcPr>
            <w:tcW w:w="692"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693" w:type="dxa"/>
            <w:tcBorders>
              <w:top w:val="nil"/>
              <w:left w:val="nil"/>
              <w:bottom w:val="nil"/>
              <w:right w:val="nil"/>
            </w:tcBorders>
            <w:shd w:val="clear" w:color="auto" w:fill="auto"/>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一级指标</w:t>
            </w:r>
          </w:p>
        </w:tc>
        <w:tc>
          <w:tcPr>
            <w:tcW w:w="9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三级指标</w:t>
            </w:r>
          </w:p>
        </w:tc>
        <w:tc>
          <w:tcPr>
            <w:tcW w:w="29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指标解释</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指标说明</w:t>
            </w:r>
          </w:p>
        </w:tc>
        <w:tc>
          <w:tcPr>
            <w:tcW w:w="69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分值</w:t>
            </w:r>
          </w:p>
        </w:tc>
        <w:tc>
          <w:tcPr>
            <w:tcW w:w="69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决策　（20）</w:t>
            </w: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项目立项(6)</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立项依据充分性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项目立项是否符合法律法规、相关政策、发展规划以及部门职责，用以反映和考核项目立项依据情况。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①项目立项是否符合国家法律法规、国民经济发展规划和相关政策；</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②项目立项是否符合行业发展规划和政策要求；</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③项目立项是否与部门职责范围相符，属于部门履职所需；</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④项目是否属于公共财政支持范围，是否符合中央、地方事权支出责任划分原则；</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⑤项目是否与相关部门同类项目或部门内部相关项目重复。</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立项程序规范性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项目申请、设立过程是否符合相关要求，用以反映和考核项目立项的规范情况。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①项目是否按照规定的程序申请设立；</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②审批文件、材料是否符合相关要求；</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③事前是否已经过必要的可行性研究、专家论证、风险评估、绩效评估、集体决策。</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绩效目标合理性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项目所设定的绩效目标是否依据充分，是否符合客观实际，用以反映和考核项目绩效目标与项目实施的相符情况。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（如未设定预算绩效目标，也可考核其他工作任务目标）</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①项目是否有绩效目标；</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②项目绩效目标与实际工作内容是否具有相关性；</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③项目预期产出效益和效果是否符合正常的业绩水平；</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④是否与预算确定的项目投资额或资金量相匹配。</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绩效指标明确性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依据绩效目标设定的绩效指标是否清晰、细化、可衡量等，用以反映和考核项目绩效目标的明细化情况。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①是否将项目绩效目标细化分解为具体的绩效指标；</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②是否通过清晰、可衡量的指标值予以体现；</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③是否与项目目标任务数或计划数相对应。</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资金投入（8）</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预算编制科学性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项目预算编制是否经过科学论证、有明确标准，资金额度与年度目标是否相适应，用以反映和考核项目预算编制的科学性、合理性情况。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①预算编制是否经过科学论证；</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②预算内容与项目内容是否匹配；</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③预算额度测算依据是否充分，是否按照标准编制；</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④预算确定的项目投资额或资金量是否与工作任务相匹配。</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资金分配合理性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项目预算资金分配是否有测算依据，与补助单位或地方实际是否相适应，用以反映和考核项目预算资金分配的科学性、合理性情况。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①预算资金分配依据是否充分；</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②资金分配额度是否合理，与项目单位或地方实际是否相适应。</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过程（20）</w:t>
            </w: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资金管理(8)</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实际到位资金与预算资金的比率，用以反映和考核资金落实情况对项目实施的总体保障程度。</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资金到位率=（实际到位资金/预算资金）×100%。</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实际到位资金：一定时期（本年度或项目期）内落实到具体项目的资金。</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预算资金：一定时期（本年度或项目期）内预算安排到具体项目的资金。</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项目预算资金是否按照计划执行，用以反映或考核项目预算执行情况。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预算执行率=（实际支出资金/实际到位资金）×100%。</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实际支出资金：一定时期（本年度或项目期）内项目实际拨付的资金。</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资金管理(4)</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资金使用合规性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项目资金使用是否符合相关的财务管理制度规定，用以反映和考核项目资金的规范运行情况。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①是否符合国家财经法规和财务管理制度以及有关专项资金管理办法的规定；</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②资金的拨付是否有完整的审批程序和手续；</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③是否符合项目预算批复或合同规定的用途；</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④是否存在截留、挤占、挪用、虚列支出等情况。</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组织实施（8）</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管理制度健全性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项目实施单位的财务和业务管理制度是否健全，用以反映和考核财务和业务管理制度对项目顺利实施的保障情况。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①是否已制定或具有相应的财务和业务管理制度；</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②财务和业务管理制度是否合法、合规、完整。</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制度执行有效性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项目实施是否符合相关管理规定，用以反映和考核相关管理制度的有效执行情况。</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①是否遵守相关法律法规和相关管理规定；</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②项目调整及支出调整手续是否完备；</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③项目合同书、验收报告、技术鉴定等资料是否齐全并及时归档；</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④项目实施的人员条件、场地设备、信息支撑等是否落实到位。</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产出（40）</w:t>
            </w: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产出数量(10)</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项目实施的实际产出数与计划产出数的比率，用以反映和考核项目产出数量目标的实现程度。</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实际完成率=（实际产出数/计划产出数）×100%。</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实际产出数：一定时期（本年度或项目期）内项目实际产出的产品或提供的服务数量。</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计划产出数：项目绩效目标确定的在一定时期（本年度或项目期）内计划产出的产品或提供的服务数量。</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产出质量(10)</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项目完成的质量达标产出数与实际产出数的比率，用以反映和考核项目产出质量目标的实现程度。</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质量达标率=（质量达标产出数/实际产出数）×100%。</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8"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产出时效(10)</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完成及时性</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项目实际完成时间与计划完成时间的比较，用以反映和考核项目产出时效目标的实现程度。</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实际完成时间：项目实施单位完成该项目实际所耗用的时间。</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计划完成时间：按照项目实施计划或相关规定完成该项目所需的时间。</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产出成本(10)</w:t>
            </w:r>
          </w:p>
        </w:tc>
        <w:tc>
          <w:tcPr>
            <w:tcW w:w="119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w:t>
            </w:r>
          </w:p>
        </w:tc>
        <w:tc>
          <w:tcPr>
            <w:tcW w:w="29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完成项目计划工作目标的实际节约成本与计划成本的比率，用以反映和考核项目的成本节约程度。</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成本节约率=[（计划成本-实际成本）/计划成本]×100%。</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实际成本：项目实施单位如期、保质、保量完成既定工作目标实际所耗费的支出。</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计划成本：项目实施单位为完成工作目标计划安排的支出，一般以项目预算为参考。</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jc w:val="center"/>
        </w:trPr>
        <w:tc>
          <w:tcPr>
            <w:tcW w:w="68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效益（20）</w:t>
            </w:r>
          </w:p>
        </w:tc>
        <w:tc>
          <w:tcPr>
            <w:tcW w:w="9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项目效益（20）</w:t>
            </w:r>
          </w:p>
        </w:tc>
        <w:tc>
          <w:tcPr>
            <w:tcW w:w="119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实施效益</w:t>
            </w:r>
          </w:p>
        </w:tc>
        <w:tc>
          <w:tcPr>
            <w:tcW w:w="29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项目实施所产生的效益。</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项目实施所产生的社会效益、经济效益、生态效益、可持续影响等。可根据项目实际情况有选择地设置和细化。</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0" w:hRule="atLeast"/>
          <w:jc w:val="center"/>
        </w:trPr>
        <w:tc>
          <w:tcPr>
            <w:tcW w:w="68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w:t>
            </w:r>
          </w:p>
        </w:tc>
        <w:tc>
          <w:tcPr>
            <w:tcW w:w="29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社会公众或服务对象对项目实施效果的满意程度。</w:t>
            </w:r>
          </w:p>
        </w:tc>
        <w:tc>
          <w:tcPr>
            <w:tcW w:w="60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社会公众或服务对象是指因该项目实施而受到影响的部门（单位）、群体或个人。一般采取社会调查的方式。</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jc w:val="center"/>
        </w:trPr>
        <w:tc>
          <w:tcPr>
            <w:tcW w:w="11854" w:type="dxa"/>
            <w:gridSpan w:val="5"/>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总分</w:t>
            </w:r>
          </w:p>
        </w:tc>
        <w:tc>
          <w:tcPr>
            <w:tcW w:w="692"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100.00 </w:t>
            </w:r>
          </w:p>
        </w:tc>
        <w:tc>
          <w:tcPr>
            <w:tcW w:w="69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100.00 </w:t>
            </w:r>
          </w:p>
        </w:tc>
      </w:tr>
    </w:tbl>
    <w:p>
      <w:pPr>
        <w:rPr>
          <w:rFonts w:hint="default" w:ascii="Times New Roman" w:hAnsi="Times New Roman" w:cs="Times New Roman"/>
        </w:rPr>
      </w:pPr>
    </w:p>
    <w:sectPr>
      <w:headerReference r:id="rId3" w:type="default"/>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39A5858"/>
    <w:rsid w:val="03ED3CD3"/>
    <w:rsid w:val="040F0B2E"/>
    <w:rsid w:val="04D23965"/>
    <w:rsid w:val="05253FFE"/>
    <w:rsid w:val="05A64A65"/>
    <w:rsid w:val="063168C5"/>
    <w:rsid w:val="064B49C6"/>
    <w:rsid w:val="0783444F"/>
    <w:rsid w:val="097A289F"/>
    <w:rsid w:val="09C93624"/>
    <w:rsid w:val="0AD77D7A"/>
    <w:rsid w:val="0E8B4590"/>
    <w:rsid w:val="0EE7670E"/>
    <w:rsid w:val="0F2A6BF7"/>
    <w:rsid w:val="109249EB"/>
    <w:rsid w:val="109627EE"/>
    <w:rsid w:val="10D74385"/>
    <w:rsid w:val="10D931BA"/>
    <w:rsid w:val="12884409"/>
    <w:rsid w:val="12F4415B"/>
    <w:rsid w:val="14EA53F6"/>
    <w:rsid w:val="1599022D"/>
    <w:rsid w:val="15A36945"/>
    <w:rsid w:val="16693C8B"/>
    <w:rsid w:val="17136327"/>
    <w:rsid w:val="176F6CB9"/>
    <w:rsid w:val="17CC07E6"/>
    <w:rsid w:val="17EB3094"/>
    <w:rsid w:val="181871E2"/>
    <w:rsid w:val="186C3B7D"/>
    <w:rsid w:val="19166846"/>
    <w:rsid w:val="1A9C560C"/>
    <w:rsid w:val="1D2C1DAF"/>
    <w:rsid w:val="1DA116EF"/>
    <w:rsid w:val="1DC86736"/>
    <w:rsid w:val="1DFB6972"/>
    <w:rsid w:val="1E354C20"/>
    <w:rsid w:val="1F117AEB"/>
    <w:rsid w:val="20461414"/>
    <w:rsid w:val="204B0BA9"/>
    <w:rsid w:val="20E92B23"/>
    <w:rsid w:val="222F7FF4"/>
    <w:rsid w:val="22AC2218"/>
    <w:rsid w:val="23C34B8D"/>
    <w:rsid w:val="23FF116E"/>
    <w:rsid w:val="24194072"/>
    <w:rsid w:val="25777C1C"/>
    <w:rsid w:val="25966E11"/>
    <w:rsid w:val="26B34673"/>
    <w:rsid w:val="2729052F"/>
    <w:rsid w:val="276C5514"/>
    <w:rsid w:val="2822389F"/>
    <w:rsid w:val="28295831"/>
    <w:rsid w:val="2853381A"/>
    <w:rsid w:val="28C14634"/>
    <w:rsid w:val="2C2B0C83"/>
    <w:rsid w:val="2CBD0A42"/>
    <w:rsid w:val="2D6C0EBE"/>
    <w:rsid w:val="2DB911AA"/>
    <w:rsid w:val="2EC724D4"/>
    <w:rsid w:val="2EE30257"/>
    <w:rsid w:val="31041786"/>
    <w:rsid w:val="328D2FA2"/>
    <w:rsid w:val="32A12E7D"/>
    <w:rsid w:val="33C2126C"/>
    <w:rsid w:val="347161EB"/>
    <w:rsid w:val="34DA27CE"/>
    <w:rsid w:val="36411DC5"/>
    <w:rsid w:val="36B72533"/>
    <w:rsid w:val="3A560E78"/>
    <w:rsid w:val="3ABE0835"/>
    <w:rsid w:val="3D1D3920"/>
    <w:rsid w:val="3DEF5D4E"/>
    <w:rsid w:val="3FA1207C"/>
    <w:rsid w:val="3FB44062"/>
    <w:rsid w:val="4057649F"/>
    <w:rsid w:val="418B3A13"/>
    <w:rsid w:val="433438C5"/>
    <w:rsid w:val="434E4AE8"/>
    <w:rsid w:val="43AD1FC0"/>
    <w:rsid w:val="44272B9C"/>
    <w:rsid w:val="443978AC"/>
    <w:rsid w:val="450B6AE4"/>
    <w:rsid w:val="46852EC6"/>
    <w:rsid w:val="475520EF"/>
    <w:rsid w:val="48554C2F"/>
    <w:rsid w:val="48E716A2"/>
    <w:rsid w:val="49EF5C26"/>
    <w:rsid w:val="4A1F7DC8"/>
    <w:rsid w:val="4BAD032F"/>
    <w:rsid w:val="4C3A0695"/>
    <w:rsid w:val="4CBB3C1E"/>
    <w:rsid w:val="4CC23432"/>
    <w:rsid w:val="4D4072CE"/>
    <w:rsid w:val="4DB67601"/>
    <w:rsid w:val="4E9A1F20"/>
    <w:rsid w:val="4EE41DE1"/>
    <w:rsid w:val="500660D7"/>
    <w:rsid w:val="516260DD"/>
    <w:rsid w:val="54873A1A"/>
    <w:rsid w:val="56796849"/>
    <w:rsid w:val="568F383B"/>
    <w:rsid w:val="570B2D4A"/>
    <w:rsid w:val="57FC58FD"/>
    <w:rsid w:val="595444AA"/>
    <w:rsid w:val="5AC63F91"/>
    <w:rsid w:val="5B032238"/>
    <w:rsid w:val="5BF24DF9"/>
    <w:rsid w:val="5C674F43"/>
    <w:rsid w:val="5D555EEF"/>
    <w:rsid w:val="5D740666"/>
    <w:rsid w:val="5DA95371"/>
    <w:rsid w:val="5F5D0C71"/>
    <w:rsid w:val="5FCD77F2"/>
    <w:rsid w:val="61D423FD"/>
    <w:rsid w:val="63043D8D"/>
    <w:rsid w:val="63253CC1"/>
    <w:rsid w:val="63D65CCE"/>
    <w:rsid w:val="64D650A9"/>
    <w:rsid w:val="660F3DDF"/>
    <w:rsid w:val="66F6083B"/>
    <w:rsid w:val="673B51D1"/>
    <w:rsid w:val="684E2201"/>
    <w:rsid w:val="686F7714"/>
    <w:rsid w:val="690357C8"/>
    <w:rsid w:val="6980095F"/>
    <w:rsid w:val="6A862BA8"/>
    <w:rsid w:val="6BD63DDE"/>
    <w:rsid w:val="6DC64D7C"/>
    <w:rsid w:val="6DFC1C65"/>
    <w:rsid w:val="6E9B4E9F"/>
    <w:rsid w:val="6F867CE6"/>
    <w:rsid w:val="70033A03"/>
    <w:rsid w:val="713C0776"/>
    <w:rsid w:val="731E3B6B"/>
    <w:rsid w:val="737B79B8"/>
    <w:rsid w:val="750A0D5A"/>
    <w:rsid w:val="75652C43"/>
    <w:rsid w:val="75FA041F"/>
    <w:rsid w:val="76012370"/>
    <w:rsid w:val="760F49BD"/>
    <w:rsid w:val="76B6737F"/>
    <w:rsid w:val="76E870A0"/>
    <w:rsid w:val="77F303E0"/>
    <w:rsid w:val="793E0533"/>
    <w:rsid w:val="79887711"/>
    <w:rsid w:val="79BD517B"/>
    <w:rsid w:val="7A644820"/>
    <w:rsid w:val="7ABD2774"/>
    <w:rsid w:val="7AE40DD7"/>
    <w:rsid w:val="7BEF23FB"/>
    <w:rsid w:val="7C721C3C"/>
    <w:rsid w:val="7DEB33E4"/>
    <w:rsid w:val="7E180D82"/>
    <w:rsid w:val="7EC777C6"/>
    <w:rsid w:val="7FDC0581"/>
    <w:rsid w:val="7FE21DFC"/>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6">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7">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annotation subject"/>
    <w:basedOn w:val="5"/>
    <w:next w:val="1"/>
    <w:unhideWhenUsed/>
    <w:qFormat/>
    <w:uiPriority w:val="0"/>
    <w:pPr>
      <w:ind w:firstLine="420" w:firstLineChars="200"/>
    </w:pPr>
    <w:rPr>
      <w:b/>
      <w:bCs/>
    </w:rPr>
  </w:style>
  <w:style w:type="paragraph" w:styleId="5">
    <w:name w:val="annotation text"/>
    <w:basedOn w:val="1"/>
    <w:qFormat/>
    <w:uiPriority w:val="0"/>
    <w:pPr>
      <w:jc w:val="left"/>
    </w:pPr>
  </w:style>
  <w:style w:type="paragraph" w:styleId="8">
    <w:name w:val="Normal Indent"/>
    <w:basedOn w:val="1"/>
    <w:qFormat/>
    <w:uiPriority w:val="0"/>
    <w:pPr>
      <w:ind w:firstLine="420" w:firstLineChars="200"/>
    </w:pPr>
  </w:style>
  <w:style w:type="paragraph" w:styleId="9">
    <w:name w:val="footer"/>
    <w:basedOn w:val="1"/>
    <w:link w:val="22"/>
    <w:semiHidden/>
    <w:unhideWhenUsed/>
    <w:qFormat/>
    <w:uiPriority w:val="99"/>
    <w:pPr>
      <w:tabs>
        <w:tab w:val="center" w:pos="4153"/>
        <w:tab w:val="right" w:pos="8306"/>
      </w:tabs>
      <w:snapToGrid w:val="0"/>
      <w:jc w:val="left"/>
    </w:pPr>
    <w:rPr>
      <w:sz w:val="18"/>
      <w:szCs w:val="18"/>
    </w:rPr>
  </w:style>
  <w:style w:type="paragraph" w:styleId="10">
    <w:name w:val="header"/>
    <w:basedOn w:val="1"/>
    <w:link w:val="2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2">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6">
    <w:name w:val="Strong"/>
    <w:qFormat/>
    <w:uiPriority w:val="0"/>
    <w:rPr>
      <w:b/>
      <w:bCs/>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customStyle="1" w:styleId="18">
    <w:name w:val="标题 1 Char"/>
    <w:basedOn w:val="15"/>
    <w:link w:val="6"/>
    <w:qFormat/>
    <w:uiPriority w:val="9"/>
    <w:rPr>
      <w:rFonts w:ascii="Times New Roman" w:hAnsi="Times New Roman" w:eastAsia="仿宋_GB2312" w:cs="Times New Roman"/>
      <w:b/>
      <w:bCs/>
      <w:kern w:val="44"/>
      <w:sz w:val="44"/>
      <w:szCs w:val="44"/>
    </w:rPr>
  </w:style>
  <w:style w:type="character" w:customStyle="1" w:styleId="19">
    <w:name w:val="标题 2 Char"/>
    <w:basedOn w:val="15"/>
    <w:link w:val="7"/>
    <w:qFormat/>
    <w:uiPriority w:val="9"/>
    <w:rPr>
      <w:rFonts w:asciiTheme="majorHAnsi" w:hAnsiTheme="majorHAnsi" w:eastAsiaTheme="majorEastAsia" w:cstheme="majorBidi"/>
      <w:b/>
      <w:bCs/>
      <w:sz w:val="32"/>
      <w:szCs w:val="32"/>
    </w:rPr>
  </w:style>
  <w:style w:type="paragraph" w:customStyle="1" w:styleId="20">
    <w:name w:val="TOC Heading"/>
    <w:basedOn w:val="6"/>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1">
    <w:name w:val="页眉 Char"/>
    <w:basedOn w:val="15"/>
    <w:link w:val="10"/>
    <w:semiHidden/>
    <w:qFormat/>
    <w:uiPriority w:val="99"/>
    <w:rPr>
      <w:rFonts w:ascii="Times New Roman" w:hAnsi="Times New Roman" w:eastAsia="仿宋_GB2312" w:cs="Times New Roman"/>
      <w:sz w:val="18"/>
      <w:szCs w:val="18"/>
    </w:rPr>
  </w:style>
  <w:style w:type="character" w:customStyle="1" w:styleId="22">
    <w:name w:val="页脚 Char"/>
    <w:basedOn w:val="15"/>
    <w:link w:val="9"/>
    <w:semiHidden/>
    <w:qFormat/>
    <w:uiPriority w:val="99"/>
    <w:rPr>
      <w:rFonts w:ascii="Times New Roman" w:hAnsi="Times New Roman" w:eastAsia="仿宋_GB2312" w:cs="Times New Roman"/>
      <w:sz w:val="18"/>
      <w:szCs w:val="18"/>
    </w:rPr>
  </w:style>
  <w:style w:type="paragraph" w:customStyle="1" w:styleId="23">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14</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2026-07-02T08:18:54Z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