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outlineLvl w:val="9"/>
        <w:rPr>
          <w:rFonts w:hint="eastAsia" w:ascii="宋体" w:hAnsi="宋体" w:eastAsia="宋体" w:cs="Arial"/>
          <w:b/>
          <w:bCs/>
          <w:color w:val="auto"/>
          <w:sz w:val="52"/>
          <w:szCs w:val="52"/>
        </w:rPr>
      </w:pPr>
      <w:r>
        <w:rPr>
          <w:rFonts w:hint="eastAsia" w:ascii="宋体" w:hAnsi="宋体" w:eastAsia="宋体" w:cs="Arial"/>
          <w:b/>
          <w:bCs/>
          <w:color w:val="auto"/>
          <w:sz w:val="52"/>
          <w:szCs w:val="52"/>
        </w:rPr>
        <w:t>伊犁州霍尔果斯市公共停车场建设</w:t>
      </w:r>
    </w:p>
    <w:p>
      <w:pPr>
        <w:jc w:val="center"/>
        <w:outlineLvl w:val="9"/>
        <w:rPr>
          <w:rFonts w:ascii="宋体" w:hAnsi="宋体" w:eastAsia="宋体" w:cs="Arial"/>
          <w:b/>
          <w:bCs/>
          <w:color w:val="auto"/>
          <w:sz w:val="52"/>
          <w:szCs w:val="52"/>
        </w:rPr>
      </w:pPr>
      <w:r>
        <w:rPr>
          <w:rFonts w:hint="eastAsia" w:ascii="宋体" w:hAnsi="宋体" w:eastAsia="宋体" w:cs="Arial"/>
          <w:b/>
          <w:bCs/>
          <w:color w:val="auto"/>
          <w:sz w:val="52"/>
          <w:szCs w:val="52"/>
          <w:lang w:eastAsia="zh-CN"/>
        </w:rPr>
        <w:t>资金</w:t>
      </w: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3</w:t>
      </w:r>
      <w:r>
        <w:rPr>
          <w:rFonts w:hint="eastAsia" w:ascii="红豆小标宋简体" w:hAnsi="红豆小标宋简体" w:eastAsia="红豆小标宋简体" w:cs="红豆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项目名称：</w:t>
      </w:r>
      <w:r>
        <w:rPr>
          <w:rFonts w:hint="eastAsia" w:ascii="宋体" w:hAnsi="宋体" w:eastAsia="宋体" w:cs="仿宋_GB2312"/>
          <w:b/>
          <w:bCs/>
          <w:color w:val="auto"/>
          <w:kern w:val="0"/>
          <w:sz w:val="32"/>
          <w:szCs w:val="32"/>
        </w:rPr>
        <w:tab/>
      </w:r>
      <w:r>
        <w:rPr>
          <w:rFonts w:hint="eastAsia" w:ascii="宋体" w:hAnsi="宋体" w:eastAsia="宋体" w:cs="仿宋_GB2312"/>
          <w:b/>
          <w:bCs/>
          <w:color w:val="auto"/>
          <w:kern w:val="0"/>
          <w:sz w:val="32"/>
          <w:szCs w:val="32"/>
        </w:rPr>
        <w:t>伊犁州霍尔果斯市公共停车场建设项目</w:t>
      </w:r>
    </w:p>
    <w:p>
      <w:pPr>
        <w:spacing w:line="560" w:lineRule="exact"/>
        <w:ind w:firstLine="321" w:firstLineChars="100"/>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rPr>
        <w:t>实施单位（公章）：</w:t>
      </w:r>
      <w:r>
        <w:rPr>
          <w:rFonts w:hint="eastAsia" w:ascii="宋体" w:hAnsi="宋体" w:eastAsia="宋体" w:cs="仿宋_GB2312"/>
          <w:b/>
          <w:bCs/>
          <w:color w:val="auto"/>
          <w:kern w:val="0"/>
          <w:sz w:val="32"/>
          <w:szCs w:val="32"/>
          <w:lang w:eastAsia="zh-CN"/>
        </w:rPr>
        <w:t>新疆维吾尔自治区霍尔果斯经济开发区管理委员会口岸管理局</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主管部门（公章）：</w:t>
      </w:r>
    </w:p>
    <w:p>
      <w:pPr>
        <w:spacing w:line="560" w:lineRule="exact"/>
        <w:ind w:firstLine="321" w:firstLineChars="100"/>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hint="eastAsia" w:ascii="宋体" w:hAnsi="宋体" w:eastAsia="宋体" w:cs="仿宋_GB2312"/>
          <w:b/>
          <w:bCs/>
          <w:color w:val="auto"/>
          <w:kern w:val="0"/>
          <w:sz w:val="32"/>
          <w:szCs w:val="32"/>
          <w:lang w:eastAsia="zh-CN"/>
        </w:rPr>
        <w:t>哈山鹏</w:t>
      </w:r>
    </w:p>
    <w:p>
      <w:pPr>
        <w:spacing w:line="560" w:lineRule="exact"/>
        <w:ind w:firstLine="321" w:firstLineChars="100"/>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4</w:t>
      </w:r>
      <w:r>
        <w:rPr>
          <w:rFonts w:hint="eastAsia" w:ascii="宋体" w:hAnsi="宋体" w:eastAsia="宋体" w:cs="仿宋_GB2312"/>
          <w:color w:val="auto"/>
          <w:kern w:val="0"/>
          <w:sz w:val="32"/>
          <w:szCs w:val="32"/>
        </w:rPr>
        <w:t>月</w:t>
      </w:r>
      <w:r>
        <w:rPr>
          <w:rFonts w:hint="eastAsia" w:ascii="宋体" w:hAnsi="宋体" w:eastAsia="宋体" w:cs="仿宋_GB2312"/>
          <w:color w:val="auto"/>
          <w:kern w:val="0"/>
          <w:sz w:val="32"/>
          <w:szCs w:val="32"/>
          <w:lang w:val="en-US" w:eastAsia="zh-CN"/>
        </w:rPr>
        <w:t>10</w:t>
      </w:r>
      <w:r>
        <w:rPr>
          <w:rFonts w:hint="eastAsia" w:ascii="宋体" w:hAnsi="宋体" w:eastAsia="宋体" w:cs="仿宋_GB2312"/>
          <w:color w:val="auto"/>
          <w:kern w:val="0"/>
          <w:sz w:val="32"/>
          <w:szCs w:val="32"/>
        </w:rPr>
        <w:t>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spacing w:before="0" w:beforeLines="0" w:after="0" w:afterLines="0" w:line="240" w:lineRule="auto"/>
        <w:ind w:left="0" w:leftChars="0" w:right="0" w:rightChars="0" w:firstLine="0" w:firstLineChars="0"/>
        <w:jc w:val="left"/>
        <w:rPr>
          <w:rFonts w:hint="eastAsia" w:ascii="黑体" w:hAnsi="黑体" w:eastAsia="黑体" w:cs="黑体"/>
          <w:color w:val="auto"/>
          <w:sz w:val="32"/>
          <w:szCs w:val="32"/>
        </w:rPr>
      </w:pPr>
      <w:bookmarkStart w:id="0" w:name="_Toc32722"/>
      <w:bookmarkStart w:id="1" w:name="_Toc68703827"/>
      <w:r>
        <w:rPr>
          <w:rFonts w:hint="eastAsia" w:ascii="黑体" w:hAnsi="黑体" w:eastAsia="黑体" w:cs="黑体"/>
          <w:color w:val="auto"/>
          <w:sz w:val="32"/>
          <w:szCs w:val="32"/>
        </w:rPr>
        <w:t>一、基本情况</w:t>
      </w:r>
      <w:bookmarkEnd w:id="0"/>
      <w:bookmarkEnd w:id="1"/>
    </w:p>
    <w:p>
      <w:pPr>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sz w:val="32"/>
          <w:szCs w:val="32"/>
          <w:lang w:eastAsia="zh-CN"/>
        </w:rPr>
      </w:pPr>
      <w:bookmarkStart w:id="2" w:name="_Toc14983"/>
      <w:bookmarkStart w:id="3" w:name="_Toc68703828"/>
      <w:r>
        <w:rPr>
          <w:rFonts w:hint="eastAsia" w:ascii="Times New Roman" w:hAnsi="Times New Roman" w:eastAsia="楷体_GB2312" w:cs="Times New Roman"/>
          <w:b/>
          <w:bCs/>
          <w:color w:val="auto"/>
          <w:sz w:val="32"/>
          <w:szCs w:val="32"/>
          <w:lang w:eastAsia="zh-CN"/>
        </w:rPr>
        <w:t>（一）项目概况</w:t>
      </w:r>
      <w:bookmarkEnd w:id="2"/>
      <w:bookmarkEnd w:id="3"/>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cs="Times New Roman"/>
          <w:color w:val="auto"/>
          <w:lang w:val="en-US" w:eastAsia="zh-CN"/>
        </w:rPr>
      </w:pPr>
      <w:r>
        <w:rPr>
          <w:rFonts w:hint="eastAsia"/>
          <w:color w:val="auto"/>
          <w:sz w:val="32"/>
          <w:szCs w:val="32"/>
          <w:lang w:val="en-US" w:eastAsia="zh-CN"/>
        </w:rPr>
        <w:t>根据伊州发改投资〔2023〕40号文件，伊犁州霍尔果斯市公共停车场建设项目目建设内容为：新建停车场80000平方米及配套附属设备，项目中标价为24295247.07万元，现已完成工程进度90%，计划于2024年5月完工。根据合同约定，现申请500万预算资金用于支付工程进度款。该项目建成后将改善霍尔果斯出行条件，提高交通运输效率，实现公路运输现代化的迫切要求，且有利于提高交通安全运行。快速、便捷的交通网络改善城市经济圈的交流条件，加块区域内的经济循环，带动了城市经济圈的开发和建设，对经济社会的发展具有重要的促进作用，保障一带一路通道畅通。</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s="Times New Roman"/>
          <w:b w:val="0"/>
          <w:bCs w:val="0"/>
          <w:sz w:val="32"/>
          <w:szCs w:val="32"/>
          <w:lang w:val="en-US" w:eastAsia="zh-CN"/>
        </w:rPr>
      </w:pPr>
      <w:r>
        <w:rPr>
          <w:rFonts w:hint="eastAsia" w:cs="Times New Roman"/>
          <w:b w:val="0"/>
          <w:bCs w:val="0"/>
          <w:sz w:val="32"/>
          <w:szCs w:val="32"/>
          <w:lang w:val="en-US" w:eastAsia="zh-CN"/>
        </w:rPr>
        <w:t>　2.主要内容及实施情况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主要内容：将改善霍尔果斯出行条件，提高交通运输效率，实现公路运输现代化的迫切要求，且有利于提高交通安全运行。快速、便捷的交通网络改善城市经济圈的交流条件，加块区域内的经济循环，带动了城市经济圈的开发和建设，对经济社会的发展具有重要的促进作用，保障一带一路通道畅通。</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color w:val="auto"/>
          <w:sz w:val="32"/>
          <w:szCs w:val="32"/>
          <w:lang w:val="en-US" w:eastAsia="zh-CN"/>
        </w:rPr>
      </w:pPr>
      <w:r>
        <w:rPr>
          <w:rFonts w:hint="eastAsia"/>
          <w:color w:val="auto"/>
          <w:sz w:val="32"/>
          <w:szCs w:val="32"/>
          <w:lang w:val="en-US" w:eastAsia="zh-CN"/>
        </w:rPr>
        <w:t>实施情况：截至2023年12月底，该项目已经完成工程进度的85%，按照合同将在2024年完工。</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s="Times New Roman"/>
          <w:b w:val="0"/>
          <w:bCs w:val="0"/>
          <w:sz w:val="32"/>
          <w:szCs w:val="32"/>
          <w:lang w:val="en-US" w:eastAsia="zh-CN"/>
        </w:rPr>
      </w:pPr>
      <w:r>
        <w:rPr>
          <w:rFonts w:hint="eastAsia" w:cs="Times New Roman"/>
          <w:b w:val="0"/>
          <w:bCs w:val="0"/>
          <w:sz w:val="32"/>
          <w:szCs w:val="32"/>
          <w:lang w:val="en-US" w:eastAsia="zh-CN"/>
        </w:rPr>
        <w:t>　3.资金投入和使用情况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资金投入情况：该项目年初预算数0万元，全年预算数500万元，实际总投入万元，该项目资金落实到位500万元，资金来源为本级财政拨款资金。</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资金使用情况：该项目年初预算数0万元，全年预算数500万元，全年执行数500万元，预算执行率为100%，用于：公共停车场建设</w:t>
      </w:r>
      <w:bookmarkStart w:id="4" w:name="_Toc7929"/>
      <w:bookmarkStart w:id="5" w:name="_Toc68703829"/>
    </w:p>
    <w:p>
      <w:pPr>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项目绩效目标。</w:t>
      </w:r>
      <w:bookmarkEnd w:id="4"/>
      <w:bookmarkEnd w:id="5"/>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b w:val="0"/>
          <w:bCs w:val="0"/>
          <w:sz w:val="32"/>
          <w:szCs w:val="32"/>
          <w:lang w:eastAsia="zh-CN"/>
        </w:rPr>
        <w:t>1</w:t>
      </w:r>
      <w:r>
        <w:rPr>
          <w:rFonts w:hint="eastAsia"/>
          <w:b w:val="0"/>
          <w:bCs w:val="0"/>
          <w:sz w:val="32"/>
          <w:szCs w:val="32"/>
          <w:lang w:val="en-US" w:eastAsia="zh-CN"/>
        </w:rPr>
        <w:t>.</w:t>
      </w:r>
      <w:r>
        <w:rPr>
          <w:rFonts w:hint="eastAsia"/>
          <w:b w:val="0"/>
          <w:bCs w:val="0"/>
          <w:sz w:val="32"/>
          <w:szCs w:val="32"/>
          <w:lang w:eastAsia="zh-CN"/>
        </w:rPr>
        <w:t>总体目标：</w:t>
      </w:r>
      <w:r>
        <w:rPr>
          <w:rFonts w:hint="eastAsia"/>
          <w:color w:val="auto"/>
          <w:sz w:val="32"/>
          <w:szCs w:val="32"/>
          <w:lang w:val="en-US" w:eastAsia="zh-CN"/>
        </w:rPr>
        <w:t>根据伊州发改投资〔2023〕40号文件，伊犁州霍尔果斯市公共停车场建设项目目建设内容为：新建停车场80000平方米及配套附属设备，项目中标价为24295247.07万元，现已完成工程进度90%，计划于2024年5月完工。现申请500万预算资金用于支付工程进度款。该项目建成后将改善霍尔果斯出行条件，提高交通运输效率，实现公路运输现代化的迫切要求，且有利于提高交通安全运行。快速、便捷的交通网络改善城市经济圈的交流条件，加块区域内的经济循环，带动了城市经济圈的开发和建设，对经济社会的发展具有重要的促进作用，保障一带一路通道畅通。</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2.阶段性目标：按照合同计划，于2023年12月底完成工程进度的85%，剩余工程将在2024年度完成。</w:t>
      </w:r>
      <w:bookmarkStart w:id="6" w:name="_Toc10277"/>
      <w:bookmarkStart w:id="7" w:name="_Toc68703830"/>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二、绩效评价工作开展情况</w:t>
      </w:r>
      <w:bookmarkEnd w:id="6"/>
      <w:bookmarkEnd w:id="7"/>
      <w:bookmarkStart w:id="8" w:name="_Toc19595"/>
      <w:bookmarkStart w:id="9" w:name="_Toc68703831"/>
    </w:p>
    <w:p>
      <w:pPr>
        <w:numPr>
          <w:ilvl w:val="0"/>
          <w:numId w:val="0"/>
        </w:numPr>
        <w:spacing w:line="560" w:lineRule="exact"/>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（一）绩效评价目的、对象和范围。</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1.绩效评价目的：</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通过绩效评价，客观地评判项目的管理绩效，了解和掌握伊犁州霍尔果斯市公共停车场建设项目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并加强项目绩效管理，同时为项目后续资金投入、分配和管理提供决策依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伊犁州霍尔果斯市公共停车场建设项目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3.绩效评价范围：</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本次评价从项目决策（包括绩效目标、决策过程）、项目管理（包括项目资金、项目实施）、项目产出（包括项目产出数量、产出质量、产出时效和产出成本）项目效益四个维度进行伊犁州霍尔果斯市公共停车场建设项目评价，评价核心为资金的支出完成情况和效果。</w:t>
      </w:r>
      <w:bookmarkStart w:id="10" w:name="_Toc68703832"/>
      <w:bookmarkStart w:id="11" w:name="_Toc13643"/>
    </w:p>
    <w:p>
      <w:pPr>
        <w:numPr>
          <w:ilvl w:val="0"/>
          <w:numId w:val="0"/>
        </w:numPr>
        <w:spacing w:line="560" w:lineRule="exact"/>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（二）绩效评价原则、评价指标体系、评价方法、评价标准等。</w:t>
      </w:r>
      <w:bookmarkEnd w:id="10"/>
      <w:bookmarkEnd w:id="11"/>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1.绩效评价原则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本次项目绩效评价遵循以下基本原则：</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（二）统筹兼顾。本次项目支出绩效评价由本单位自主实施，即“谁支出、谁自评”。</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（四）公开透明。本次项目支出绩效评价结果已依法依规公开在霍尔果斯政务公开网站上，并自觉接受社会监督。</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3、评价方法</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本次项目支出绩效自评采用成本效益分析法、因素分析法，原因是：</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（一）成本效益分析法。是指将投入与产出、效益进行关联性分析的方法。</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（二）因素分析法。是指综合分析影响绩效目标实现、实施效果的内外部因素的方法。</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4.评价标准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w:t>
      </w:r>
      <w:r>
        <w:rPr>
          <w:rFonts w:hint="eastAsia" w:ascii="Times New Roman" w:hAnsi="Times New Roman" w:eastAsia="仿宋_GB2312" w:cs="Times New Roman"/>
          <w:b w:val="0"/>
          <w:bCs w:val="0"/>
          <w:color w:val="000000"/>
          <w:spacing w:val="17"/>
          <w:kern w:val="2"/>
          <w:sz w:val="32"/>
          <w:szCs w:val="32"/>
          <w:lang w:val="en-US" w:eastAsia="zh-CN" w:bidi="ar-SA"/>
        </w:rPr>
        <w:t>本次项目支出绩效自评采用计划标准</w:t>
      </w:r>
      <w:r>
        <w:rPr>
          <w:rFonts w:hint="eastAsia" w:cs="Times New Roman"/>
          <w:b w:val="0"/>
          <w:bCs w:val="0"/>
          <w:color w:val="000000"/>
          <w:spacing w:val="17"/>
          <w:kern w:val="2"/>
          <w:sz w:val="32"/>
          <w:szCs w:val="32"/>
          <w:lang w:val="en-US" w:eastAsia="zh-CN" w:bidi="ar-SA"/>
        </w:rPr>
        <w:t>。</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2" w:name="_Toc68703833"/>
      <w:r>
        <w:rPr>
          <w:rFonts w:hint="eastAsia" w:ascii="Times New Roman" w:hAnsi="Times New Roman" w:eastAsia="楷体_GB2312" w:cs="Times New Roman"/>
          <w:b/>
          <w:bCs/>
          <w:kern w:val="2"/>
          <w:sz w:val="32"/>
          <w:szCs w:val="32"/>
          <w:lang w:val="en-US" w:eastAsia="zh-CN" w:bidi="ar-SA"/>
        </w:rPr>
        <w:t>（</w:t>
      </w:r>
      <w:r>
        <w:rPr>
          <w:rFonts w:hint="eastAsia" w:eastAsia="楷体_GB2312" w:cs="Times New Roman"/>
          <w:b/>
          <w:bCs/>
          <w:kern w:val="2"/>
          <w:sz w:val="32"/>
          <w:szCs w:val="32"/>
          <w:lang w:val="en-US" w:eastAsia="zh-CN" w:bidi="ar-SA"/>
        </w:rPr>
        <w:t>三</w:t>
      </w:r>
      <w:r>
        <w:rPr>
          <w:rFonts w:hint="eastAsia" w:ascii="Times New Roman" w:hAnsi="Times New Roman" w:eastAsia="楷体_GB2312" w:cs="Times New Roman"/>
          <w:b/>
          <w:bCs/>
          <w:kern w:val="2"/>
          <w:sz w:val="32"/>
          <w:szCs w:val="32"/>
          <w:lang w:val="en-US" w:eastAsia="zh-CN" w:bidi="ar-SA"/>
        </w:rPr>
        <w:t>）绩效评价工作过程。</w:t>
      </w:r>
      <w:bookmarkEnd w:id="12"/>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1.前期准备：</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2023年10月1日，</w:t>
      </w:r>
      <w:r>
        <w:rPr>
          <w:rFonts w:hint="eastAsia" w:ascii="Times New Roman" w:hAnsi="Times New Roman" w:eastAsia="仿宋_GB2312" w:cs="Times New Roman"/>
          <w:b w:val="0"/>
          <w:bCs w:val="0"/>
          <w:color w:val="000000"/>
          <w:spacing w:val="17"/>
          <w:kern w:val="2"/>
          <w:sz w:val="32"/>
          <w:szCs w:val="32"/>
          <w:lang w:val="zh-CN" w:eastAsia="zh-CN" w:bidi="ar-SA"/>
        </w:rPr>
        <w:t>开始前期准备工作，评价组通过前期调研</w:t>
      </w:r>
      <w:r>
        <w:rPr>
          <w:rFonts w:hint="eastAsia" w:ascii="Times New Roman" w:hAnsi="Times New Roman" w:eastAsia="仿宋_GB2312" w:cs="Times New Roman"/>
          <w:b w:val="0"/>
          <w:bCs w:val="0"/>
          <w:color w:val="000000"/>
          <w:spacing w:val="17"/>
          <w:kern w:val="2"/>
          <w:sz w:val="32"/>
          <w:szCs w:val="32"/>
          <w:lang w:val="en-US" w:eastAsia="zh-CN" w:bidi="ar-SA"/>
        </w:rPr>
        <w:t>确定绩效评价对象和范围，</w:t>
      </w:r>
      <w:r>
        <w:rPr>
          <w:rFonts w:hint="eastAsia" w:ascii="Times New Roman" w:hAnsi="Times New Roman" w:eastAsia="仿宋_GB2312" w:cs="Times New Roman"/>
          <w:b w:val="0"/>
          <w:bCs w:val="0"/>
          <w:color w:val="000000"/>
          <w:spacing w:val="17"/>
          <w:kern w:val="2"/>
          <w:sz w:val="32"/>
          <w:szCs w:val="32"/>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Times New Roman" w:hAnsi="Times New Roman" w:eastAsia="仿宋_GB2312" w:cs="Times New Roman"/>
          <w:b w:val="0"/>
          <w:bCs w:val="0"/>
          <w:color w:val="000000"/>
          <w:spacing w:val="17"/>
          <w:kern w:val="2"/>
          <w:sz w:val="32"/>
          <w:szCs w:val="32"/>
          <w:lang w:val="en-US" w:eastAsia="zh-CN" w:bidi="ar-SA"/>
        </w:rPr>
        <w:t>绩效评价工作方案；</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2.组织实施：</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2023年11月1日，评价工作进入实施阶段，评价组收集绩效评价相关数据资料，进行现场调研、座谈；并与项目实施负责人沟通，了解资金的内容、操作流程、管理机制、资金使用方向等情况，分析形成初步结论。</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3.分析评价：</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000000"/>
          <w:spacing w:val="17"/>
          <w:kern w:val="2"/>
          <w:sz w:val="32"/>
          <w:szCs w:val="32"/>
          <w:lang w:val="en-US" w:eastAsia="zh-CN" w:bidi="ar-SA"/>
        </w:rPr>
      </w:pPr>
      <w:r>
        <w:rPr>
          <w:rFonts w:hint="eastAsia" w:ascii="Times New Roman" w:hAnsi="Times New Roman" w:eastAsia="仿宋_GB2312" w:cs="Times New Roman"/>
          <w:b w:val="0"/>
          <w:bCs w:val="0"/>
          <w:color w:val="000000"/>
          <w:spacing w:val="17"/>
          <w:kern w:val="2"/>
          <w:sz w:val="32"/>
          <w:szCs w:val="32"/>
          <w:lang w:val="en-US" w:eastAsia="zh-CN" w:bidi="ar-SA"/>
        </w:rPr>
        <w:t>2023年12月1日-12月15日，评价组按照绩效评价的原则和规范，对取得的资料进行审查核实，对采集的数据进行分析，按照绩效评价指标评分表逐项进行打分、分析，汇总各方评价结果，综合分析并形成评价结论。</w:t>
      </w:r>
    </w:p>
    <w:p>
      <w:pPr>
        <w:numPr>
          <w:ilvl w:val="0"/>
          <w:numId w:val="0"/>
        </w:numPr>
        <w:spacing w:line="560" w:lineRule="exact"/>
        <w:rPr>
          <w:rFonts w:hint="eastAsia" w:eastAsia="黑体" w:cs="Times New Roman"/>
          <w:bCs/>
          <w:sz w:val="32"/>
          <w:szCs w:val="32"/>
          <w:lang w:val="en-US" w:eastAsia="zh-CN"/>
        </w:rPr>
      </w:pPr>
      <w:bookmarkStart w:id="13" w:name="_Toc30755"/>
      <w:bookmarkStart w:id="14" w:name="_Toc68703834"/>
      <w:r>
        <w:rPr>
          <w:rFonts w:hint="eastAsia" w:eastAsia="黑体" w:cs="Times New Roman"/>
          <w:bCs/>
          <w:sz w:val="32"/>
          <w:szCs w:val="32"/>
          <w:lang w:val="en-US" w:eastAsia="zh-CN"/>
        </w:rPr>
        <w:t>三、综合评价情况及评价结论</w:t>
      </w:r>
      <w:bookmarkEnd w:id="13"/>
      <w:bookmarkEnd w:id="14"/>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5" w:name="_Toc68703835"/>
      <w:bookmarkStart w:id="16" w:name="_Toc31620"/>
      <w:r>
        <w:rPr>
          <w:rFonts w:hint="eastAsia" w:ascii="Times New Roman" w:hAnsi="Times New Roman" w:eastAsia="楷体_GB2312" w:cs="Times New Roman"/>
          <w:b/>
          <w:bCs/>
          <w:kern w:val="2"/>
          <w:sz w:val="32"/>
          <w:szCs w:val="32"/>
          <w:lang w:val="en-US" w:eastAsia="zh-CN" w:bidi="ar-SA"/>
        </w:rPr>
        <w:t>（一）综合评价情况</w:t>
      </w:r>
      <w:bookmarkEnd w:id="15"/>
      <w:bookmarkEnd w:id="16"/>
    </w:p>
    <w:p>
      <w:pPr>
        <w:pageBreakBefore w:val="0"/>
        <w:widowControl w:val="0"/>
        <w:kinsoku/>
        <w:wordWrap/>
        <w:overflowPunct/>
        <w:topLinePunct w:val="0"/>
        <w:autoSpaceDE/>
        <w:autoSpaceDN/>
        <w:bidi w:val="0"/>
        <w:adjustRightInd/>
        <w:snapToGrid/>
        <w:spacing w:line="560" w:lineRule="exact"/>
        <w:ind w:firstLine="642"/>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评价结论</w:t>
      </w:r>
    </w:p>
    <w:p>
      <w:pPr>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kern w:val="28"/>
          <w:sz w:val="32"/>
          <w:szCs w:val="32"/>
          <w:lang w:val="en-US" w:eastAsia="zh-CN" w:bidi="ar-SA"/>
        </w:rPr>
      </w:pPr>
      <w:r>
        <w:rPr>
          <w:rFonts w:hint="eastAsia"/>
          <w:b w:val="0"/>
          <w:bCs w:val="0"/>
          <w:lang w:eastAsia="zh-CN"/>
        </w:rPr>
        <w:t>　　</w:t>
      </w: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分，属于“优”。其中，项目决策类指标权重为20分，得分为</w:t>
      </w:r>
      <w:r>
        <w:rPr>
          <w:rFonts w:hint="eastAsia" w:cs="Times New Roman"/>
          <w:b w:val="0"/>
          <w:bCs w:val="0"/>
          <w:kern w:val="28"/>
          <w:sz w:val="32"/>
          <w:szCs w:val="32"/>
          <w:lang w:val="en-US" w:eastAsia="zh-CN" w:bidi="ar-SA"/>
        </w:rPr>
        <w:t>20</w:t>
      </w:r>
      <w:r>
        <w:rPr>
          <w:rFonts w:hint="eastAsia" w:ascii="Times New Roman" w:hAnsi="Times New Roman" w:eastAsia="仿宋_GB2312" w:cs="Times New Roman"/>
          <w:b w:val="0"/>
          <w:bCs w:val="0"/>
          <w:kern w:val="28"/>
          <w:sz w:val="32"/>
          <w:szCs w:val="32"/>
          <w:lang w:val="en-US" w:eastAsia="zh-CN" w:bidi="ar-SA"/>
        </w:rPr>
        <w:t xml:space="preserve">分，得分率为 </w:t>
      </w:r>
      <w:r>
        <w:rPr>
          <w:rFonts w:hint="eastAsia"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%。项目过程类指标权重为20分，得分为</w:t>
      </w:r>
      <w:r>
        <w:rPr>
          <w:rFonts w:hint="eastAsia" w:cs="Times New Roman"/>
          <w:b w:val="0"/>
          <w:bCs w:val="0"/>
          <w:kern w:val="28"/>
          <w:sz w:val="32"/>
          <w:szCs w:val="32"/>
          <w:lang w:val="en-US" w:eastAsia="zh-CN" w:bidi="ar-SA"/>
        </w:rPr>
        <w:t>20</w:t>
      </w:r>
      <w:r>
        <w:rPr>
          <w:rFonts w:hint="eastAsia" w:ascii="Times New Roman" w:hAnsi="Times New Roman" w:eastAsia="仿宋_GB2312" w:cs="Times New Roman"/>
          <w:b w:val="0"/>
          <w:bCs w:val="0"/>
          <w:kern w:val="28"/>
          <w:sz w:val="32"/>
          <w:szCs w:val="32"/>
          <w:lang w:val="en-US" w:eastAsia="zh-CN" w:bidi="ar-SA"/>
        </w:rPr>
        <w:t>分，得分率为</w:t>
      </w:r>
      <w:r>
        <w:rPr>
          <w:rFonts w:hint="eastAsia"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%。项目产出类指标权重为40分，得分为</w:t>
      </w:r>
      <w:r>
        <w:rPr>
          <w:rFonts w:hint="eastAsia" w:cs="Times New Roman"/>
          <w:b w:val="0"/>
          <w:bCs w:val="0"/>
          <w:kern w:val="28"/>
          <w:sz w:val="32"/>
          <w:szCs w:val="32"/>
          <w:lang w:val="en-US" w:eastAsia="zh-CN" w:bidi="ar-SA"/>
        </w:rPr>
        <w:t>40</w:t>
      </w:r>
      <w:r>
        <w:rPr>
          <w:rFonts w:hint="eastAsia" w:ascii="Times New Roman" w:hAnsi="Times New Roman" w:eastAsia="仿宋_GB2312" w:cs="Times New Roman"/>
          <w:b w:val="0"/>
          <w:bCs w:val="0"/>
          <w:kern w:val="28"/>
          <w:sz w:val="32"/>
          <w:szCs w:val="32"/>
          <w:lang w:val="en-US" w:eastAsia="zh-CN" w:bidi="ar-SA"/>
        </w:rPr>
        <w:t xml:space="preserve">分，得分率为 </w:t>
      </w:r>
      <w:r>
        <w:rPr>
          <w:rFonts w:hint="eastAsia"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%。项目效益类指标权重为20分，得分为</w:t>
      </w:r>
      <w:r>
        <w:rPr>
          <w:rFonts w:hint="eastAsia" w:cs="Times New Roman"/>
          <w:b w:val="0"/>
          <w:bCs w:val="0"/>
          <w:kern w:val="28"/>
          <w:sz w:val="32"/>
          <w:szCs w:val="32"/>
          <w:lang w:val="en-US" w:eastAsia="zh-CN" w:bidi="ar-SA"/>
        </w:rPr>
        <w:t>20</w:t>
      </w:r>
      <w:r>
        <w:rPr>
          <w:rFonts w:hint="eastAsia" w:ascii="Times New Roman" w:hAnsi="Times New Roman" w:eastAsia="仿宋_GB2312" w:cs="Times New Roman"/>
          <w:b w:val="0"/>
          <w:bCs w:val="0"/>
          <w:kern w:val="28"/>
          <w:sz w:val="32"/>
          <w:szCs w:val="32"/>
          <w:lang w:val="en-US" w:eastAsia="zh-CN" w:bidi="ar-SA"/>
        </w:rPr>
        <w:t>分，得分率为</w:t>
      </w:r>
      <w:r>
        <w:rPr>
          <w:rFonts w:hint="eastAsia" w:cs="Times New Roman"/>
          <w:b w:val="0"/>
          <w:bCs w:val="0"/>
          <w:kern w:val="28"/>
          <w:sz w:val="32"/>
          <w:szCs w:val="32"/>
          <w:lang w:val="en-US" w:eastAsia="zh-CN" w:bidi="ar-SA"/>
        </w:rPr>
        <w:t>100</w:t>
      </w:r>
      <w:r>
        <w:rPr>
          <w:rFonts w:hint="eastAsia" w:ascii="Times New Roman" w:hAnsi="Times New Roman" w:eastAsia="仿宋_GB2312" w:cs="Times New Roman"/>
          <w:b w:val="0"/>
          <w:bCs w:val="0"/>
          <w:kern w:val="28"/>
          <w:sz w:val="32"/>
          <w:szCs w:val="32"/>
          <w:lang w:val="en-US" w:eastAsia="zh-CN" w:bidi="ar-SA"/>
        </w:rPr>
        <w:t>%。具体打分情况详见：附件1综合评分表。</w:t>
      </w:r>
    </w:p>
    <w:p>
      <w:pPr>
        <w:pageBreakBefore w:val="0"/>
        <w:kinsoku/>
        <w:wordWrap/>
        <w:overflowPunct/>
        <w:topLinePunct w:val="0"/>
        <w:autoSpaceDE/>
        <w:autoSpaceDN/>
        <w:bidi w:val="0"/>
        <w:adjustRightInd/>
        <w:snapToGrid/>
        <w:spacing w:line="560" w:lineRule="exact"/>
        <w:ind w:firstLine="640" w:firstLineChars="200"/>
        <w:jc w:val="both"/>
        <w:textAlignment w:val="auto"/>
        <w:rPr>
          <w:color w:val="auto"/>
        </w:rPr>
      </w:pPr>
      <w:r>
        <w:rPr>
          <w:rFonts w:hint="eastAsia" w:ascii="仿宋_GB2312" w:hAnsiTheme="majorHAnsi" w:cstheme="majorBidi"/>
          <w:b w:val="0"/>
          <w:bCs w:val="0"/>
          <w:color w:val="auto"/>
          <w:kern w:val="2"/>
          <w:sz w:val="32"/>
          <w:szCs w:val="32"/>
          <w:lang w:val="en-US" w:eastAsia="zh-CN" w:bidi="ar-SA"/>
        </w:rPr>
        <w:t>　　　　　　　　　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22"/>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lang w:val="en-US" w:eastAsia="zh-CN"/>
              </w:rPr>
            </w:pPr>
            <w:r>
              <w:rPr>
                <w:rFonts w:hint="eastAsia"/>
                <w:b/>
                <w:bCs/>
                <w:color w:val="auto"/>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四、绩效评价指标分析</w:t>
      </w:r>
    </w:p>
    <w:p>
      <w:pPr>
        <w:spacing w:line="560" w:lineRule="exact"/>
        <w:rPr>
          <w:rFonts w:hint="eastAsia" w:ascii="Times New Roman" w:hAnsi="Times New Roman" w:eastAsia="楷体_GB2312" w:cs="Times New Roman"/>
          <w:b/>
          <w:bCs/>
          <w:kern w:val="2"/>
          <w:sz w:val="32"/>
          <w:szCs w:val="32"/>
          <w:lang w:val="en-US" w:eastAsia="zh-CN" w:bidi="ar-SA"/>
        </w:rPr>
      </w:pPr>
      <w:bookmarkStart w:id="17" w:name="_Toc68703838"/>
      <w:r>
        <w:rPr>
          <w:rFonts w:hint="eastAsia" w:ascii="Times New Roman" w:hAnsi="Times New Roman" w:eastAsia="楷体_GB2312" w:cs="Times New Roman"/>
          <w:b/>
          <w:bCs/>
          <w:kern w:val="2"/>
          <w:sz w:val="32"/>
          <w:szCs w:val="32"/>
          <w:lang w:val="en-US" w:eastAsia="zh-CN" w:bidi="ar-SA"/>
        </w:rPr>
        <w:t>（一）项目决策情况</w:t>
      </w:r>
      <w:bookmarkEnd w:id="17"/>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b w:val="0"/>
          <w:bCs w:val="0"/>
          <w:color w:val="auto"/>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8" w:name="_Hlk68699917"/>
      <w:bookmarkStart w:id="19" w:name="_Toc68703839"/>
      <w:bookmarkStart w:id="20" w:name="_Toc26304"/>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8"/>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2"/>
        </w:numPr>
        <w:spacing w:before="0" w:after="0" w:line="560" w:lineRule="exact"/>
        <w:jc w:val="both"/>
        <w:rPr>
          <w:rFonts w:hint="eastAsia" w:ascii="楷体" w:hAnsi="楷体" w:eastAsia="楷体" w:cs="楷体"/>
          <w:lang w:eastAsia="zh-CN"/>
        </w:rPr>
      </w:pPr>
      <w:r>
        <w:rPr>
          <w:rFonts w:hint="eastAsia" w:ascii="楷体" w:hAnsi="楷体" w:eastAsia="楷体" w:cs="楷体"/>
          <w:lang w:eastAsia="zh-CN"/>
        </w:rPr>
        <w:t>项目过程情况。</w:t>
      </w:r>
      <w:bookmarkEnd w:id="19"/>
      <w:bookmarkEnd w:id="20"/>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outlineLvl w:val="0"/>
        <w:rPr>
          <w:rFonts w:hint="eastAsia"/>
          <w:lang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w:t>
      </w:r>
      <w:r>
        <w:rPr>
          <w:rFonts w:hint="eastAsia"/>
          <w:color w:val="auto"/>
          <w:sz w:val="32"/>
          <w:szCs w:val="32"/>
          <w:lang w:val="en-US" w:eastAsia="zh-CN"/>
        </w:rPr>
        <w:t>目总投资</w:t>
      </w:r>
      <w:r>
        <w:rPr>
          <w:rFonts w:hint="eastAsia"/>
          <w:color w:val="auto"/>
          <w:sz w:val="32"/>
          <w:szCs w:val="32"/>
          <w:lang w:val="en-US" w:eastAsia="zh-CN"/>
        </w:rPr>
        <w:t>24295247.07万元，现已完成工程进度90%，计划于2024年5月完工。财政资金及时足额到位，到位率100%，</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eastAsia="仿宋_GB2312" w:cs="仿宋_GB2312"/>
          <w:sz w:val="32"/>
          <w:szCs w:val="32"/>
          <w:lang w:val="en-US" w:eastAsia="zh-CN"/>
        </w:rPr>
        <w:t>500万元，预算执行率为100%</w:t>
      </w:r>
      <w:r>
        <w:rPr>
          <w:rFonts w:hint="eastAsia" w:ascii="仿宋_GB2312" w:hAnsi="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4"/>
        <w:pageBreakBefore w:val="0"/>
        <w:numPr>
          <w:ilvl w:val="0"/>
          <w:numId w:val="2"/>
        </w:numPr>
        <w:kinsoku/>
        <w:wordWrap/>
        <w:overflowPunct/>
        <w:topLinePunct w:val="0"/>
        <w:autoSpaceDE/>
        <w:autoSpaceDN/>
        <w:bidi w:val="0"/>
        <w:adjustRightInd/>
        <w:snapToGrid/>
        <w:spacing w:line="560" w:lineRule="exact"/>
        <w:ind w:left="0" w:leftChars="0" w:firstLine="0" w:firstLineChars="0"/>
        <w:textAlignment w:val="auto"/>
        <w:rPr>
          <w:rFonts w:hint="eastAsia" w:ascii="Times New Roman" w:hAnsi="Times New Roman" w:eastAsia="楷体_GB2312" w:cs="Times New Roman"/>
          <w:b/>
          <w:bCs/>
          <w:kern w:val="2"/>
          <w:sz w:val="32"/>
          <w:szCs w:val="32"/>
          <w:lang w:val="en-US" w:eastAsia="zh-CN" w:bidi="ar-SA"/>
        </w:rPr>
      </w:pPr>
      <w:bookmarkStart w:id="21" w:name="_Toc91"/>
      <w:bookmarkStart w:id="22" w:name="_Toc68703840"/>
      <w:r>
        <w:rPr>
          <w:rFonts w:hint="eastAsia" w:ascii="Times New Roman" w:hAnsi="Times New Roman" w:eastAsia="楷体_GB2312" w:cs="Times New Roman"/>
          <w:b/>
          <w:bCs/>
          <w:kern w:val="2"/>
          <w:sz w:val="32"/>
          <w:szCs w:val="32"/>
          <w:lang w:val="en-US" w:eastAsia="zh-CN" w:bidi="ar-SA"/>
        </w:rPr>
        <w:t>项目产出情况。</w:t>
      </w:r>
      <w:bookmarkEnd w:id="21"/>
      <w:bookmarkEnd w:id="22"/>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项目产出类指标包括产出数量、产出质量、产出时效、产出成本四方面的内容，由7</w:t>
      </w:r>
      <w:r>
        <w:rPr>
          <w:rFonts w:hint="eastAsia" w:ascii="仿宋_GB2312" w:hAnsi="仿宋_GB2312" w:eastAsia="仿宋_GB2312" w:cs="仿宋_GB2312"/>
          <w:sz w:val="32"/>
          <w:szCs w:val="32"/>
          <w:lang w:val="en-US" w:eastAsia="zh-CN"/>
        </w:rPr>
        <w:t>个三级指标构成，权重分为40分，实际得分40分，得分率为100%。</w:t>
      </w:r>
      <w:r>
        <w:rPr>
          <w:rFonts w:hint="eastAsia" w:ascii="仿宋_GB2312" w:hAnsi="仿宋_GB2312" w:eastAsia="仿宋_GB2312" w:cs="仿宋_GB2312"/>
          <w:sz w:val="32"/>
          <w:szCs w:val="32"/>
          <w:lang w:val="en-US" w:eastAsia="zh-CN"/>
        </w:rPr>
        <w:t>具体产出指标完成情况如下：</w:t>
      </w:r>
    </w:p>
    <w:p>
      <w:pPr>
        <w:numPr>
          <w:ilvl w:val="0"/>
          <w:numId w:val="3"/>
        </w:num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w:t>
      </w:r>
    </w:p>
    <w:p>
      <w:pPr>
        <w:numPr>
          <w:numId w:val="0"/>
        </w:numPr>
        <w:shd w:val="clear"/>
        <w:spacing w:line="600" w:lineRule="exact"/>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指标1：新建公共停车场面积，指标值：=80000平方米，实际完成值=80000平方米，指标完成率100%；</w:t>
      </w:r>
    </w:p>
    <w:p>
      <w:pPr>
        <w:numPr>
          <w:numId w:val="0"/>
        </w:numPr>
        <w:shd w:val="clear"/>
        <w:spacing w:line="600" w:lineRule="exact"/>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指标2：附属设备（门卫室），指标值：=2套，实际完成值=2套，指标完成率100%。</w:t>
      </w:r>
    </w:p>
    <w:p>
      <w:pPr>
        <w:numPr>
          <w:ilvl w:val="0"/>
          <w:numId w:val="3"/>
        </w:numPr>
        <w:shd w:val="clear"/>
        <w:spacing w:line="60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w:t>
      </w:r>
    </w:p>
    <w:p>
      <w:pPr>
        <w:numPr>
          <w:numId w:val="0"/>
        </w:numPr>
        <w:shd w:val="clear"/>
        <w:spacing w:line="600" w:lineRule="exact"/>
        <w:ind w:leftChars="200"/>
        <w:jc w:val="left"/>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指标1：项目设计变更率，指标值：≤5%，实际完成值0</w:t>
      </w:r>
      <w:r>
        <w:rPr>
          <w:rFonts w:hint="eastAsia" w:ascii="仿宋_GB2312" w:hAnsi="仿宋_GB2312" w:cs="仿宋_GB2312"/>
          <w:sz w:val="32"/>
          <w:szCs w:val="32"/>
          <w:lang w:val="en-US" w:eastAsia="zh-CN"/>
        </w:rPr>
        <w:t>%，</w:t>
      </w:r>
    </w:p>
    <w:p>
      <w:pPr>
        <w:keepNext w:val="0"/>
        <w:keepLines w:val="0"/>
        <w:pageBreakBefore w:val="0"/>
        <w:widowControl w:val="0"/>
        <w:numPr>
          <w:numId w:val="0"/>
        </w:numPr>
        <w:shd w:val="clear"/>
        <w:kinsoku/>
        <w:wordWrap/>
        <w:overflowPunct/>
        <w:topLinePunct w:val="0"/>
        <w:autoSpaceDE/>
        <w:autoSpaceDN/>
        <w:bidi w:val="0"/>
        <w:adjustRightInd/>
        <w:snapToGrid/>
        <w:spacing w:line="600" w:lineRule="exact"/>
        <w:ind w:left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指标完成率100%；</w:t>
      </w:r>
    </w:p>
    <w:p>
      <w:pPr>
        <w:numPr>
          <w:numId w:val="0"/>
        </w:numPr>
        <w:shd w:val="clear"/>
        <w:spacing w:line="600" w:lineRule="exact"/>
        <w:ind w:firstLine="64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指标2：竣工验收合格率，指标值：=100%，实际完成值0%，指标完成率0%，偏差原因：项目按照合同，在2024年完成竣工验收工作，目前竣工验收工作还未开展；</w:t>
      </w:r>
    </w:p>
    <w:p>
      <w:pPr>
        <w:numPr>
          <w:numId w:val="0"/>
        </w:numPr>
        <w:shd w:val="clear"/>
        <w:spacing w:line="600" w:lineRule="exact"/>
        <w:ind w:firstLine="64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指标3：项目资金支付率，指标值：=100%，实际完成值100%，指标完成率100%；</w:t>
      </w:r>
    </w:p>
    <w:p>
      <w:pPr>
        <w:numPr>
          <w:ilvl w:val="0"/>
          <w:numId w:val="3"/>
        </w:numPr>
        <w:shd w:val="clear"/>
        <w:spacing w:line="60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w:t>
      </w:r>
    </w:p>
    <w:p>
      <w:pPr>
        <w:keepNext w:val="0"/>
        <w:keepLines w:val="0"/>
        <w:pageBreakBefore w:val="0"/>
        <w:widowControl w:val="0"/>
        <w:numPr>
          <w:numId w:val="0"/>
        </w:numPr>
        <w:shd w:val="clear"/>
        <w:kinsoku/>
        <w:wordWrap/>
        <w:overflowPunct/>
        <w:topLinePunct w:val="0"/>
        <w:autoSpaceDE/>
        <w:autoSpaceDN/>
        <w:bidi w:val="0"/>
        <w:adjustRightInd/>
        <w:snapToGrid/>
        <w:spacing w:line="600" w:lineRule="exact"/>
        <w:ind w:leftChars="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指标1：项目计划开工率，指标值：=100%，指标值：=100%，实际完成值=100%，指标完成率100%；</w:t>
      </w:r>
    </w:p>
    <w:p>
      <w:pPr>
        <w:numPr>
          <w:numId w:val="0"/>
        </w:numPr>
        <w:shd w:val="clear"/>
        <w:spacing w:line="600" w:lineRule="exact"/>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指标2：项目计划完工率，指标值：=100%，实际完成值=85%，指标完成率100%。</w:t>
      </w:r>
    </w:p>
    <w:p>
      <w:pPr>
        <w:pageBreakBefore w:val="0"/>
        <w:widowControl w:val="0"/>
        <w:numPr>
          <w:ilvl w:val="0"/>
          <w:numId w:val="2"/>
        </w:numPr>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Times New Roman" w:hAnsi="Times New Roman" w:eastAsia="楷体_GB2312" w:cs="Times New Roman"/>
          <w:b/>
          <w:bCs/>
          <w:kern w:val="2"/>
          <w:sz w:val="32"/>
          <w:szCs w:val="32"/>
          <w:lang w:val="en-US" w:eastAsia="zh-CN" w:bidi="ar-SA"/>
        </w:rPr>
      </w:pPr>
      <w:bookmarkStart w:id="23" w:name="_Toc68703841"/>
      <w:bookmarkStart w:id="24" w:name="_Toc6518"/>
      <w:r>
        <w:rPr>
          <w:rFonts w:hint="eastAsia" w:ascii="Times New Roman" w:hAnsi="Times New Roman" w:eastAsia="楷体_GB2312" w:cs="Times New Roman"/>
          <w:b/>
          <w:bCs/>
          <w:kern w:val="2"/>
          <w:sz w:val="32"/>
          <w:szCs w:val="32"/>
          <w:lang w:val="en-US" w:eastAsia="zh-CN" w:bidi="ar-SA"/>
        </w:rPr>
        <w:t>项目效益情况。</w:t>
      </w:r>
      <w:bookmarkEnd w:id="23"/>
      <w:bookmarkEnd w:id="2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项目效益类指标包括项目实施效益和满意度两方面的内容，由4</w:t>
      </w:r>
      <w:r>
        <w:rPr>
          <w:rFonts w:hint="eastAsia" w:ascii="仿宋_GB2312" w:hAnsi="仿宋_GB2312" w:eastAsia="仿宋_GB2312" w:cs="仿宋_GB2312"/>
          <w:sz w:val="32"/>
          <w:szCs w:val="32"/>
          <w:lang w:val="en-US" w:eastAsia="zh-CN"/>
        </w:rPr>
        <w:t>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outlineLvl w:val="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t>社会效益指标：</w:t>
      </w:r>
    </w:p>
    <w:p>
      <w:pPr>
        <w:shd w:val="clear"/>
        <w:spacing w:line="600" w:lineRule="exact"/>
        <w:ind w:firstLine="64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指标1：正常运转率，指标值：=100%，指标值：=100%，实际完成值=100%，指标完成率100%；</w:t>
      </w:r>
    </w:p>
    <w:p>
      <w:pPr>
        <w:shd w:val="clear"/>
        <w:spacing w:line="600" w:lineRule="exact"/>
        <w:ind w:firstLine="64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指标2：项目受益人数，指标值：&gt;=500人，实际完成值&gt;=500人，指标完成率100%；</w:t>
      </w:r>
    </w:p>
    <w:p>
      <w:pPr>
        <w:shd w:val="clear"/>
        <w:spacing w:line="600" w:lineRule="exact"/>
        <w:ind w:firstLine="64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指标3：提高通关效率，指标值：有效提高，实际完成值有效提高，指标完成率100%。</w:t>
      </w:r>
    </w:p>
    <w:p>
      <w:pPr>
        <w:numPr>
          <w:ilvl w:val="0"/>
          <w:numId w:val="4"/>
        </w:num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满意度指标：</w:t>
      </w:r>
    </w:p>
    <w:p>
      <w:pPr>
        <w:numPr>
          <w:numId w:val="0"/>
        </w:numPr>
        <w:shd w:val="clear"/>
        <w:spacing w:line="600" w:lineRule="exact"/>
        <w:ind w:firstLine="64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指标1：办公人员满意度，指标值：≥95%，实际完成值=100%，指标完成率105%。</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numPr>
          <w:numId w:val="0"/>
        </w:numPr>
        <w:shd w:val="clear"/>
        <w:spacing w:line="600" w:lineRule="exact"/>
        <w:outlineLvl w:val="0"/>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伊犁州霍尔果斯市公共停车场建设项目</w:t>
      </w:r>
      <w:r>
        <w:rPr>
          <w:rFonts w:hint="eastAsia" w:ascii="仿宋_GB2312" w:hAnsi="仿宋_GB2312" w:eastAsia="仿宋_GB2312" w:cs="仿宋_GB2312"/>
          <w:sz w:val="32"/>
          <w:szCs w:val="32"/>
          <w:lang w:val="en-US" w:eastAsia="zh-CN"/>
        </w:rPr>
        <w:t>项目年初预算</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lang w:val="en-US" w:eastAsia="zh-CN"/>
        </w:rPr>
        <w:t>万元，全年预算</w:t>
      </w:r>
      <w:r>
        <w:rPr>
          <w:rFonts w:hint="eastAsia" w:ascii="仿宋_GB2312" w:hAnsi="仿宋_GB2312" w:cs="仿宋_GB2312"/>
          <w:sz w:val="32"/>
          <w:szCs w:val="32"/>
          <w:lang w:val="en-US" w:eastAsia="zh-CN"/>
        </w:rPr>
        <w:t>500</w:t>
      </w:r>
      <w:r>
        <w:rPr>
          <w:rFonts w:hint="eastAsia" w:ascii="仿宋_GB2312" w:hAnsi="仿宋_GB2312" w:eastAsia="仿宋_GB2312" w:cs="仿宋_GB2312"/>
          <w:sz w:val="32"/>
          <w:szCs w:val="32"/>
          <w:lang w:val="en-US" w:eastAsia="zh-CN"/>
        </w:rPr>
        <w:t>万元，实际支出</w:t>
      </w:r>
      <w:r>
        <w:rPr>
          <w:rFonts w:hint="eastAsia" w:ascii="仿宋_GB2312" w:hAnsi="仿宋_GB2312" w:cs="仿宋_GB2312"/>
          <w:sz w:val="32"/>
          <w:szCs w:val="32"/>
          <w:lang w:val="en-US" w:eastAsia="zh-CN"/>
        </w:rPr>
        <w:t>500</w:t>
      </w:r>
      <w:r>
        <w:rPr>
          <w:rFonts w:hint="eastAsia" w:ascii="仿宋_GB2312" w:hAnsi="仿宋_GB2312" w:eastAsia="仿宋_GB2312" w:cs="仿宋_GB2312"/>
          <w:sz w:val="32"/>
          <w:szCs w:val="32"/>
          <w:lang w:val="en-US" w:eastAsia="zh-CN"/>
        </w:rPr>
        <w:t>万元，预算执行率为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%，项目绩效指标总体完成率为</w:t>
      </w:r>
      <w:r>
        <w:rPr>
          <w:rFonts w:hint="eastAsia" w:ascii="仿宋_GB2312" w:hAnsi="仿宋_GB2312" w:cs="仿宋_GB2312"/>
          <w:sz w:val="32"/>
          <w:szCs w:val="32"/>
          <w:lang w:val="en-US" w:eastAsia="zh-CN"/>
        </w:rPr>
        <w:t>91.36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总体</w:t>
      </w:r>
      <w:r>
        <w:rPr>
          <w:rFonts w:hint="eastAsia" w:ascii="仿宋_GB2312" w:hAnsi="仿宋_GB2312" w:eastAsia="仿宋_GB2312" w:cs="仿宋_GB2312"/>
          <w:sz w:val="32"/>
          <w:szCs w:val="32"/>
          <w:lang w:val="en-US" w:eastAsia="zh-CN"/>
        </w:rPr>
        <w:t>偏差率为</w:t>
      </w:r>
      <w:r>
        <w:rPr>
          <w:rFonts w:hint="eastAsia" w:ascii="仿宋_GB2312" w:hAnsi="仿宋_GB2312" w:cs="仿宋_GB2312"/>
          <w:sz w:val="32"/>
          <w:szCs w:val="32"/>
          <w:lang w:val="en-US" w:eastAsia="zh-CN"/>
        </w:rPr>
        <w:t>8.64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偏差</w:t>
      </w:r>
      <w:r>
        <w:rPr>
          <w:rFonts w:hint="eastAsia" w:ascii="仿宋_GB2312" w:hAnsi="仿宋_GB2312" w:eastAsia="仿宋_GB2312" w:cs="仿宋_GB2312"/>
          <w:sz w:val="32"/>
          <w:szCs w:val="32"/>
          <w:lang w:val="en-US" w:eastAsia="zh-CN"/>
        </w:rPr>
        <w:t>原因项目按照合同，在2024年完成竣工验收工作，目前竣工验收工作还未开展，</w:t>
      </w:r>
      <w:r>
        <w:rPr>
          <w:rFonts w:hint="eastAsia" w:ascii="仿宋_GB2312" w:hAnsi="仿宋_GB2312" w:eastAsia="仿宋_GB2312" w:cs="仿宋_GB2312"/>
          <w:sz w:val="32"/>
          <w:szCs w:val="32"/>
          <w:lang w:val="en-US" w:eastAsia="zh-Hans"/>
        </w:rPr>
        <w:t>改进</w:t>
      </w:r>
      <w:r>
        <w:rPr>
          <w:rFonts w:hint="eastAsia" w:ascii="仿宋_GB2312" w:hAnsi="仿宋_GB2312" w:eastAsia="仿宋_GB2312" w:cs="仿宋_GB2312"/>
          <w:sz w:val="32"/>
          <w:szCs w:val="32"/>
          <w:lang w:val="en-US" w:eastAsia="zh-CN"/>
        </w:rPr>
        <w:t>措施</w:t>
      </w:r>
      <w:r>
        <w:rPr>
          <w:rFonts w:hint="eastAsia" w:ascii="仿宋_GB2312" w:hAnsi="仿宋_GB2312" w:cs="仿宋_GB2312"/>
          <w:sz w:val="32"/>
          <w:szCs w:val="32"/>
          <w:lang w:val="en-US" w:eastAsia="zh-CN"/>
        </w:rPr>
        <w:t>加快验收手续</w:t>
      </w:r>
      <w:r>
        <w:rPr>
          <w:rFonts w:hint="eastAsia" w:ascii="仿宋_GB2312" w:hAnsi="仿宋_GB2312" w:eastAsia="仿宋_GB2312" w:cs="仿宋_GB2312"/>
          <w:sz w:val="32"/>
          <w:szCs w:val="32"/>
          <w:lang w:val="en-US" w:eastAsia="zh-CN"/>
        </w:rPr>
        <w:t>。</w:t>
      </w:r>
    </w:p>
    <w:p>
      <w:pPr>
        <w:numPr>
          <w:numId w:val="0"/>
        </w:numPr>
        <w:spacing w:line="560" w:lineRule="exact"/>
        <w:rPr>
          <w:rFonts w:hint="eastAsia" w:ascii="Times New Roman" w:hAnsi="Times New Roman" w:eastAsia="黑体" w:cs="Times New Roman"/>
          <w:sz w:val="32"/>
          <w:szCs w:val="32"/>
          <w:lang w:eastAsia="zh-Hans"/>
        </w:rPr>
      </w:pPr>
      <w:bookmarkStart w:id="25" w:name="_Toc24912"/>
      <w:bookmarkStart w:id="26" w:name="_Toc68703842"/>
      <w:r>
        <w:rPr>
          <w:rFonts w:hint="eastAsia" w:eastAsia="黑体" w:cs="Times New Roman"/>
          <w:sz w:val="32"/>
          <w:szCs w:val="32"/>
          <w:lang w:eastAsia="zh-CN"/>
        </w:rPr>
        <w:t>六、</w:t>
      </w:r>
      <w:r>
        <w:rPr>
          <w:rFonts w:hint="eastAsia" w:ascii="Times New Roman" w:hAnsi="Times New Roman" w:eastAsia="黑体" w:cs="Times New Roman"/>
          <w:sz w:val="32"/>
          <w:szCs w:val="32"/>
          <w:lang w:eastAsia="zh-Hans"/>
        </w:rPr>
        <w:t>主要经验及做法、存在的问题及原因分析</w:t>
      </w:r>
      <w:bookmarkEnd w:id="25"/>
      <w:bookmarkEnd w:id="26"/>
      <w:bookmarkStart w:id="27" w:name="_Toc68703843"/>
      <w:bookmarkStart w:id="28" w:name="_Toc16754"/>
    </w:p>
    <w:p>
      <w:pPr>
        <w:numPr>
          <w:numId w:val="0"/>
        </w:numPr>
        <w:shd w:val="clear"/>
        <w:spacing w:line="600" w:lineRule="exact"/>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Times New Roman" w:hAnsi="Times New Roman" w:eastAsia="楷体_GB2312" w:cs="Times New Roman"/>
          <w:b/>
          <w:bCs/>
          <w:kern w:val="2"/>
          <w:sz w:val="32"/>
          <w:szCs w:val="32"/>
          <w:lang w:val="en-US" w:eastAsia="zh-CN" w:bidi="ar-SA"/>
        </w:rPr>
        <w:t>（一）主要经验及做法</w:t>
      </w:r>
      <w:bookmarkEnd w:id="27"/>
      <w:bookmarkEnd w:id="28"/>
      <w:bookmarkStart w:id="29" w:name="_Toc68703844"/>
      <w:bookmarkStart w:id="30" w:name="_Toc26219"/>
    </w:p>
    <w:p>
      <w:pPr>
        <w:numPr>
          <w:numId w:val="0"/>
        </w:numPr>
        <w:shd w:val="clear"/>
        <w:spacing w:line="600" w:lineRule="exact"/>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定期做好预算执行分析，掌握预算执行进度，及时找出预算实际执行情况与预算目标之间存在的差距，纠正偏差，为下一次科学、准确地编制部门预算积累经验。对绩效评价发现的问题，我们将分析存在问题的原因，搞好检查及整改，加快资金执行进度，切实做好服务监督工作。科学合理地制定项目绩效考核指标。增强绩效管理意识，提高绩效管理水平。资金使用方面，应加强对专项资金的管理，进一步规范资金的使用，提高财政资金科学化管理水平，切实提高资金使用效益。</w:t>
      </w:r>
    </w:p>
    <w:p>
      <w:pPr>
        <w:numPr>
          <w:ilvl w:val="0"/>
          <w:numId w:val="5"/>
        </w:numPr>
        <w:shd w:val="clear"/>
        <w:spacing w:line="600" w:lineRule="exact"/>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存在的问题及原因分析</w:t>
      </w:r>
      <w:bookmarkEnd w:id="29"/>
      <w:bookmarkEnd w:id="30"/>
      <w:bookmarkStart w:id="31" w:name="_Toc68703845"/>
      <w:bookmarkStart w:id="32" w:name="_Toc8724"/>
    </w:p>
    <w:p>
      <w:pPr>
        <w:numPr>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相关工作人员经验不足，对预算绩效管理、绩效理念尚未真正贯穿于实践工作，对于项目绩效评价工作重视不足，仅仅认为将资金的使用是否符合规定作为评判项目实施情况的依据，没有重视该项目所带来的后续影响。</w:t>
      </w:r>
    </w:p>
    <w:p>
      <w:pPr>
        <w:numPr>
          <w:numId w:val="0"/>
        </w:numPr>
        <w:shd w:val="clear"/>
        <w:spacing w:line="600" w:lineRule="exact"/>
        <w:ind w:firstLine="640"/>
        <w:outlineLvl w:val="0"/>
        <w:rPr>
          <w:rFonts w:hint="eastAsia" w:ascii="Times New Roman" w:hAnsi="Times New Roman" w:eastAsia="黑体" w:cs="Times New Roman"/>
          <w:b w:val="0"/>
          <w:bCs/>
          <w:kern w:val="2"/>
          <w:sz w:val="32"/>
          <w:szCs w:val="32"/>
          <w:lang w:val="en-US" w:eastAsia="zh-Hans"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w:t>
      </w:r>
      <w:r>
        <w:rPr>
          <w:rFonts w:hint="eastAsia" w:ascii="Times New Roman" w:hAnsi="Times New Roman" w:eastAsia="黑体" w:cs="Times New Roman"/>
          <w:b w:val="0"/>
          <w:bCs/>
          <w:kern w:val="2"/>
          <w:sz w:val="32"/>
          <w:szCs w:val="32"/>
          <w:lang w:val="en-US" w:eastAsia="zh-Hans" w:bidi="ar-SA"/>
        </w:rPr>
        <w:t>有关建议</w:t>
      </w:r>
      <w:bookmarkEnd w:id="31"/>
      <w:bookmarkEnd w:id="32"/>
    </w:p>
    <w:p>
      <w:pPr>
        <w:numPr>
          <w:ilvl w:val="0"/>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1.多进行有关绩效管理工作方面的培训。积极组织第三方开展绩效管理工作培训，进一步夯实业务基础，提高我单位绩效人员水平。</w:t>
      </w:r>
    </w:p>
    <w:p>
      <w:pPr>
        <w:numPr>
          <w:ilvl w:val="0"/>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2.专门设定对绩效工作人员定职、定岗、定责等相关制度措施，进一步提升我单位绩效管理工作业务水平，扎实做好绩效管理工作。</w:t>
      </w:r>
    </w:p>
    <w:p>
      <w:pPr>
        <w:numPr>
          <w:ilvl w:val="0"/>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numPr>
          <w:ilvl w:val="0"/>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4.进一步完善项目评价过程中有关数据和资料的收集、整理、审核及分析。项目启动时同步做好档案的归纳与整理，及时整理、收集、汇总，健全档案资料。项目后续管理有待进一步加强和跟踪。</w:t>
      </w:r>
    </w:p>
    <w:p>
      <w:pPr>
        <w:numPr>
          <w:ilvl w:val="0"/>
          <w:numId w:val="0"/>
        </w:numPr>
        <w:shd w:val="clear"/>
        <w:spacing w:line="600" w:lineRule="exact"/>
        <w:ind w:firstLine="640"/>
        <w:outlineLvl w:val="0"/>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eastAsia="仿宋_GB2312" w:hAnsiTheme="majorHAnsi" w:cstheme="majorBidi"/>
          <w:b w:val="0"/>
          <w:bCs w:val="0"/>
          <w:color w:val="auto"/>
          <w:kern w:val="2"/>
          <w:sz w:val="32"/>
          <w:szCs w:val="32"/>
          <w:lang w:val="en-US" w:eastAsia="zh-CN" w:bidi="ar-SA"/>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33" w:name="_Toc16207"/>
      <w:bookmarkStart w:id="34" w:name="_Toc68703846"/>
    </w:p>
    <w:p>
      <w:pPr>
        <w:numPr>
          <w:ilvl w:val="0"/>
          <w:numId w:val="0"/>
        </w:numPr>
        <w:shd w:val="clear"/>
        <w:spacing w:line="600" w:lineRule="exact"/>
        <w:ind w:firstLine="640"/>
        <w:outlineLvl w:val="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、其他需要说明的问题</w:t>
      </w:r>
      <w:bookmarkEnd w:id="33"/>
      <w:bookmarkEnd w:id="34"/>
    </w:p>
    <w:p>
      <w:pPr>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pPr>
        <w:pStyle w:val="2"/>
        <w:rPr>
          <w:rFonts w:hint="eastAsia" w:ascii="仿宋_GB2312" w:hAnsi="仿宋_GB2312" w:eastAsia="仿宋_GB2312" w:cs="仿宋_GB2312"/>
          <w:sz w:val="32"/>
          <w:szCs w:val="32"/>
          <w:highlight w:val="none"/>
          <w:lang w:eastAsia="zh-Hans"/>
        </w:rPr>
      </w:pPr>
    </w:p>
    <w:p>
      <w:pPr>
        <w:rPr>
          <w:rFonts w:hint="eastAsia" w:ascii="仿宋_GB2312" w:hAnsi="仿宋_GB2312" w:eastAsia="仿宋_GB2312" w:cs="仿宋_GB2312"/>
          <w:sz w:val="32"/>
          <w:szCs w:val="32"/>
          <w:highlight w:val="none"/>
          <w:lang w:eastAsia="zh-Hans"/>
        </w:rPr>
      </w:pPr>
    </w:p>
    <w:p>
      <w:pPr>
        <w:pStyle w:val="2"/>
        <w:rPr>
          <w:rFonts w:hint="eastAsia" w:ascii="仿宋_GB2312" w:hAnsi="仿宋_GB2312" w:eastAsia="仿宋_GB2312" w:cs="仿宋_GB2312"/>
          <w:sz w:val="32"/>
          <w:szCs w:val="32"/>
          <w:highlight w:val="none"/>
          <w:lang w:eastAsia="zh-Hans"/>
        </w:rPr>
      </w:pPr>
    </w:p>
    <w:p>
      <w:pPr>
        <w:rPr>
          <w:rFonts w:hint="eastAsia" w:ascii="仿宋_GB2312" w:hAnsi="仿宋_GB2312" w:eastAsia="仿宋_GB2312" w:cs="仿宋_GB2312"/>
          <w:sz w:val="32"/>
          <w:szCs w:val="32"/>
          <w:highlight w:val="none"/>
          <w:lang w:eastAsia="zh-Hans"/>
        </w:rPr>
      </w:pPr>
    </w:p>
    <w:p>
      <w:pPr>
        <w:pStyle w:val="2"/>
        <w:rPr>
          <w:rFonts w:hint="eastAsia" w:ascii="仿宋_GB2312" w:hAnsi="仿宋_GB2312" w:eastAsia="仿宋_GB2312" w:cs="仿宋_GB2312"/>
          <w:sz w:val="32"/>
          <w:szCs w:val="32"/>
          <w:highlight w:val="none"/>
          <w:lang w:eastAsia="zh-Hans"/>
        </w:rPr>
      </w:pPr>
    </w:p>
    <w:p>
      <w:pPr>
        <w:pStyle w:val="2"/>
        <w:jc w:val="both"/>
      </w:pPr>
    </w:p>
    <w:tbl>
      <w:tblPr>
        <w:tblW w:w="94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02"/>
        <w:gridCol w:w="749"/>
        <w:gridCol w:w="1339"/>
        <w:gridCol w:w="448"/>
        <w:gridCol w:w="906"/>
        <w:gridCol w:w="188"/>
        <w:gridCol w:w="1070"/>
        <w:gridCol w:w="661"/>
        <w:gridCol w:w="568"/>
        <w:gridCol w:w="142"/>
        <w:gridCol w:w="572"/>
        <w:gridCol w:w="97"/>
        <w:gridCol w:w="633"/>
        <w:gridCol w:w="15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94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94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70" w:hRule="atLeast"/>
        </w:trPr>
        <w:tc>
          <w:tcPr>
            <w:tcW w:w="125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189"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伊犁州霍尔果斯市公共停车场建设项目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25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395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新疆维吾尔自治区霍尔果斯经济开发区管理委员会口岸管理局</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009"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新疆维吾尔自治区霍尔果斯经济开发区管理委员会口岸管理局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251"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78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2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71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5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30" w:hRule="atLeast"/>
        </w:trPr>
        <w:tc>
          <w:tcPr>
            <w:tcW w:w="125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90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500.00</w:t>
            </w:r>
          </w:p>
        </w:tc>
        <w:tc>
          <w:tcPr>
            <w:tcW w:w="12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500.00</w:t>
            </w:r>
          </w:p>
        </w:tc>
        <w:tc>
          <w:tcPr>
            <w:tcW w:w="71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15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9" w:hRule="atLeast"/>
        </w:trPr>
        <w:tc>
          <w:tcPr>
            <w:tcW w:w="125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90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w:t>
            </w:r>
          </w:p>
        </w:tc>
        <w:tc>
          <w:tcPr>
            <w:tcW w:w="12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5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25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90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2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5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25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90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0.00</w:t>
            </w:r>
          </w:p>
        </w:tc>
        <w:tc>
          <w:tcPr>
            <w:tcW w:w="12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0.00</w:t>
            </w:r>
          </w:p>
        </w:tc>
        <w:tc>
          <w:tcPr>
            <w:tcW w:w="122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5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470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4238"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9"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0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快速、便捷的交通网络改善城市经济圈的交流条件，加块区域内的经济循环，带动了城市经济圈的开发和建设，对经济社会的发展具有重要的促进作用，保障一带一路通道畅通。</w:t>
            </w:r>
          </w:p>
        </w:tc>
        <w:tc>
          <w:tcPr>
            <w:tcW w:w="4238"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建成后将改善霍尔果斯出行条件，提高交通运输效率，实现公路运输现代化的迫切要求，且有利于提高交通安全运行。快速、便捷的交通网络改善城市经济圈的交流条件，加块区域内的经济循环，带动了城市经济圈的开发和建设，对经济社会的发展具有重要的促进作用，保障一带一路通道畅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70" w:hRule="atLeast"/>
        </w:trPr>
        <w:tc>
          <w:tcPr>
            <w:tcW w:w="5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3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1542"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07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66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71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66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219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2"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7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74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新建公共停车场面积</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=80000平方米</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80000平方米</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停车场收费设施数量</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=2套</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2套</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项目设计变更率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&lt;=5%</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竣工验收合格率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项目按照合同，在2024年完成竣工验收工作，目前竣工验收工作还未开展。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项目资金支付率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项目计划开工率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项目计划完工率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&gt;=85%</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85%</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正常运转率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项目受益人数</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&gt;=500人</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500人</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提高通关效率</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有效提高</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有效提高</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5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3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542"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办公人员满意度</w:t>
            </w:r>
          </w:p>
        </w:tc>
        <w:tc>
          <w:tcPr>
            <w:tcW w:w="1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66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项目圆满完成受益人员满意度较高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863"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93分</w:t>
            </w:r>
          </w:p>
        </w:tc>
        <w:tc>
          <w:tcPr>
            <w:tcW w:w="21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
      <w:pPr>
        <w:pStyle w:val="2"/>
      </w:pPr>
    </w:p>
    <w:p/>
    <w:p>
      <w:pPr>
        <w:pStyle w:val="2"/>
      </w:pPr>
    </w:p>
    <w:p/>
    <w:p>
      <w:pPr>
        <w:bidi w:val="0"/>
        <w:rPr>
          <w:rFonts w:ascii="Times New Roman" w:hAnsi="Times New Roman" w:eastAsia="仿宋_GB2312" w:cs="Times New Roman"/>
          <w:kern w:val="2"/>
          <w:sz w:val="30"/>
          <w:szCs w:val="24"/>
          <w:lang w:val="en-US" w:eastAsia="zh-CN" w:bidi="ar-SA"/>
        </w:rPr>
        <w:sectPr>
          <w:pgSz w:w="11906" w:h="16838"/>
          <w:pgMar w:top="1928" w:right="1531" w:bottom="1701" w:left="1531" w:header="737" w:footer="851" w:gutter="0"/>
          <w:cols w:space="720" w:num="1"/>
          <w:docGrid w:type="lines" w:linePitch="408" w:charSpace="0"/>
        </w:sectPr>
      </w:pPr>
    </w:p>
    <w:p>
      <w:pPr>
        <w:spacing w:line="560" w:lineRule="exact"/>
        <w:ind w:firstLine="281" w:firstLineChars="100"/>
        <w:rPr>
          <w:sz w:val="28"/>
          <w:szCs w:val="40"/>
          <w:highlight w:val="none"/>
        </w:rPr>
      </w:pPr>
      <w:bookmarkStart w:id="35" w:name="_Toc26499_WPSOffice_Level2"/>
      <w:bookmarkStart w:id="36" w:name="_Toc30064_WPSOffice_Level1"/>
      <w:r>
        <w:rPr>
          <w:rFonts w:hint="eastAsia" w:cs="Times New Roman"/>
          <w:b/>
          <w:bCs/>
          <w:kern w:val="0"/>
          <w:sz w:val="28"/>
          <w:szCs w:val="40"/>
          <w:highlight w:val="none"/>
          <w:lang w:val="en-US" w:eastAsia="zh-CN" w:bidi="ar-SA"/>
        </w:rPr>
        <w:t>　　　　　　　</w:t>
      </w:r>
      <w:bookmarkStart w:id="37" w:name="_GoBack"/>
      <w:bookmarkEnd w:id="37"/>
      <w:r>
        <w:rPr>
          <w:rFonts w:hint="eastAsia" w:ascii="Times New Roman" w:hAnsi="Times New Roman" w:eastAsia="仿宋_GB2312" w:cs="Times New Roman"/>
          <w:b/>
          <w:bCs/>
          <w:kern w:val="0"/>
          <w:sz w:val="28"/>
          <w:szCs w:val="40"/>
          <w:highlight w:val="none"/>
          <w:lang w:val="en-US" w:eastAsia="zh-CN" w:bidi="ar-SA"/>
        </w:rPr>
        <w:t>伊犁州霍尔果斯市公共停车场建设</w:t>
      </w:r>
      <w:r>
        <w:rPr>
          <w:rFonts w:hint="eastAsia"/>
          <w:b/>
          <w:bCs/>
          <w:sz w:val="28"/>
          <w:szCs w:val="40"/>
          <w:highlight w:val="none"/>
          <w:lang w:val="en-US" w:eastAsia="zh-CN"/>
        </w:rPr>
        <w:t>项目</w:t>
      </w:r>
      <w:r>
        <w:rPr>
          <w:rFonts w:hint="eastAsia"/>
          <w:b/>
          <w:bCs/>
          <w:sz w:val="28"/>
          <w:szCs w:val="40"/>
          <w:highlight w:val="none"/>
        </w:rPr>
        <w:t>绩效评价指标体系及综合评分表</w:t>
      </w:r>
      <w:bookmarkEnd w:id="35"/>
      <w:bookmarkEnd w:id="36"/>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p>
      <w:pPr>
        <w:pStyle w:val="2"/>
        <w:rPr>
          <w:lang w:val="en-US" w:eastAsia="zh-CN"/>
        </w:rPr>
        <w:sectPr>
          <w:pgSz w:w="16838" w:h="11906" w:orient="landscape"/>
          <w:pgMar w:top="1531" w:right="1928" w:bottom="1531" w:left="1701" w:header="737" w:footer="851" w:gutter="0"/>
          <w:cols w:space="720" w:num="1"/>
          <w:docGrid w:type="lines" w:linePitch="408" w:charSpace="0"/>
        </w:sectPr>
      </w:pPr>
    </w:p>
    <w:p>
      <w:pPr>
        <w:rPr>
          <w:lang w:val="en-US" w:eastAsia="zh-CN"/>
        </w:rPr>
      </w:pPr>
    </w:p>
    <w:p>
      <w:pPr>
        <w:bidi w:val="0"/>
        <w:rPr>
          <w:lang w:val="en-US" w:eastAsia="zh-CN"/>
        </w:rPr>
      </w:pPr>
    </w:p>
    <w:p>
      <w:pPr>
        <w:tabs>
          <w:tab w:val="left" w:pos="1947"/>
        </w:tabs>
        <w:bidi w:val="0"/>
        <w:jc w:val="left"/>
        <w:rPr>
          <w:lang w:val="en-US" w:eastAsia="zh-CN"/>
        </w:rPr>
      </w:pPr>
      <w:r>
        <w:rPr>
          <w:rFonts w:hint="eastAsia"/>
          <w:lang w:val="en-US" w:eastAsia="zh-CN"/>
        </w:rPr>
        <w:tab/>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55495"/>
    <w:multiLevelType w:val="singleLevel"/>
    <w:tmpl w:val="83B55495"/>
    <w:lvl w:ilvl="0" w:tentative="0">
      <w:start w:val="2"/>
      <w:numFmt w:val="chineseCounting"/>
      <w:suff w:val="nothing"/>
      <w:lvlText w:val="（%1）"/>
      <w:lvlJc w:val="left"/>
      <w:rPr>
        <w:rFonts w:hint="eastAsia"/>
      </w:rPr>
    </w:lvl>
  </w:abstractNum>
  <w:abstractNum w:abstractNumId="1">
    <w:nsid w:val="86A4A55B"/>
    <w:multiLevelType w:val="singleLevel"/>
    <w:tmpl w:val="86A4A55B"/>
    <w:lvl w:ilvl="0" w:tentative="0">
      <w:start w:val="2"/>
      <w:numFmt w:val="chineseCounting"/>
      <w:suff w:val="nothing"/>
      <w:lvlText w:val="（%1）"/>
      <w:lvlJc w:val="left"/>
      <w:rPr>
        <w:rFonts w:hint="eastAsia"/>
      </w:rPr>
    </w:lvl>
  </w:abstractNum>
  <w:abstractNum w:abstractNumId="2">
    <w:nsid w:val="243C2395"/>
    <w:multiLevelType w:val="singleLevel"/>
    <w:tmpl w:val="243C2395"/>
    <w:lvl w:ilvl="0" w:tentative="0">
      <w:start w:val="2"/>
      <w:numFmt w:val="chineseCounting"/>
      <w:suff w:val="nothing"/>
      <w:lvlText w:val="（%1）"/>
      <w:lvlJc w:val="left"/>
      <w:rPr>
        <w:rFonts w:hint="eastAsia"/>
      </w:rPr>
    </w:lvl>
  </w:abstractNum>
  <w:abstractNum w:abstractNumId="3">
    <w:nsid w:val="3D7688C5"/>
    <w:multiLevelType w:val="singleLevel"/>
    <w:tmpl w:val="3D7688C5"/>
    <w:lvl w:ilvl="0" w:tentative="0">
      <w:start w:val="2"/>
      <w:numFmt w:val="decimal"/>
      <w:lvlText w:val="%1."/>
      <w:lvlJc w:val="left"/>
      <w:pPr>
        <w:tabs>
          <w:tab w:val="left" w:pos="312"/>
        </w:tabs>
      </w:pPr>
    </w:lvl>
  </w:abstractNum>
  <w:abstractNum w:abstractNumId="4">
    <w:nsid w:val="7909348D"/>
    <w:multiLevelType w:val="singleLevel"/>
    <w:tmpl w:val="7909348D"/>
    <w:lvl w:ilvl="0" w:tentative="0">
      <w:start w:val="1"/>
      <w:numFmt w:val="decimal"/>
      <w:lvlText w:val="%1."/>
      <w:lvlJc w:val="left"/>
      <w:pPr>
        <w:tabs>
          <w:tab w:val="left" w:pos="312"/>
        </w:tabs>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7D49C5"/>
    <w:rsid w:val="000D63FA"/>
    <w:rsid w:val="005B64E8"/>
    <w:rsid w:val="00614288"/>
    <w:rsid w:val="00792CFE"/>
    <w:rsid w:val="007D49C5"/>
    <w:rsid w:val="008175E0"/>
    <w:rsid w:val="008C631D"/>
    <w:rsid w:val="00A114ED"/>
    <w:rsid w:val="00B24331"/>
    <w:rsid w:val="08414298"/>
    <w:rsid w:val="0D23039F"/>
    <w:rsid w:val="0F2A6BF7"/>
    <w:rsid w:val="14B3327F"/>
    <w:rsid w:val="28ED7B9F"/>
    <w:rsid w:val="36B72533"/>
    <w:rsid w:val="383C11DD"/>
    <w:rsid w:val="4057649F"/>
    <w:rsid w:val="4B5929D0"/>
    <w:rsid w:val="56796849"/>
    <w:rsid w:val="5DA95371"/>
    <w:rsid w:val="66E55FE1"/>
    <w:rsid w:val="6CF2319A"/>
    <w:rsid w:val="705911CC"/>
    <w:rsid w:val="73C959A5"/>
    <w:rsid w:val="79B024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qFormat/>
    <w:uiPriority w:val="0"/>
    <w:pPr>
      <w:jc w:val="left"/>
    </w:p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customStyle="1" w:styleId="16">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8"/>
    <w:semiHidden/>
    <w:qFormat/>
    <w:uiPriority w:val="99"/>
    <w:rPr>
      <w:rFonts w:ascii="Times New Roman" w:hAnsi="Times New Roman" w:eastAsia="仿宋_GB2312" w:cs="Times New Roman"/>
      <w:sz w:val="18"/>
      <w:szCs w:val="18"/>
    </w:rPr>
  </w:style>
  <w:style w:type="character" w:customStyle="1" w:styleId="18">
    <w:name w:val="页脚 Char"/>
    <w:basedOn w:val="12"/>
    <w:link w:val="7"/>
    <w:semiHidden/>
    <w:qFormat/>
    <w:uiPriority w:val="99"/>
    <w:rPr>
      <w:rFonts w:ascii="Times New Roman" w:hAnsi="Times New Roman" w:eastAsia="仿宋_GB2312" w:cs="Times New Roman"/>
      <w:sz w:val="18"/>
      <w:szCs w:val="18"/>
    </w:rPr>
  </w:style>
  <w:style w:type="paragraph" w:customStyle="1" w:styleId="19">
    <w:name w:val="WPSOffice手动目录 1"/>
    <w:qFormat/>
    <w:uiPriority w:val="0"/>
    <w:pPr>
      <w:ind w:leftChars="0"/>
    </w:pPr>
    <w:rPr>
      <w:rFonts w:asciiTheme="minorHAnsi" w:hAnsiTheme="minorHAnsi" w:eastAsiaTheme="minorEastAsia" w:cstheme="minorBidi"/>
      <w:sz w:val="20"/>
      <w:szCs w:val="20"/>
    </w:rPr>
  </w:style>
  <w:style w:type="paragraph" w:customStyle="1" w:styleId="20">
    <w:name w:val="WPSOffice手动目录 2"/>
    <w:qFormat/>
    <w:uiPriority w:val="0"/>
    <w:pPr>
      <w:ind w:leftChars="200"/>
    </w:pPr>
    <w:rPr>
      <w:rFonts w:asciiTheme="minorHAnsi" w:hAnsiTheme="minorHAnsi" w:eastAsiaTheme="minorEastAsia" w:cstheme="minorBidi"/>
      <w:sz w:val="20"/>
      <w:szCs w:val="20"/>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2024-06-07T09:01:06Z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DFF0787588C34603A74FA104BC3FC087</vt:lpwstr>
  </property>
</Properties>
</file>